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900"/>
      </w:pPr>
      <w:r>
        <w:t xml:space="preserve"/>
      </w:r>
    </w:p>
    <w:p>
      <w:pPr>
        <w:spacing w:after="100"/>
        <w:jc w:val="center"/>
      </w:pPr>
      <w:r>
        <w:rPr>
          <w:rFonts w:ascii="Georgia" w:cs="Georgia" w:eastAsia="Georgia" w:hAnsi="Georgia"/>
          <w:b/>
          <w:bCs/>
          <w:color w:val="162131"/>
          <w:sz w:val="42"/>
          <w:szCs w:val="42"/>
        </w:rPr>
        <w:t xml:space="preserve">FROM ARKANSAS TO SOUTH DAKOTA</w:t>
      </w:r>
    </w:p>
    <w:p>
      <w:pPr>
        <w:spacing w:after="260"/>
        <w:jc w:val="center"/>
      </w:pPr>
      <w:r>
        <w:rPr>
          <w:rFonts w:ascii="Georgia" w:cs="Georgia" w:eastAsia="Georgia" w:hAnsi="Georgia"/>
          <w:b/>
          <w:bCs/>
          <w:color w:val="26384A"/>
          <w:sz w:val="30"/>
          <w:szCs w:val="30"/>
        </w:rPr>
        <w:t xml:space="preserve">A Two-Phase Domestic Trust Architecture</w:t>
      </w:r>
    </w:p>
    <w:p>
      <w:pPr>
        <w:spacing w:after="40"/>
        <w:jc w:val="center"/>
      </w:pPr>
      <w:r>
        <w:rPr>
          <w:rFonts w:ascii="Georgia" w:cs="Georgia" w:eastAsia="Georgia" w:hAnsi="Georgia"/>
          <w:color w:val="9A7B4F"/>
          <w:sz w:val="20"/>
          <w:szCs w:val="20"/>
        </w:rPr>
        <w:t xml:space="preserve">━━━━━━━━━━━━━━━━━━━━━━</w:t>
      </w:r>
    </w:p>
    <w:p>
      <w:pPr>
        <w:spacing w:after="120" w:before="360"/>
        <w:jc w:val="center"/>
      </w:pPr>
      <w:r>
        <w:rPr>
          <w:rFonts w:ascii="Georgia" w:cs="Georgia" w:eastAsia="Georgia" w:hAnsi="Georgia"/>
          <w:i/>
          <w:iCs/>
          <w:color w:val="4C5866"/>
          <w:sz w:val="22"/>
          <w:szCs w:val="22"/>
        </w:rPr>
        <w:t xml:space="preserve">Deliberate Estate Inclusion for a Basis Step-Up in a Home-State Asset-Protection Trust,</w:t>
      </w:r>
    </w:p>
    <w:p>
      <w:pPr>
        <w:spacing w:after="300"/>
        <w:jc w:val="center"/>
      </w:pPr>
      <w:r>
        <w:rPr>
          <w:rFonts w:ascii="Georgia" w:cs="Georgia" w:eastAsia="Georgia" w:hAnsi="Georgia"/>
          <w:i/>
          <w:iCs/>
          <w:color w:val="4C5866"/>
          <w:sz w:val="22"/>
          <w:szCs w:val="22"/>
        </w:rPr>
        <w:t xml:space="preserve">Followed by an Elective Decanting into a Perpetual Dynasty-Trust Jurisdiction</w:t>
      </w:r>
    </w:p>
    <w:p>
      <w:pPr>
        <w:spacing w:after="40" w:before="900"/>
        <w:jc w:val="center"/>
      </w:pPr>
      <w:r>
        <w:rPr>
          <w:rFonts w:ascii="Georgia" w:cs="Georgia" w:eastAsia="Georgia" w:hAnsi="Georgia"/>
          <w:i/>
          <w:iCs/>
          <w:color w:val="4C5866"/>
          <w:sz w:val="18"/>
          <w:szCs w:val="18"/>
        </w:rPr>
        <w:t xml:space="preserve">A general explanatory and template reference.</w:t>
      </w:r>
    </w:p>
    <w:p>
      <w:pPr>
        <w:spacing w:after="40"/>
        <w:jc w:val="center"/>
      </w:pPr>
      <w:r>
        <w:rPr>
          <w:rFonts w:ascii="Georgia" w:cs="Georgia" w:eastAsia="Georgia" w:hAnsi="Georgia"/>
          <w:i/>
          <w:iCs/>
          <w:color w:val="4C5866"/>
          <w:sz w:val="18"/>
          <w:szCs w:val="18"/>
        </w:rPr>
        <w:t xml:space="preserve">This document describes a planning architecture in the abstract. It is not legal or tax advice,</w:t>
      </w:r>
    </w:p>
    <w:p>
      <w:pPr>
        <w:spacing w:after="40"/>
        <w:jc w:val="center"/>
      </w:pPr>
      <w:r>
        <w:rPr>
          <w:rFonts w:ascii="Georgia" w:cs="Georgia" w:eastAsia="Georgia" w:hAnsi="Georgia"/>
          <w:i/>
          <w:iCs/>
          <w:color w:val="4C5866"/>
          <w:sz w:val="18"/>
          <w:szCs w:val="18"/>
        </w:rPr>
        <w:t xml:space="preserve">does not describe any particular person or family, and creates no professional relationship.</w:t>
      </w:r>
    </w:p>
    <w:p>
      <w:pPr>
        <w:spacing w:after="0" w:before="700"/>
        <w:jc w:val="center"/>
      </w:pPr>
      <w:r>
        <w:rPr>
          <w:rFonts w:ascii="Georgia" w:cs="Georgia" w:eastAsia="Georgia" w:hAnsi="Georgia"/>
          <w:color w:val="4C5866"/>
          <w:sz w:val="17"/>
          <w:szCs w:val="17"/>
        </w:rPr>
        <w:t xml:space="preserve">Reflects law as of mid-2026, including the One Big Beautiful Bill Act of 2025.</w:t>
      </w:r>
    </w:p>
    <w:p>
      <w:r>
        <w:br w:type="page"/>
      </w:r>
    </w:p>
    <w:p>
      <w:pPr>
        <w:pBdr>
          <w:bottom w:val="single" w:color="B7C1CD" w:sz="8" w:space="3"/>
        </w:pBdr>
        <w:spacing w:after="140" w:before="200"/>
      </w:pPr>
      <w:r>
        <w:rPr>
          <w:rFonts w:ascii="Georgia" w:cs="Georgia" w:eastAsia="Georgia" w:hAnsi="Georgia"/>
          <w:b/>
          <w:bCs/>
          <w:color w:val="162131"/>
          <w:sz w:val="30"/>
          <w:szCs w:val="30"/>
        </w:rPr>
        <w:t xml:space="preserve">About This Document</w:t>
      </w:r>
    </w:p>
    <w:p>
      <w:pPr>
        <w:spacing w:after="180" w:before="0" w:line="348"/>
        <w:jc w:val="both"/>
      </w:pPr>
      <w:r>
        <w:rPr>
          <w:rFonts w:ascii="Georgia" w:cs="Georgia" w:eastAsia="Georgia" w:hAnsi="Georgia"/>
          <w:color w:val="1C1C1C"/>
          <w:sz w:val="24"/>
          <w:szCs w:val="24"/>
        </w:rPr>
        <w:t xml:space="preserve">This document explains a two-phase domestic trust architecture: a strategy for holding, protecting, and transmitting family wealth that begins with an irrevocable asset-protection trust formed in a grantor's home state and contemplates a later, elective migration of one branch of the plan into a specialized dynasty-trust jurisdiction. It is written as a general explanatory and template reference, using the law of two representative states — an emerging home-state asset-protection jurisdiction and the leading perpetual-trust jurisdiction — to make the mechanics concrete. It describes the architecture in the abstract and does not depict any actual person, family, or set of assets; its figures are illustrative ranges, and its named roles — the grantor, the grantor's spouse, the grantor's children, the drafting attorney, the corporate trustee — are generic placeholders for the parties such a plan would involve.</w:t>
      </w:r>
    </w:p>
    <w:p>
      <w:pPr>
        <w:spacing w:after="180" w:before="0" w:line="348"/>
        <w:jc w:val="both"/>
      </w:pPr>
      <w:r>
        <w:rPr>
          <w:rFonts w:ascii="Georgia" w:cs="Georgia" w:eastAsia="Georgia" w:hAnsi="Georgia"/>
          <w:color w:val="1C1C1C"/>
          <w:sz w:val="24"/>
          <w:szCs w:val="24"/>
        </w:rPr>
        <w:t xml:space="preserve">The architecture rests on a single strategic insight that has become newly important under current law. For a family whose wealth is below the federal transfer-tax exemption — which the One Big Beautiful Bill Act of 2025 made permanent at a high level — the binding tax concern is not the estate tax, which such a family will not owe, but the income and capital-gains tax that the next generation will face on a lifetime of appreciation. The plan is therefore built to capture the adjustment of asset basis to fair market value at the grantor's death, and it deliberately keeps assets inside the grantor's taxable estate to do so, reversing the instinct of traditional asset-protection planning, which sought to push assets out of the estate. This inversion — deliberate inclusion for a basis step-up — is the through-line of the entire document, and Part I develops it before the mechanics are addressed.</w:t>
      </w:r>
    </w:p>
    <w:p>
      <w:pPr>
        <w:spacing w:after="180" w:before="0" w:line="348"/>
        <w:jc w:val="both"/>
      </w:pPr>
      <w:r>
        <w:rPr>
          <w:rFonts w:ascii="Georgia" w:cs="Georgia" w:eastAsia="Georgia" w:hAnsi="Georgia"/>
          <w:color w:val="1C1C1C"/>
          <w:sz w:val="24"/>
          <w:szCs w:val="24"/>
        </w:rPr>
        <w:t xml:space="preserve">The document is organized in four parts. Part I sets out the legal and strategic foundation: the current federal and state landscape, and the central strategy of deliberate estate inclusion. Part II develops Phase One, the home-state asset-protection trust that operates during the grantor's life and distributes at the grantor's death into a life estate for the surviving spouse and continuing trusts for the children. Part III develops Phase Two, the elective decanting of a child's continuing trust into a perpetual dynasty trust in a specialized jurisdiction, together with the drafting provisions in Phase One that make that migration possible. Part IV addresses execution: coordination between counsel, timelines, costs, the professional team, the principal risks, and the diligence questions a family should raise with its own advisors. A reader may take the parts in sequence for the full architecture or consult any one of them independently.</w:t>
      </w:r>
    </w:p>
    <w:p>
      <w:pPr>
        <w:spacing w:after="180" w:before="0" w:line="348"/>
        <w:jc w:val="both"/>
      </w:pPr>
      <w:r>
        <w:rPr>
          <w:rFonts w:ascii="Georgia" w:cs="Georgia" w:eastAsia="Georgia" w:hAnsi="Georgia"/>
          <w:color w:val="1C1C1C"/>
          <w:sz w:val="24"/>
          <w:szCs w:val="24"/>
        </w:rPr>
        <w:t xml:space="preserve">Two cautions govern everything that follows. First, this is a general reference and not advice; the application of the law described here to any actual family requires qualified counsel and a qualified tax professional who have examined the specific facts, and nothing here should be treated as a substitute for that professional judgment. Second, the law described here is current as of mid-2026 and is subject to change; several of the provisions on which the architecture depends are durable but not immutable, and a sound plan is reviewed periodically against developments in the law.</w:t>
      </w:r>
    </w:p>
    <w:p>
      <w:pPr>
        <w:pageBreakBefore/>
        <w:pBdr>
          <w:bottom w:val="single" w:color="B7C1CD" w:sz="8" w:space="3"/>
        </w:pBdr>
        <w:spacing w:after="140" w:before="200"/>
      </w:pPr>
      <w:r>
        <w:rPr>
          <w:rFonts w:ascii="Georgia" w:cs="Georgia" w:eastAsia="Georgia" w:hAnsi="Georgia"/>
          <w:b/>
          <w:bCs/>
          <w:color w:val="162131"/>
          <w:sz w:val="30"/>
          <w:szCs w:val="30"/>
        </w:rPr>
        <w:t xml:space="preserve">Table of Contents</w:t>
      </w:r>
    </w:p>
    <w:p>
      <w:pPr>
        <w:tabs>
          <w:tab w:val="right" w:pos="9360" w:leader="dot"/>
        </w:tabs>
        <w:spacing w:after="60" w:before="160" w:line="288"/>
      </w:pPr>
      <w:r>
        <w:rPr>
          <w:rFonts w:ascii="Georgia" w:cs="Georgia" w:eastAsia="Georgia" w:hAnsi="Georgia"/>
          <w:b/>
          <w:bCs/>
          <w:color w:val="162131"/>
          <w:sz w:val="22"/>
          <w:szCs w:val="22"/>
        </w:rPr>
        <w:t xml:space="preserve">Part I — The Legal and Strategic Foundation</w:t>
      </w:r>
      <w:r>
        <w:rPr>
          <w:rFonts w:ascii="Georgia" w:cs="Georgia" w:eastAsia="Georgia" w:hAnsi="Georgia"/>
          <w:b/>
          <w:bCs/>
          <w:color w:val="162131"/>
          <w:sz w:val="22"/>
          <w:szCs w:val="22"/>
        </w:rPr>
        <w:t xml:space="preserve">	5</w:t>
      </w:r>
    </w:p>
    <w:p>
      <w:pPr>
        <w:tabs>
          <w:tab w:val="right" w:pos="9360" w:leader="dot"/>
        </w:tabs>
        <w:spacing w:after="40" w:line="276"/>
        <w:ind w:left="403"/>
      </w:pPr>
      <w:r>
        <w:rPr>
          <w:rFonts w:ascii="Georgia" w:cs="Georgia" w:eastAsia="Georgia" w:hAnsi="Georgia"/>
          <w:color w:val="1C1C1C"/>
          <w:sz w:val="21"/>
          <w:szCs w:val="21"/>
        </w:rPr>
        <w:t xml:space="preserve">1.  Overview: A Two-Phase Architecture</w:t>
      </w:r>
      <w:r>
        <w:rPr>
          <w:rFonts w:ascii="Georgia" w:cs="Georgia" w:eastAsia="Georgia" w:hAnsi="Georgia"/>
          <w:color w:val="1C1C1C"/>
          <w:sz w:val="21"/>
          <w:szCs w:val="21"/>
        </w:rPr>
        <w:t xml:space="preserve">	6</w:t>
      </w:r>
    </w:p>
    <w:p>
      <w:pPr>
        <w:tabs>
          <w:tab w:val="right" w:pos="9360" w:leader="dot"/>
        </w:tabs>
        <w:spacing w:after="40" w:line="276"/>
        <w:ind w:left="403"/>
      </w:pPr>
      <w:r>
        <w:rPr>
          <w:rFonts w:ascii="Georgia" w:cs="Georgia" w:eastAsia="Georgia" w:hAnsi="Georgia"/>
          <w:color w:val="1C1C1C"/>
          <w:sz w:val="21"/>
          <w:szCs w:val="21"/>
        </w:rPr>
        <w:t xml:space="preserve">2.  The 2026 Federal and State Landscape</w:t>
      </w:r>
      <w:r>
        <w:rPr>
          <w:rFonts w:ascii="Georgia" w:cs="Georgia" w:eastAsia="Georgia" w:hAnsi="Georgia"/>
          <w:color w:val="1C1C1C"/>
          <w:sz w:val="21"/>
          <w:szCs w:val="21"/>
        </w:rPr>
        <w:t xml:space="preserve">	8</w:t>
      </w:r>
    </w:p>
    <w:p>
      <w:pPr>
        <w:tabs>
          <w:tab w:val="right" w:pos="9360" w:leader="dot"/>
        </w:tabs>
        <w:spacing w:after="40" w:line="276"/>
        <w:ind w:left="403"/>
      </w:pPr>
      <w:r>
        <w:rPr>
          <w:rFonts w:ascii="Georgia" w:cs="Georgia" w:eastAsia="Georgia" w:hAnsi="Georgia"/>
          <w:color w:val="1C1C1C"/>
          <w:sz w:val="21"/>
          <w:szCs w:val="21"/>
        </w:rPr>
        <w:t xml:space="preserve">3.  The Central Strategy: Deliberate Estate Inclusion for a Basis Step-Up</w:t>
      </w:r>
      <w:r>
        <w:rPr>
          <w:rFonts w:ascii="Georgia" w:cs="Georgia" w:eastAsia="Georgia" w:hAnsi="Georgia"/>
          <w:color w:val="1C1C1C"/>
          <w:sz w:val="21"/>
          <w:szCs w:val="21"/>
        </w:rPr>
        <w:t xml:space="preserve">	11</w:t>
      </w:r>
    </w:p>
    <w:p>
      <w:pPr>
        <w:tabs>
          <w:tab w:val="right" w:pos="9360" w:leader="dot"/>
        </w:tabs>
        <w:spacing w:after="60" w:before="160" w:line="288"/>
      </w:pPr>
      <w:r>
        <w:rPr>
          <w:rFonts w:ascii="Georgia" w:cs="Georgia" w:eastAsia="Georgia" w:hAnsi="Georgia"/>
          <w:b/>
          <w:bCs/>
          <w:color w:val="162131"/>
          <w:sz w:val="22"/>
          <w:szCs w:val="22"/>
        </w:rPr>
        <w:t xml:space="preserve">Part II — Phase One — The Home-State Trust</w:t>
      </w:r>
      <w:r>
        <w:rPr>
          <w:rFonts w:ascii="Georgia" w:cs="Georgia" w:eastAsia="Georgia" w:hAnsi="Georgia"/>
          <w:b/>
          <w:bCs/>
          <w:color w:val="162131"/>
          <w:sz w:val="22"/>
          <w:szCs w:val="22"/>
        </w:rPr>
        <w:t xml:space="preserve">	13</w:t>
      </w:r>
    </w:p>
    <w:p>
      <w:pPr>
        <w:tabs>
          <w:tab w:val="right" w:pos="9360" w:leader="dot"/>
        </w:tabs>
        <w:spacing w:after="40" w:line="276"/>
        <w:ind w:left="403"/>
      </w:pPr>
      <w:r>
        <w:rPr>
          <w:rFonts w:ascii="Georgia" w:cs="Georgia" w:eastAsia="Georgia" w:hAnsi="Georgia"/>
          <w:color w:val="1C1C1C"/>
          <w:sz w:val="21"/>
          <w:szCs w:val="21"/>
        </w:rPr>
        <w:t xml:space="preserve">4.  The Trust Design</w:t>
      </w:r>
      <w:r>
        <w:rPr>
          <w:rFonts w:ascii="Georgia" w:cs="Georgia" w:eastAsia="Georgia" w:hAnsi="Georgia"/>
          <w:color w:val="1C1C1C"/>
          <w:sz w:val="21"/>
          <w:szCs w:val="21"/>
        </w:rPr>
        <w:t xml:space="preserve">	14</w:t>
      </w:r>
    </w:p>
    <w:p>
      <w:pPr>
        <w:tabs>
          <w:tab w:val="right" w:pos="9360" w:leader="dot"/>
        </w:tabs>
        <w:spacing w:after="40" w:line="276"/>
        <w:ind w:left="403"/>
      </w:pPr>
      <w:r>
        <w:rPr>
          <w:rFonts w:ascii="Georgia" w:cs="Georgia" w:eastAsia="Georgia" w:hAnsi="Georgia"/>
          <w:color w:val="1C1C1C"/>
          <w:sz w:val="21"/>
          <w:szCs w:val="21"/>
        </w:rPr>
        <w:t xml:space="preserve">5.  The Testamentary Distribution at the Grantor's Death</w:t>
      </w:r>
      <w:r>
        <w:rPr>
          <w:rFonts w:ascii="Georgia" w:cs="Georgia" w:eastAsia="Georgia" w:hAnsi="Georgia"/>
          <w:color w:val="1C1C1C"/>
          <w:sz w:val="21"/>
          <w:szCs w:val="21"/>
        </w:rPr>
        <w:t xml:space="preserve">	17</w:t>
      </w:r>
    </w:p>
    <w:p>
      <w:pPr>
        <w:tabs>
          <w:tab w:val="right" w:pos="9360" w:leader="dot"/>
        </w:tabs>
        <w:spacing w:after="40" w:line="276"/>
        <w:ind w:left="403"/>
      </w:pPr>
      <w:r>
        <w:rPr>
          <w:rFonts w:ascii="Georgia" w:cs="Georgia" w:eastAsia="Georgia" w:hAnsi="Georgia"/>
          <w:color w:val="1C1C1C"/>
          <w:sz w:val="21"/>
          <w:szCs w:val="21"/>
        </w:rPr>
        <w:t xml:space="preserve">6.  Asset-by-Asset Integration</w:t>
      </w:r>
      <w:r>
        <w:rPr>
          <w:rFonts w:ascii="Georgia" w:cs="Georgia" w:eastAsia="Georgia" w:hAnsi="Georgia"/>
          <w:color w:val="1C1C1C"/>
          <w:sz w:val="21"/>
          <w:szCs w:val="21"/>
        </w:rPr>
        <w:t xml:space="preserve">	20</w:t>
      </w:r>
    </w:p>
    <w:p>
      <w:pPr>
        <w:tabs>
          <w:tab w:val="right" w:pos="9360" w:leader="dot"/>
        </w:tabs>
        <w:spacing w:after="40" w:line="276"/>
        <w:ind w:left="403"/>
      </w:pPr>
      <w:r>
        <w:rPr>
          <w:rFonts w:ascii="Georgia" w:cs="Georgia" w:eastAsia="Georgia" w:hAnsi="Georgia"/>
          <w:color w:val="1C1C1C"/>
          <w:sz w:val="21"/>
          <w:szCs w:val="21"/>
        </w:rPr>
        <w:t xml:space="preserve">7.  The Phase One Tax Strategy</w:t>
      </w:r>
      <w:r>
        <w:rPr>
          <w:rFonts w:ascii="Georgia" w:cs="Georgia" w:eastAsia="Georgia" w:hAnsi="Georgia"/>
          <w:color w:val="1C1C1C"/>
          <w:sz w:val="21"/>
          <w:szCs w:val="21"/>
        </w:rPr>
        <w:t xml:space="preserve">	23</w:t>
      </w:r>
    </w:p>
    <w:p>
      <w:pPr>
        <w:tabs>
          <w:tab w:val="right" w:pos="9360" w:leader="dot"/>
        </w:tabs>
        <w:spacing w:after="40" w:line="276"/>
        <w:ind w:left="403"/>
      </w:pPr>
      <w:r>
        <w:rPr>
          <w:rFonts w:ascii="Georgia" w:cs="Georgia" w:eastAsia="Georgia" w:hAnsi="Georgia"/>
          <w:color w:val="1C1C1C"/>
          <w:sz w:val="21"/>
          <w:szCs w:val="21"/>
        </w:rPr>
        <w:t xml:space="preserve">8.  Asset Protection: Layers, Authorities, and Gaps</w:t>
      </w:r>
      <w:r>
        <w:rPr>
          <w:rFonts w:ascii="Georgia" w:cs="Georgia" w:eastAsia="Georgia" w:hAnsi="Georgia"/>
          <w:color w:val="1C1C1C"/>
          <w:sz w:val="21"/>
          <w:szCs w:val="21"/>
        </w:rPr>
        <w:t xml:space="preserve">	26</w:t>
      </w:r>
    </w:p>
    <w:p>
      <w:pPr>
        <w:tabs>
          <w:tab w:val="right" w:pos="9360" w:leader="dot"/>
        </w:tabs>
        <w:spacing w:after="40" w:line="276"/>
        <w:ind w:left="403"/>
      </w:pPr>
      <w:r>
        <w:rPr>
          <w:rFonts w:ascii="Georgia" w:cs="Georgia" w:eastAsia="Georgia" w:hAnsi="Georgia"/>
          <w:color w:val="1C1C1C"/>
          <w:sz w:val="21"/>
          <w:szCs w:val="21"/>
        </w:rPr>
        <w:t xml:space="preserve">9.  Buy, Borrow, Die — Liquidity Without a Taxable Sale</w:t>
      </w:r>
      <w:r>
        <w:rPr>
          <w:rFonts w:ascii="Georgia" w:cs="Georgia" w:eastAsia="Georgia" w:hAnsi="Georgia"/>
          <w:color w:val="1C1C1C"/>
          <w:sz w:val="21"/>
          <w:szCs w:val="21"/>
        </w:rPr>
        <w:t xml:space="preserve">	28</w:t>
      </w:r>
    </w:p>
    <w:p>
      <w:pPr>
        <w:tabs>
          <w:tab w:val="right" w:pos="9360" w:leader="dot"/>
        </w:tabs>
        <w:spacing w:after="60" w:before="160" w:line="288"/>
      </w:pPr>
      <w:r>
        <w:rPr>
          <w:rFonts w:ascii="Georgia" w:cs="Georgia" w:eastAsia="Georgia" w:hAnsi="Georgia"/>
          <w:b/>
          <w:bCs/>
          <w:color w:val="162131"/>
          <w:sz w:val="22"/>
          <w:szCs w:val="22"/>
        </w:rPr>
        <w:t xml:space="preserve">Part III — Phase Two — The Dynasty-Trust Jurisdiction</w:t>
      </w:r>
      <w:r>
        <w:rPr>
          <w:rFonts w:ascii="Georgia" w:cs="Georgia" w:eastAsia="Georgia" w:hAnsi="Georgia"/>
          <w:b/>
          <w:bCs/>
          <w:color w:val="162131"/>
          <w:sz w:val="22"/>
          <w:szCs w:val="22"/>
        </w:rPr>
        <w:t xml:space="preserve">	30</w:t>
      </w:r>
    </w:p>
    <w:p>
      <w:pPr>
        <w:tabs>
          <w:tab w:val="right" w:pos="9360" w:leader="dot"/>
        </w:tabs>
        <w:spacing w:after="40" w:line="276"/>
        <w:ind w:left="403"/>
      </w:pPr>
      <w:r>
        <w:rPr>
          <w:rFonts w:ascii="Georgia" w:cs="Georgia" w:eastAsia="Georgia" w:hAnsi="Georgia"/>
          <w:color w:val="1C1C1C"/>
          <w:sz w:val="21"/>
          <w:szCs w:val="21"/>
        </w:rPr>
        <w:t xml:space="preserve">10.  Why Phase Two: The Case for a Dynasty Jurisdiction</w:t>
      </w:r>
      <w:r>
        <w:rPr>
          <w:rFonts w:ascii="Georgia" w:cs="Georgia" w:eastAsia="Georgia" w:hAnsi="Georgia"/>
          <w:color w:val="1C1C1C"/>
          <w:sz w:val="21"/>
          <w:szCs w:val="21"/>
        </w:rPr>
        <w:t xml:space="preserve">	31</w:t>
      </w:r>
    </w:p>
    <w:p>
      <w:pPr>
        <w:tabs>
          <w:tab w:val="right" w:pos="9360" w:leader="dot"/>
        </w:tabs>
        <w:spacing w:after="40" w:line="276"/>
        <w:ind w:left="403"/>
      </w:pPr>
      <w:r>
        <w:rPr>
          <w:rFonts w:ascii="Georgia" w:cs="Georgia" w:eastAsia="Georgia" w:hAnsi="Georgia"/>
          <w:color w:val="1C1C1C"/>
          <w:sz w:val="21"/>
          <w:szCs w:val="21"/>
        </w:rPr>
        <w:t xml:space="preserve">11.  Phase One Drafting Provisions That Enable Phase Two</w:t>
      </w:r>
      <w:r>
        <w:rPr>
          <w:rFonts w:ascii="Georgia" w:cs="Georgia" w:eastAsia="Georgia" w:hAnsi="Georgia"/>
          <w:color w:val="1C1C1C"/>
          <w:sz w:val="21"/>
          <w:szCs w:val="21"/>
        </w:rPr>
        <w:t xml:space="preserve">	32</w:t>
      </w:r>
    </w:p>
    <w:p>
      <w:pPr>
        <w:tabs>
          <w:tab w:val="right" w:pos="9360" w:leader="dot"/>
        </w:tabs>
        <w:spacing w:after="40" w:line="276"/>
        <w:ind w:left="403"/>
      </w:pPr>
      <w:r>
        <w:rPr>
          <w:rFonts w:ascii="Georgia" w:cs="Georgia" w:eastAsia="Georgia" w:hAnsi="Georgia"/>
          <w:color w:val="1C1C1C"/>
          <w:sz w:val="21"/>
          <w:szCs w:val="21"/>
        </w:rPr>
        <w:t xml:space="preserve">12.  The Transition — Mechanics and Timeline</w:t>
      </w:r>
      <w:r>
        <w:rPr>
          <w:rFonts w:ascii="Georgia" w:cs="Georgia" w:eastAsia="Georgia" w:hAnsi="Georgia"/>
          <w:color w:val="1C1C1C"/>
          <w:sz w:val="21"/>
          <w:szCs w:val="21"/>
        </w:rPr>
        <w:t xml:space="preserve">	35</w:t>
      </w:r>
    </w:p>
    <w:p>
      <w:pPr>
        <w:tabs>
          <w:tab w:val="right" w:pos="9360" w:leader="dot"/>
        </w:tabs>
        <w:spacing w:after="40" w:line="276"/>
        <w:ind w:left="403"/>
      </w:pPr>
      <w:r>
        <w:rPr>
          <w:rFonts w:ascii="Georgia" w:cs="Georgia" w:eastAsia="Georgia" w:hAnsi="Georgia"/>
          <w:color w:val="1C1C1C"/>
          <w:sz w:val="21"/>
          <w:szCs w:val="21"/>
        </w:rPr>
        <w:t xml:space="preserve">13.  The Receiving Dynasty Trust</w:t>
      </w:r>
      <w:r>
        <w:rPr>
          <w:rFonts w:ascii="Georgia" w:cs="Georgia" w:eastAsia="Georgia" w:hAnsi="Georgia"/>
          <w:color w:val="1C1C1C"/>
          <w:sz w:val="21"/>
          <w:szCs w:val="21"/>
        </w:rPr>
        <w:t xml:space="preserve">	38</w:t>
      </w:r>
    </w:p>
    <w:p>
      <w:pPr>
        <w:tabs>
          <w:tab w:val="right" w:pos="9360" w:leader="dot"/>
        </w:tabs>
        <w:spacing w:after="40" w:line="276"/>
        <w:ind w:left="403"/>
      </w:pPr>
      <w:r>
        <w:rPr>
          <w:rFonts w:ascii="Georgia" w:cs="Georgia" w:eastAsia="Georgia" w:hAnsi="Georgia"/>
          <w:color w:val="1C1C1C"/>
          <w:sz w:val="21"/>
          <w:szCs w:val="21"/>
        </w:rPr>
        <w:t xml:space="preserve">14.  Family Unity Restored Through Election</w:t>
      </w:r>
      <w:r>
        <w:rPr>
          <w:rFonts w:ascii="Georgia" w:cs="Georgia" w:eastAsia="Georgia" w:hAnsi="Georgia"/>
          <w:color w:val="1C1C1C"/>
          <w:sz w:val="21"/>
          <w:szCs w:val="21"/>
        </w:rPr>
        <w:t xml:space="preserve">	41</w:t>
      </w:r>
    </w:p>
    <w:p>
      <w:pPr>
        <w:tabs>
          <w:tab w:val="right" w:pos="9360" w:leader="dot"/>
        </w:tabs>
        <w:spacing w:after="40" w:line="276"/>
        <w:ind w:left="403"/>
      </w:pPr>
      <w:r>
        <w:rPr>
          <w:rFonts w:ascii="Georgia" w:cs="Georgia" w:eastAsia="Georgia" w:hAnsi="Georgia"/>
          <w:color w:val="1C1C1C"/>
          <w:sz w:val="21"/>
          <w:szCs w:val="21"/>
        </w:rPr>
        <w:t xml:space="preserve">15.  The Sibling's Independent Path</w:t>
      </w:r>
      <w:r>
        <w:rPr>
          <w:rFonts w:ascii="Georgia" w:cs="Georgia" w:eastAsia="Georgia" w:hAnsi="Georgia"/>
          <w:color w:val="1C1C1C"/>
          <w:sz w:val="21"/>
          <w:szCs w:val="21"/>
        </w:rPr>
        <w:t xml:space="preserve">	43</w:t>
      </w:r>
    </w:p>
    <w:p>
      <w:pPr>
        <w:tabs>
          <w:tab w:val="right" w:pos="9360" w:leader="dot"/>
        </w:tabs>
        <w:spacing w:after="60" w:before="160" w:line="288"/>
      </w:pPr>
      <w:r>
        <w:rPr>
          <w:rFonts w:ascii="Georgia" w:cs="Georgia" w:eastAsia="Georgia" w:hAnsi="Georgia"/>
          <w:b/>
          <w:bCs/>
          <w:color w:val="162131"/>
          <w:sz w:val="22"/>
          <w:szCs w:val="22"/>
        </w:rPr>
        <w:t xml:space="preserve">Part IV — Execution, Costs, and Diligence</w:t>
      </w:r>
      <w:r>
        <w:rPr>
          <w:rFonts w:ascii="Georgia" w:cs="Georgia" w:eastAsia="Georgia" w:hAnsi="Georgia"/>
          <w:b/>
          <w:bCs/>
          <w:color w:val="162131"/>
          <w:sz w:val="22"/>
          <w:szCs w:val="22"/>
        </w:rPr>
        <w:t xml:space="preserve">	45</w:t>
      </w:r>
    </w:p>
    <w:p>
      <w:pPr>
        <w:tabs>
          <w:tab w:val="right" w:pos="9360" w:leader="dot"/>
        </w:tabs>
        <w:spacing w:after="40" w:line="276"/>
        <w:ind w:left="403"/>
      </w:pPr>
      <w:r>
        <w:rPr>
          <w:rFonts w:ascii="Georgia" w:cs="Georgia" w:eastAsia="Georgia" w:hAnsi="Georgia"/>
          <w:color w:val="1C1C1C"/>
          <w:sz w:val="21"/>
          <w:szCs w:val="21"/>
        </w:rPr>
        <w:t xml:space="preserve">16.  Coordination Requirements Between Counsel</w:t>
      </w:r>
      <w:r>
        <w:rPr>
          <w:rFonts w:ascii="Georgia" w:cs="Georgia" w:eastAsia="Georgia" w:hAnsi="Georgia"/>
          <w:color w:val="1C1C1C"/>
          <w:sz w:val="21"/>
          <w:szCs w:val="21"/>
        </w:rPr>
        <w:t xml:space="preserve">	46</w:t>
      </w:r>
    </w:p>
    <w:p>
      <w:pPr>
        <w:tabs>
          <w:tab w:val="right" w:pos="9360" w:leader="dot"/>
        </w:tabs>
        <w:spacing w:after="40" w:line="276"/>
        <w:ind w:left="403"/>
      </w:pPr>
      <w:r>
        <w:rPr>
          <w:rFonts w:ascii="Georgia" w:cs="Georgia" w:eastAsia="Georgia" w:hAnsi="Georgia"/>
          <w:color w:val="1C1C1C"/>
          <w:sz w:val="21"/>
          <w:szCs w:val="21"/>
        </w:rPr>
        <w:t xml:space="preserve">17.  Implementation Timeline</w:t>
      </w:r>
      <w:r>
        <w:rPr>
          <w:rFonts w:ascii="Georgia" w:cs="Georgia" w:eastAsia="Georgia" w:hAnsi="Georgia"/>
          <w:color w:val="1C1C1C"/>
          <w:sz w:val="21"/>
          <w:szCs w:val="21"/>
        </w:rPr>
        <w:t xml:space="preserve">	48</w:t>
      </w:r>
    </w:p>
    <w:p>
      <w:pPr>
        <w:tabs>
          <w:tab w:val="right" w:pos="9360" w:leader="dot"/>
        </w:tabs>
        <w:spacing w:after="40" w:line="276"/>
        <w:ind w:left="403"/>
      </w:pPr>
      <w:r>
        <w:rPr>
          <w:rFonts w:ascii="Georgia" w:cs="Georgia" w:eastAsia="Georgia" w:hAnsi="Georgia"/>
          <w:color w:val="1C1C1C"/>
          <w:sz w:val="21"/>
          <w:szCs w:val="21"/>
        </w:rPr>
        <w:t xml:space="preserve">18.  Costs — Setup and Ongoing</w:t>
      </w:r>
      <w:r>
        <w:rPr>
          <w:rFonts w:ascii="Georgia" w:cs="Georgia" w:eastAsia="Georgia" w:hAnsi="Georgia"/>
          <w:color w:val="1C1C1C"/>
          <w:sz w:val="21"/>
          <w:szCs w:val="21"/>
        </w:rPr>
        <w:t xml:space="preserve">	50</w:t>
      </w:r>
    </w:p>
    <w:p>
      <w:pPr>
        <w:tabs>
          <w:tab w:val="right" w:pos="9360" w:leader="dot"/>
        </w:tabs>
        <w:spacing w:after="40" w:line="276"/>
        <w:ind w:left="403"/>
      </w:pPr>
      <w:r>
        <w:rPr>
          <w:rFonts w:ascii="Georgia" w:cs="Georgia" w:eastAsia="Georgia" w:hAnsi="Georgia"/>
          <w:color w:val="1C1C1C"/>
          <w:sz w:val="21"/>
          <w:szCs w:val="21"/>
        </w:rPr>
        <w:t xml:space="preserve">19.  The Professional Team</w:t>
      </w:r>
      <w:r>
        <w:rPr>
          <w:rFonts w:ascii="Georgia" w:cs="Georgia" w:eastAsia="Georgia" w:hAnsi="Georgia"/>
          <w:color w:val="1C1C1C"/>
          <w:sz w:val="21"/>
          <w:szCs w:val="21"/>
        </w:rPr>
        <w:t xml:space="preserve">	52</w:t>
      </w:r>
    </w:p>
    <w:p>
      <w:pPr>
        <w:tabs>
          <w:tab w:val="right" w:pos="9360" w:leader="dot"/>
        </w:tabs>
        <w:spacing w:after="40" w:line="276"/>
        <w:ind w:left="403"/>
      </w:pPr>
      <w:r>
        <w:rPr>
          <w:rFonts w:ascii="Georgia" w:cs="Georgia" w:eastAsia="Georgia" w:hAnsi="Georgia"/>
          <w:color w:val="1C1C1C"/>
          <w:sz w:val="21"/>
          <w:szCs w:val="21"/>
        </w:rPr>
        <w:t xml:space="preserve">20.  Risks and Failure Modes</w:t>
      </w:r>
      <w:r>
        <w:rPr>
          <w:rFonts w:ascii="Georgia" w:cs="Georgia" w:eastAsia="Georgia" w:hAnsi="Georgia"/>
          <w:color w:val="1C1C1C"/>
          <w:sz w:val="21"/>
          <w:szCs w:val="21"/>
        </w:rPr>
        <w:t xml:space="preserve">	54</w:t>
      </w:r>
    </w:p>
    <w:p>
      <w:pPr>
        <w:tabs>
          <w:tab w:val="right" w:pos="9360" w:leader="dot"/>
        </w:tabs>
        <w:spacing w:after="40" w:line="276"/>
        <w:ind w:left="403"/>
      </w:pPr>
      <w:r>
        <w:rPr>
          <w:rFonts w:ascii="Georgia" w:cs="Georgia" w:eastAsia="Georgia" w:hAnsi="Georgia"/>
          <w:color w:val="1C1C1C"/>
          <w:sz w:val="21"/>
          <w:szCs w:val="21"/>
        </w:rPr>
        <w:t xml:space="preserve">21.  Diligence Questions to Raise With Counsel</w:t>
      </w:r>
      <w:r>
        <w:rPr>
          <w:rFonts w:ascii="Georgia" w:cs="Georgia" w:eastAsia="Georgia" w:hAnsi="Georgia"/>
          <w:color w:val="1C1C1C"/>
          <w:sz w:val="21"/>
          <w:szCs w:val="21"/>
        </w:rPr>
        <w:t xml:space="preserve">	56</w:t>
      </w:r>
    </w:p>
    <w:p>
      <w:pPr>
        <w:tabs>
          <w:tab w:val="right" w:pos="9360" w:leader="dot"/>
        </w:tabs>
        <w:spacing w:after="40" w:line="276"/>
        <w:ind w:left="403"/>
      </w:pPr>
      <w:r>
        <w:rPr>
          <w:rFonts w:ascii="Georgia" w:cs="Georgia" w:eastAsia="Georgia" w:hAnsi="Georgia"/>
          <w:color w:val="1C1C1C"/>
          <w:sz w:val="21"/>
          <w:szCs w:val="21"/>
        </w:rPr>
        <w:t xml:space="preserve">22.  Conclusion</w:t>
      </w:r>
      <w:r>
        <w:rPr>
          <w:rFonts w:ascii="Georgia" w:cs="Georgia" w:eastAsia="Georgia" w:hAnsi="Georgia"/>
          <w:color w:val="1C1C1C"/>
          <w:sz w:val="21"/>
          <w:szCs w:val="21"/>
        </w:rPr>
        <w:t xml:space="preserve">	58</w:t>
      </w:r>
    </w:p>
    <w:p>
      <w:r>
        <w:br w:type="page"/>
      </w:r>
    </w:p>
    <w:p>
      <w:pPr>
        <w:pageBreakBefore/>
        <w:spacing w:after="120" w:before="2400"/>
        <w:jc w:val="center"/>
      </w:pPr>
      <w:r>
        <w:rPr>
          <w:rFonts w:ascii="Georgia" w:cs="Georgia" w:eastAsia="Georgia" w:hAnsi="Georgia"/>
          <w:b/>
          <w:bCs/>
          <w:color w:val="9A7B4F"/>
          <w:sz w:val="28"/>
          <w:szCs w:val="28"/>
        </w:rPr>
        <w:t xml:space="preserve">PART I</w:t>
      </w:r>
    </w:p>
    <w:p>
      <w:pPr>
        <w:pBdr>
          <w:top w:val="single" w:color="B7C1CD" w:sz="8" w:space="6"/>
          <w:bottom w:val="single" w:color="B7C1CD" w:sz="8" w:space="6"/>
        </w:pBdr>
        <w:spacing w:after="200"/>
        <w:jc w:val="center"/>
      </w:pPr>
      <w:r>
        <w:rPr>
          <w:rFonts w:ascii="Georgia" w:cs="Georgia" w:eastAsia="Georgia" w:hAnsi="Georgia"/>
          <w:b/>
          <w:bCs/>
          <w:color w:val="162131"/>
          <w:sz w:val="34"/>
          <w:szCs w:val="34"/>
        </w:rPr>
        <w:t xml:space="preserve">The Legal and Strategic Foundation</w:t>
      </w:r>
    </w:p>
    <w:p>
      <w:pPr>
        <w:spacing w:after="180" w:before="200" w:line="348"/>
        <w:jc w:val="both"/>
      </w:pPr>
      <w:r>
        <w:rPr>
          <w:rFonts w:ascii="Georgia" w:cs="Georgia" w:eastAsia="Georgia" w:hAnsi="Georgia"/>
          <w:color w:val="1C1C1C"/>
          <w:sz w:val="24"/>
          <w:szCs w:val="24"/>
        </w:rPr>
        <w:t xml:space="preserve">This part sets out the ground on which the two-phase architecture rests: the current federal and state legal landscape, and the central strategic idea — deliberate estate inclusion for a basis step-up — that organizes every choice in the plan. A reader who grasps the idea developed in this part will find that most of the specific design decisions in Parts II and III follow from it almost automatically.</w:t>
      </w:r>
    </w:p>
    <w:p>
      <w:pPr>
        <w:pStyle w:val="Heading1"/>
        <w:keepNext/>
        <w:pageBreakBefore/>
        <w:pBdr>
          <w:bottom w:val="single" w:color="B7C1CD" w:sz="10" w:space="3"/>
        </w:pBdr>
        <w:spacing w:after="140" w:before="360"/>
      </w:pPr>
      <w:r>
        <w:rPr>
          <w:rFonts w:ascii="Georgia" w:cs="Georgia" w:eastAsia="Georgia" w:hAnsi="Georgia"/>
          <w:b/>
          <w:bCs/>
          <w:color w:val="162131"/>
          <w:sz w:val="28"/>
          <w:szCs w:val="28"/>
        </w:rPr>
        <w:t xml:space="preserve">1.  </w:t>
      </w:r>
      <w:r>
        <w:rPr>
          <w:rFonts w:ascii="Georgia" w:cs="Georgia" w:eastAsia="Georgia" w:hAnsi="Georgia"/>
          <w:b/>
          <w:bCs/>
          <w:color w:val="162131"/>
          <w:sz w:val="28"/>
          <w:szCs w:val="28"/>
        </w:rPr>
        <w:t xml:space="preserve">Overview: A Two-Phase Architecture</w:t>
      </w:r>
    </w:p>
    <w:p>
      <w:pPr>
        <w:spacing w:after="180" w:before="0" w:line="348"/>
        <w:jc w:val="both"/>
      </w:pPr>
      <w:r>
        <w:rPr>
          <w:rFonts w:ascii="Georgia" w:cs="Georgia" w:eastAsia="Georgia" w:hAnsi="Georgia"/>
          <w:color w:val="1C1C1C"/>
          <w:sz w:val="24"/>
          <w:szCs w:val="24"/>
        </w:rPr>
        <w:t xml:space="preserve">The architecture described in this document unfolds in two phases separated by a generation. Phase One is an irrevocable asset-protection trust that a grantor forms in the grantor's home state during the grantor's lifetime. It holds the family's core wealth — commonly a portfolio of rental real estate held through a holding company, together with marketable securities and other investments — protects that wealth from creditors, and is deliberately structured to be included in the grantor's taxable estate so that its assets receive an adjustment of basis to fair market value at the grantor's death. At the grantor's death, the trust distributes by its own terms, without probate, into a life-estate sub-trust for the surviving spouse and separate continuing trusts for the grantor's children.</w:t>
      </w:r>
    </w:p>
    <w:p>
      <w:pPr>
        <w:spacing w:after="180" w:before="0" w:line="348"/>
        <w:jc w:val="both"/>
      </w:pPr>
      <w:r>
        <w:rPr>
          <w:rFonts w:ascii="Georgia" w:cs="Georgia" w:eastAsia="Georgia" w:hAnsi="Georgia"/>
          <w:color w:val="1C1C1C"/>
          <w:sz w:val="24"/>
          <w:szCs w:val="24"/>
        </w:rPr>
        <w:t xml:space="preserve">Phase Two is elective and future-dated. After the grantor's death, a child who has received a continuing trust may choose to move that trust from the home state into a specialized dynasty-trust jurisdiction by a process the law calls decanting — the distribution of the assets of an existing trust into a new trust with modernized terms. The receiving trust is perpetual, sited in a state that imposes no income tax on trusts and that offers the strongest available protections and the greatest flexibility, and it is drafted to carry the family's wealth across an unlimited number of generations. Phase Two is not compelled; it is an option the architecture creates and preserves, to be exercised by the next generation at a time and in circumstances of its own choosing.</w:t>
      </w:r>
    </w:p>
    <w:p>
      <w:pPr>
        <w:spacing w:after="180" w:before="0" w:line="348"/>
        <w:jc w:val="both"/>
      </w:pPr>
      <w:r>
        <w:rPr>
          <w:rFonts w:ascii="Georgia" w:cs="Georgia" w:eastAsia="Georgia" w:hAnsi="Georgia"/>
          <w:color w:val="1C1C1C"/>
          <w:sz w:val="24"/>
          <w:szCs w:val="24"/>
        </w:rPr>
        <w:t xml:space="preserve">The two phases are deliberately compartmentalized. Phase One is complete and fully functional on its own terms: even if Phase Two is never undertaken, Phase One delivers asset protection, favorable income-tax treatment during the grantor's life, the basis step-up at death, and an orderly, probate-free transmission of wealth to the next generation. Phase Two builds on the foundation Phase One lays, and it depends on a small set of drafting provisions — described in Part III — that must be present in the Phase One documents for the later migration to execute cleanly, but which impose no cost or disadvantage on Phase One if the option is never exercised. The relationship between the phases is therefore one of foundation and elective superstructure, not of two halves of a single indivisible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A7B4F" w:sz="4"/>
              <w:left w:val="single" w:color="9A7B4F" w:sz="22"/>
              <w:bottom w:val="single" w:color="9A7B4F" w:sz="4"/>
              <w:right w:val="single" w:color="9A7B4F" w:sz="4"/>
            </w:tcBorders>
            <w:shd w:fill="F4F1EA" w:val="clear"/>
            <w:tcMar>
              <w:top w:type="dxa" w:w="180"/>
              <w:left w:type="dxa" w:w="240"/>
              <w:bottom w:type="dxa" w:w="180"/>
              <w:right w:type="dxa" w:w="240"/>
            </w:tcMar>
          </w:tcPr>
          <w:p>
            <w:pPr>
              <w:spacing w:after="80" w:line="300"/>
            </w:pPr>
            <w:r>
              <w:rPr>
                <w:rFonts w:ascii="Georgia" w:cs="Georgia" w:eastAsia="Georgia" w:hAnsi="Georgia"/>
                <w:b/>
                <w:bCs/>
                <w:color w:val="162131"/>
                <w:sz w:val="23"/>
                <w:szCs w:val="23"/>
              </w:rPr>
              <w:t xml:space="preserve">The Shape of the Plan in One Paragraph</w:t>
            </w:r>
          </w:p>
          <w:p>
            <w:pPr>
              <w:spacing w:after="0" w:line="312"/>
              <w:jc w:val="both"/>
            </w:pPr>
            <w:r>
              <w:rPr>
                <w:rFonts w:ascii="Georgia" w:cs="Georgia" w:eastAsia="Georgia" w:hAnsi="Georgia"/>
                <w:color w:val="1C1C1C"/>
                <w:sz w:val="22"/>
                <w:szCs w:val="22"/>
              </w:rPr>
              <w:t xml:space="preserve">A grantor forms a home-state asset-protection trust during life, holds the family's appreciated assets in it, and deliberately keeps it inside the taxable estate so the assets receive a basis step-up at death. At death the trust splits into a protected life estate for the surviving spouse and beneficiary-controlled continuing trusts for the children. Each child may then elect, at a time of the child's choosing, to decant a continuing trust into a perpetual, income-tax-free dynasty trust in a specialized jurisdiction — carrying the family's wealth forward across generations while restoring, by the child's own choice, the family unity that the death-time split had divided.</w:t>
            </w:r>
          </w:p>
        </w:tc>
      </w:tr>
    </w:tbl>
    <w:p>
      <w:pPr>
        <w:pStyle w:val="Heading1"/>
        <w:keepNext/>
        <w:pageBreakBefore/>
        <w:pBdr>
          <w:bottom w:val="single" w:color="B7C1CD" w:sz="10" w:space="3"/>
        </w:pBdr>
        <w:spacing w:after="140" w:before="360"/>
      </w:pPr>
      <w:r>
        <w:rPr>
          <w:rFonts w:ascii="Georgia" w:cs="Georgia" w:eastAsia="Georgia" w:hAnsi="Georgia"/>
          <w:b/>
          <w:bCs/>
          <w:color w:val="162131"/>
          <w:sz w:val="28"/>
          <w:szCs w:val="28"/>
        </w:rPr>
        <w:t xml:space="preserve">2.  </w:t>
      </w:r>
      <w:r>
        <w:rPr>
          <w:rFonts w:ascii="Georgia" w:cs="Georgia" w:eastAsia="Georgia" w:hAnsi="Georgia"/>
          <w:b/>
          <w:bCs/>
          <w:color w:val="162131"/>
          <w:sz w:val="28"/>
          <w:szCs w:val="28"/>
        </w:rPr>
        <w:t xml:space="preserve">The 2026 Federal and State Landscape</w:t>
      </w:r>
    </w:p>
    <w:p>
      <w:pPr>
        <w:spacing w:after="180" w:before="0" w:line="348"/>
        <w:jc w:val="both"/>
      </w:pPr>
      <w:r>
        <w:rPr>
          <w:rFonts w:ascii="Georgia" w:cs="Georgia" w:eastAsia="Georgia" w:hAnsi="Georgia"/>
          <w:color w:val="1C1C1C"/>
          <w:sz w:val="24"/>
          <w:szCs w:val="24"/>
        </w:rPr>
        <w:t xml:space="preserve">Any structure is only as sound as the law it rests on. This section describes the specific legal environment the architecture depends on as of mid-2026 — the permanent federal transfer-tax exemption, the home-state asset-protection statute that authorizes the Phase One trust, and the ancillary state law that supports the plan. The two representative states used throughout are an emerging home-state asset-protection jurisdiction, whose 2023 statute authorizes self-settled trusts, and the leading perpetual-trust jurisdiction, whose law governs Phase Two.</w:t>
      </w:r>
    </w:p>
    <w:p>
      <w:pPr>
        <w:pStyle w:val="Heading2"/>
        <w:keepNext/>
        <w:spacing w:after="100" w:before="260"/>
      </w:pPr>
      <w:r>
        <w:rPr>
          <w:rFonts w:ascii="Georgia" w:cs="Georgia" w:eastAsia="Georgia" w:hAnsi="Georgia"/>
          <w:b/>
          <w:bCs/>
          <w:color w:val="26384A"/>
          <w:sz w:val="23"/>
          <w:szCs w:val="23"/>
        </w:rPr>
        <w:t xml:space="preserve">2.1  </w:t>
      </w:r>
      <w:r>
        <w:rPr>
          <w:rFonts w:ascii="Georgia" w:cs="Georgia" w:eastAsia="Georgia" w:hAnsi="Georgia"/>
          <w:b/>
          <w:bCs/>
          <w:color w:val="26384A"/>
          <w:sz w:val="23"/>
          <w:szCs w:val="23"/>
        </w:rPr>
        <w:t xml:space="preserve">The Permanent Federal Exemption</w:t>
      </w:r>
    </w:p>
    <w:p>
      <w:pPr>
        <w:spacing w:after="180" w:before="0" w:line="348"/>
        <w:jc w:val="both"/>
      </w:pPr>
      <w:r>
        <w:rPr>
          <w:rFonts w:ascii="Georgia" w:cs="Georgia" w:eastAsia="Georgia" w:hAnsi="Georgia"/>
          <w:color w:val="1C1C1C"/>
          <w:sz w:val="24"/>
          <w:szCs w:val="24"/>
        </w:rPr>
        <w:t xml:space="preserve">The One Big Beautiful Bill Act, enacted July 4, 2025, made the federal estate, gift, and generation-skipping transfer tax exemption permanent at fifteen million dollars per individual — thirty million dollars for a married couple through the portability of a deceased spouse's unused exemption — effective for 2026 and indexed for inflation thereafter. The word permanent means only that no sunset is scheduled; a future Congress retains the power to change the figure. Before this legislation, the exemption had been scheduled to fall by roughly half, and much planning had been organized around the anticipated reduction. The permanence of the high exemption removed that deadline pressure and, for families whose wealth falls below the exemption, reoriented planning away from the reduction of the taxable estate and toward the minimization of income tax and the capture of the basis step-up at death.</w:t>
      </w:r>
    </w:p>
    <w:p>
      <w:pPr>
        <w:spacing w:after="180" w:before="0" w:line="348"/>
        <w:jc w:val="both"/>
      </w:pPr>
      <w:r>
        <w:rPr>
          <w:rFonts w:ascii="Georgia" w:cs="Georgia" w:eastAsia="Georgia" w:hAnsi="Georgia"/>
          <w:color w:val="1C1C1C"/>
          <w:sz w:val="24"/>
          <w:szCs w:val="24"/>
        </w:rPr>
        <w:t xml:space="preserve">For a family whose projected total estate sits comfortably below the exemption, the practical significance of the permanent high exemption is straightforward: the federal estate tax is not a tax the family will pay, and planning designed to avoid it is planning against a cost that will not be incurred. This single fact, developed in Section 3, inverts the traditional logic of asset-protection trusts and drives the deliberate-inclusion strategy at the heart of this architecture.</w:t>
      </w:r>
    </w:p>
    <w:p>
      <w:pPr>
        <w:pStyle w:val="Heading2"/>
        <w:keepNext/>
        <w:spacing w:after="100" w:before="260"/>
      </w:pPr>
      <w:r>
        <w:rPr>
          <w:rFonts w:ascii="Georgia" w:cs="Georgia" w:eastAsia="Georgia" w:hAnsi="Georgia"/>
          <w:b/>
          <w:bCs/>
          <w:color w:val="26384A"/>
          <w:sz w:val="23"/>
          <w:szCs w:val="23"/>
        </w:rPr>
        <w:t xml:space="preserve">2.2  </w:t>
      </w:r>
      <w:r>
        <w:rPr>
          <w:rFonts w:ascii="Georgia" w:cs="Georgia" w:eastAsia="Georgia" w:hAnsi="Georgia"/>
          <w:b/>
          <w:bCs/>
          <w:color w:val="26384A"/>
          <w:sz w:val="23"/>
          <w:szCs w:val="23"/>
        </w:rPr>
        <w:t xml:space="preserve">The Home-State Asset-Protection Statute</w:t>
      </w:r>
    </w:p>
    <w:p>
      <w:pPr>
        <w:spacing w:after="180" w:before="0" w:line="348"/>
        <w:jc w:val="both"/>
      </w:pPr>
      <w:r>
        <w:rPr>
          <w:rFonts w:ascii="Georgia" w:cs="Georgia" w:eastAsia="Georgia" w:hAnsi="Georgia"/>
          <w:color w:val="1C1C1C"/>
          <w:sz w:val="24"/>
          <w:szCs w:val="24"/>
        </w:rPr>
        <w:t xml:space="preserve">The Phase One trust is authorized by the home state's qualified-dispositions statute, enacted in 2023, which made the state one of a minority of American jurisdictions to authorize self-settled asset-protection trusts — trusts of which the settlor may be a discretionary beneficiary while the trust's assets remain beyond the reach of the settlor's future creditors. The statute requires several structural elements. The trust must be irrevocable, though irrevocability does not mean that the trust is unchangeable in every respect; the settlor may retain a range of enumerated powers without defeating the protection. The trust must have a qualified trustee — an individual resident in the state or a trust company chartered there — who administers the trust from within the state and holds custody of the trust's assets. And the disposition to the trust must satisfy the statute's requirements as to solvency and intent.</w:t>
      </w:r>
    </w:p>
    <w:p>
      <w:pPr>
        <w:spacing w:after="180" w:before="0" w:line="348"/>
        <w:jc w:val="both"/>
      </w:pPr>
      <w:r>
        <w:rPr>
          <w:rFonts w:ascii="Georgia" w:cs="Georgia" w:eastAsia="Georgia" w:hAnsi="Georgia"/>
          <w:color w:val="1C1C1C"/>
          <w:sz w:val="24"/>
          <w:szCs w:val="24"/>
        </w:rPr>
        <w:t xml:space="preserve">Creditor claims against a properly formed trust face tight limitations. A creditor whose claim arose before the transfer to the trust must generally bring an action within a limited period measured from the transfer or from the point at which the transfer reasonably could have been discovered, and a creditor whose claim arose after the transfer faces a limitations period running from the transfer itself. After the applicable period has run, the statute bars the claim against the trust's assets. The protection is not absolute — the statute excludes certain categories of claim, examined in Section 8 — but it affords substantial protection to assets transferred to the trust while the grantor is solvent and free of known claims. What the grantor may retain after transferring assets to the trust is, from an asset-protection standpoint, the central design question, and the statute permits the retention of considerable control, which the Phase One design exploits to the fullest extent consistent with the protection.</w:t>
      </w:r>
    </w:p>
    <w:p>
      <w:pPr>
        <w:pStyle w:val="Heading2"/>
        <w:keepNext/>
        <w:spacing w:after="100" w:before="260"/>
      </w:pPr>
      <w:r>
        <w:rPr>
          <w:rFonts w:ascii="Georgia" w:cs="Georgia" w:eastAsia="Georgia" w:hAnsi="Georgia"/>
          <w:b/>
          <w:bCs/>
          <w:color w:val="26384A"/>
          <w:sz w:val="23"/>
          <w:szCs w:val="23"/>
        </w:rPr>
        <w:t xml:space="preserve">2.3  </w:t>
      </w:r>
      <w:r>
        <w:rPr>
          <w:rFonts w:ascii="Georgia" w:cs="Georgia" w:eastAsia="Georgia" w:hAnsi="Georgia"/>
          <w:b/>
          <w:bCs/>
          <w:color w:val="26384A"/>
          <w:sz w:val="23"/>
          <w:szCs w:val="23"/>
        </w:rPr>
        <w:t xml:space="preserve">Ancillary State Law: Spendthrift, Charging-Order, and Income-Tax Provisions</w:t>
      </w:r>
    </w:p>
    <w:p>
      <w:pPr>
        <w:spacing w:after="180" w:before="0" w:line="348"/>
        <w:jc w:val="both"/>
      </w:pPr>
      <w:r>
        <w:rPr>
          <w:rFonts w:ascii="Georgia" w:cs="Georgia" w:eastAsia="Georgia" w:hAnsi="Georgia"/>
          <w:color w:val="1C1C1C"/>
          <w:sz w:val="24"/>
          <w:szCs w:val="24"/>
        </w:rPr>
        <w:t xml:space="preserve">Three further features of home-state law support the architecture. First, the state's trust code provides for spendthrift protection of third-party trusts — trusts created by one person for the benefit of another — under which a beneficiary cannot assign the beneficiary's interest and the beneficiary's creditors cannot reach that interest before it is distributed. This third-party spendthrift protection, which applies to the continuing trusts the children receive at the grantor's death, is stronger and more settled than the self-settled protection that applies to the grantor's own trust during life, because it does not depend on the newer self-settled-trust statute and is subject to fewer exceptions. Second, the state's limited liability company statute provides charging-order protection for membership interests, under which a member's personal creditor is limited to a lien on distributions and cannot reach the company's assets or compel distributions; this protection shields the holding company through which the rental real estate is held. Third, the state imposes a modest top-rate income tax on residents and on income sourced to the state, a rate that applies to trust income retained in a home-state trust and that Phase Two is designed, in part, to eliminate by moving to a state with no income tax on trusts.</w:t>
      </w:r>
    </w:p>
    <w:p>
      <w:pPr>
        <w:pStyle w:val="Heading1"/>
        <w:keepNext/>
        <w:pageBreakBefore/>
        <w:pBdr>
          <w:bottom w:val="single" w:color="B7C1CD" w:sz="10" w:space="3"/>
        </w:pBdr>
        <w:spacing w:after="140" w:before="360"/>
      </w:pPr>
      <w:r>
        <w:rPr>
          <w:rFonts w:ascii="Georgia" w:cs="Georgia" w:eastAsia="Georgia" w:hAnsi="Georgia"/>
          <w:b/>
          <w:bCs/>
          <w:color w:val="162131"/>
          <w:sz w:val="28"/>
          <w:szCs w:val="28"/>
        </w:rPr>
        <w:t xml:space="preserve">3.  </w:t>
      </w:r>
      <w:r>
        <w:rPr>
          <w:rFonts w:ascii="Georgia" w:cs="Georgia" w:eastAsia="Georgia" w:hAnsi="Georgia"/>
          <w:b/>
          <w:bCs/>
          <w:color w:val="162131"/>
          <w:sz w:val="28"/>
          <w:szCs w:val="28"/>
        </w:rPr>
        <w:t xml:space="preserve">The Central Strategy: Deliberate Estate Inclusion for a Basis Step-Up</w:t>
      </w:r>
    </w:p>
    <w:p>
      <w:pPr>
        <w:spacing w:after="180" w:before="0" w:line="348"/>
        <w:jc w:val="both"/>
      </w:pPr>
      <w:r>
        <w:rPr>
          <w:rFonts w:ascii="Georgia" w:cs="Georgia" w:eastAsia="Georgia" w:hAnsi="Georgia"/>
          <w:color w:val="1C1C1C"/>
          <w:sz w:val="24"/>
          <w:szCs w:val="24"/>
        </w:rPr>
        <w:t xml:space="preserve">The organizing idea of the entire architecture can be stated in a sentence: because the family's wealth is below the federal exemption, the plan is built to keep assets inside the grantor's taxable estate so that they receive a basis step-up at death, rather than to push assets out of the estate as traditional asset-protection planning would do. This section develops that idea, because once it is understood, most of the specific design choices in the balance of the document follow from it.</w:t>
      </w:r>
    </w:p>
    <w:p>
      <w:pPr>
        <w:spacing w:after="180" w:before="0" w:line="348"/>
        <w:jc w:val="both"/>
      </w:pPr>
      <w:r>
        <w:rPr>
          <w:rFonts w:ascii="Georgia" w:cs="Georgia" w:eastAsia="Georgia" w:hAnsi="Georgia"/>
          <w:color w:val="1C1C1C"/>
          <w:sz w:val="24"/>
          <w:szCs w:val="24"/>
        </w:rPr>
        <w:t xml:space="preserve">Traditional asset-protection trusts are drafted to keep the trust's assets out of the settlor's taxable estate. Under the law that prevailed when the federal exemption was low and scheduled to fall, this was frequently the correct choice, because keeping assets out of the estate avoided a forty-percent estate tax on the excess above the exemption. The technique had a cost, however, and the cost is now decisive. Assets that are excluded from a decedent's estate do not receive the adjustment of basis to fair market value that Section 1014 of the Internal Revenue Code confers on assets that are included; the tax authorities have confirmed that assets held in an irrevocable grantor trust excluded from the estate take no step-up. Excluding assets from the estate therefore trades the elimination of an estate tax for the retention of the income tax on a lifetime of appreciation, a trade that makes sense only when the estate tax avoided exceeds the income tax retained.</w:t>
      </w:r>
    </w:p>
    <w:p>
      <w:pPr>
        <w:spacing w:after="180" w:before="0" w:line="348"/>
        <w:jc w:val="both"/>
      </w:pPr>
      <w:r>
        <w:rPr>
          <w:rFonts w:ascii="Georgia" w:cs="Georgia" w:eastAsia="Georgia" w:hAnsi="Georgia"/>
          <w:color w:val="1C1C1C"/>
          <w:sz w:val="24"/>
          <w:szCs w:val="24"/>
        </w:rPr>
        <w:t xml:space="preserve">For a family below the exemption, that trade runs the wrong way. The estate tax being avoided is a tax the family will not owe, so avoiding it is worth nothing, while the income tax being retained — the capital-gains tax on the appreciation embedded in the family's assets — is very real and will fall on the next generation when it sells. The rational choice for such a family is therefore the opposite of the traditional one: to include the assets in the estate, incurring no estate tax because the estate is below the exemption, and thereby to secure the basis step-up that eliminates the built-in capital gain.</w:t>
      </w:r>
    </w:p>
    <w:p>
      <w:pPr>
        <w:pBdr>
          <w:left w:val="single" w:color="9A7B4F" w:sz="20" w:space="12"/>
        </w:pBdr>
        <w:spacing w:after="180" w:before="140" w:line="320"/>
        <w:ind w:left="720" w:right="504"/>
        <w:jc w:val="both"/>
      </w:pPr>
      <w:r>
        <w:rPr>
          <w:rFonts w:ascii="Georgia" w:cs="Georgia" w:eastAsia="Georgia" w:hAnsi="Georgia"/>
          <w:i/>
          <w:iCs/>
          <w:color w:val="162131"/>
          <w:sz w:val="22"/>
          <w:szCs w:val="22"/>
        </w:rPr>
        <w:t xml:space="preserve">The mechanism is concrete. A rental portfolio that has appreciated substantially over the years the grantor has owned it carries a large embedded capital gain. If the next generation inherited that portfolio with the grantor's original basis and later sold, it would owe capital-gains tax and depreciation recapture on the full appreciation. If instead the portfolio is included in the grantor's estate and receives a step-up at death, the basis resets to fair market value, the embedded gain and the recapture vanish, and the next generation may sell with little or no tax.</w:t>
      </w:r>
    </w:p>
    <w:p>
      <w:pPr>
        <w:spacing w:after="180" w:before="0" w:line="348"/>
        <w:jc w:val="both"/>
      </w:pPr>
      <w:r>
        <w:rPr>
          <w:rFonts w:ascii="Georgia" w:cs="Georgia" w:eastAsia="Georgia" w:hAnsi="Georgia"/>
          <w:color w:val="1C1C1C"/>
          <w:sz w:val="24"/>
          <w:szCs w:val="24"/>
        </w:rPr>
        <w:t xml:space="preserve">The design that accomplishes this is a trust drafted to be a grantor trust for income-tax purposes during the grantor's life — so that the grantor pays the tax on the trust's income and the trust compounds without the drag of income tax — while being deliberately included in the grantor's estate for estate-tax purposes through the retention of specified powers, so that the step-up applies at death. The trust is, in the language of practitioners, intentionally defective for income-tax purposes and deliberately includible for estate-tax purposes: it captures the income-tax advantages of grantor-trust status and the basis advantages of estate inclusion at once, and it does so at no estate-tax cost because the estate is below the exemption. This combination is the foundation of Phase One, and the retained powers that achieve the deliberate inclusion are described in Part II. The reader should carry the idea forward as the key to the choices that follow: the plan does not fear inclusion in the estate; it seeks inclusion, because inclusion is what delivers the step-up, and the step-up is the largest tax benefit the plan produces.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A7B4F" w:sz="4"/>
              <w:left w:val="single" w:color="9A7B4F" w:sz="22"/>
              <w:bottom w:val="single" w:color="9A7B4F" w:sz="4"/>
              <w:right w:val="single" w:color="9A7B4F" w:sz="4"/>
            </w:tcBorders>
            <w:shd w:fill="F4F1EA" w:val="clear"/>
            <w:tcMar>
              <w:top w:type="dxa" w:w="180"/>
              <w:left w:type="dxa" w:w="240"/>
              <w:bottom w:type="dxa" w:w="180"/>
              <w:right w:type="dxa" w:w="240"/>
            </w:tcMar>
          </w:tcPr>
          <w:p>
            <w:pPr>
              <w:spacing w:after="80" w:line="300"/>
            </w:pPr>
            <w:r>
              <w:rPr>
                <w:rFonts w:ascii="Georgia" w:cs="Georgia" w:eastAsia="Georgia" w:hAnsi="Georgia"/>
                <w:b/>
                <w:bCs/>
                <w:color w:val="162131"/>
                <w:sz w:val="23"/>
                <w:szCs w:val="23"/>
              </w:rPr>
              <w:t xml:space="preserve">Why This Reverses the Usual Advice</w:t>
            </w:r>
          </w:p>
          <w:p>
            <w:pPr>
              <w:spacing w:after="0" w:line="312"/>
              <w:jc w:val="both"/>
            </w:pPr>
            <w:r>
              <w:rPr>
                <w:rFonts w:ascii="Georgia" w:cs="Georgia" w:eastAsia="Georgia" w:hAnsi="Georgia"/>
                <w:color w:val="1C1C1C"/>
                <w:sz w:val="22"/>
                <w:szCs w:val="22"/>
              </w:rPr>
              <w:t xml:space="preserve">Most sophisticated trust planning is written for families over the exemption, whose central problem is the estate tax and whose central move is to push appreciation out of the estate. A family below the exemption has the opposite problem — income tax at the next generation, not estate tax — and therefore makes the opposite move: it keeps appreciation in the estate to secure the basis step-up. A strategy that would be correct for a wealthier family is precisely wrong here, and vice versa. The family's position relative to the exemption is the fact that determines which way the plan should run.</w:t>
            </w:r>
          </w:p>
        </w:tc>
      </w:tr>
    </w:tbl>
    <w:p>
      <w:pPr>
        <w:pageBreakBefore/>
        <w:spacing w:after="120" w:before="2400"/>
        <w:jc w:val="center"/>
      </w:pPr>
      <w:r>
        <w:rPr>
          <w:rFonts w:ascii="Georgia" w:cs="Georgia" w:eastAsia="Georgia" w:hAnsi="Georgia"/>
          <w:b/>
          <w:bCs/>
          <w:color w:val="9A7B4F"/>
          <w:sz w:val="28"/>
          <w:szCs w:val="28"/>
        </w:rPr>
        <w:t xml:space="preserve">PART II</w:t>
      </w:r>
    </w:p>
    <w:p>
      <w:pPr>
        <w:pBdr>
          <w:top w:val="single" w:color="B7C1CD" w:sz="8" w:space="6"/>
          <w:bottom w:val="single" w:color="B7C1CD" w:sz="8" w:space="6"/>
        </w:pBdr>
        <w:spacing w:after="200"/>
        <w:jc w:val="center"/>
      </w:pPr>
      <w:r>
        <w:rPr>
          <w:rFonts w:ascii="Georgia" w:cs="Georgia" w:eastAsia="Georgia" w:hAnsi="Georgia"/>
          <w:b/>
          <w:bCs/>
          <w:color w:val="162131"/>
          <w:sz w:val="34"/>
          <w:szCs w:val="34"/>
        </w:rPr>
        <w:t xml:space="preserve">Phase One — The Home-State Trust</w:t>
      </w:r>
    </w:p>
    <w:p>
      <w:pPr>
        <w:spacing w:after="180" w:before="200" w:line="348"/>
        <w:jc w:val="both"/>
      </w:pPr>
      <w:r>
        <w:rPr>
          <w:rFonts w:ascii="Georgia" w:cs="Georgia" w:eastAsia="Georgia" w:hAnsi="Georgia"/>
          <w:color w:val="1C1C1C"/>
          <w:sz w:val="24"/>
          <w:szCs w:val="24"/>
        </w:rPr>
        <w:t xml:space="preserve">This part develops Phase One in full: the design of the home-state asset-protection trust that operates during the grantor's life, the testamentary distribution that executes at the grantor's death, the integration of each class of family asset, the tax strategy, the layers of asset protection, and the liquidity strategy that allows the family to draw value from appreciated assets without triggering tax. Phase One is complete and functional on its own terms; Part III's elective second phase builds upon it but is not necessary to it.</w:t>
      </w:r>
    </w:p>
    <w:p>
      <w:pPr>
        <w:pStyle w:val="Heading1"/>
        <w:keepNext/>
        <w:pageBreakBefore/>
        <w:pBdr>
          <w:bottom w:val="single" w:color="B7C1CD" w:sz="10" w:space="3"/>
        </w:pBdr>
        <w:spacing w:after="140" w:before="360"/>
      </w:pPr>
      <w:r>
        <w:rPr>
          <w:rFonts w:ascii="Georgia" w:cs="Georgia" w:eastAsia="Georgia" w:hAnsi="Georgia"/>
          <w:b/>
          <w:bCs/>
          <w:color w:val="162131"/>
          <w:sz w:val="28"/>
          <w:szCs w:val="28"/>
        </w:rPr>
        <w:t xml:space="preserve">4.  </w:t>
      </w:r>
      <w:r>
        <w:rPr>
          <w:rFonts w:ascii="Georgia" w:cs="Georgia" w:eastAsia="Georgia" w:hAnsi="Georgia"/>
          <w:b/>
          <w:bCs/>
          <w:color w:val="162131"/>
          <w:sz w:val="28"/>
          <w:szCs w:val="28"/>
        </w:rPr>
        <w:t xml:space="preserve">The Trust Design</w:t>
      </w:r>
    </w:p>
    <w:p>
      <w:pPr>
        <w:spacing w:after="180" w:before="0" w:line="348"/>
        <w:jc w:val="both"/>
      </w:pPr>
      <w:r>
        <w:rPr>
          <w:rFonts w:ascii="Georgia" w:cs="Georgia" w:eastAsia="Georgia" w:hAnsi="Georgia"/>
          <w:color w:val="1C1C1C"/>
          <w:sz w:val="24"/>
          <w:szCs w:val="24"/>
        </w:rPr>
        <w:t xml:space="preserve">This section describes the design of the Phase One trust, focusing on the structural choices that matter most in drafting: the trust's purpose during the grantor's life, its grantor-trust status, the deliberate estate inclusion that secures the basis step-up, the specific powers the grantor retains, and the qualified trustee the statute requires.</w:t>
      </w:r>
    </w:p>
    <w:p>
      <w:pPr>
        <w:pStyle w:val="Heading2"/>
        <w:keepNext/>
        <w:spacing w:after="100" w:before="260"/>
      </w:pPr>
      <w:r>
        <w:rPr>
          <w:rFonts w:ascii="Georgia" w:cs="Georgia" w:eastAsia="Georgia" w:hAnsi="Georgia"/>
          <w:b/>
          <w:bCs/>
          <w:color w:val="26384A"/>
          <w:sz w:val="23"/>
          <w:szCs w:val="23"/>
        </w:rPr>
        <w:t xml:space="preserve">4.1  </w:t>
      </w:r>
      <w:r>
        <w:rPr>
          <w:rFonts w:ascii="Georgia" w:cs="Georgia" w:eastAsia="Georgia" w:hAnsi="Georgia"/>
          <w:b/>
          <w:bCs/>
          <w:color w:val="26384A"/>
          <w:sz w:val="23"/>
          <w:szCs w:val="23"/>
        </w:rPr>
        <w:t xml:space="preserve">Purpose During the Grantor's Lifetime</w:t>
      </w:r>
    </w:p>
    <w:p>
      <w:pPr>
        <w:spacing w:after="180" w:before="0" w:line="348"/>
        <w:jc w:val="both"/>
      </w:pPr>
      <w:r>
        <w:rPr>
          <w:rFonts w:ascii="Georgia" w:cs="Georgia" w:eastAsia="Georgia" w:hAnsi="Georgia"/>
          <w:color w:val="1C1C1C"/>
          <w:sz w:val="24"/>
          <w:szCs w:val="24"/>
        </w:rPr>
        <w:t xml:space="preserve">The trust is designed to accomplish four things at once during the grantor's lifetime. First, it provides meaningful asset protection for the family's core wealth, placing the rental portfolio and other assets behind the home state's asset-protection statute and behind the charging-order protection of the holding company. Second, it establishes grantor-trust status for income-tax purposes, so that the trust's income is taxed to the grantor and the trust compounds without the drag of income tax. Third, it is drafted to be included in the grantor's estate at death, so that its assets receive the basis step-up. And fourth, it fixes in advance the testamentary distribution of the family's wealth — a protected life estate for the surviving spouse and continuing trusts for the children — so that the transmission of wealth at the grantor's death occurs by the trust's own terms, without probate and without court supervision. These four purposes are not in tension; the design achieves all of them simultaneously, and the balance of this section describes how.</w:t>
      </w:r>
    </w:p>
    <w:p>
      <w:pPr>
        <w:pStyle w:val="Heading2"/>
        <w:keepNext/>
        <w:spacing w:after="100" w:before="260"/>
      </w:pPr>
      <w:r>
        <w:rPr>
          <w:rFonts w:ascii="Georgia" w:cs="Georgia" w:eastAsia="Georgia" w:hAnsi="Georgia"/>
          <w:b/>
          <w:bCs/>
          <w:color w:val="26384A"/>
          <w:sz w:val="23"/>
          <w:szCs w:val="23"/>
        </w:rPr>
        <w:t xml:space="preserve">4.2  </w:t>
      </w:r>
      <w:r>
        <w:rPr>
          <w:rFonts w:ascii="Georgia" w:cs="Georgia" w:eastAsia="Georgia" w:hAnsi="Georgia"/>
          <w:b/>
          <w:bCs/>
          <w:color w:val="26384A"/>
          <w:sz w:val="23"/>
          <w:szCs w:val="23"/>
        </w:rPr>
        <w:t xml:space="preserve">Grantor-Trust Status During the Grantor's Lifetime</w:t>
      </w:r>
    </w:p>
    <w:p>
      <w:pPr>
        <w:spacing w:after="180" w:before="0" w:line="348"/>
        <w:jc w:val="both"/>
      </w:pPr>
      <w:r>
        <w:rPr>
          <w:rFonts w:ascii="Georgia" w:cs="Georgia" w:eastAsia="Georgia" w:hAnsi="Georgia"/>
          <w:color w:val="1C1C1C"/>
          <w:sz w:val="24"/>
          <w:szCs w:val="24"/>
        </w:rPr>
        <w:t xml:space="preserve">During the grantor's lifetime the trust is an intentionally defective grantor trust, meaning that for income-tax purposes the trust is disregarded and the grantor is treated as the owner of its assets, so that the trust's income, deductions, and credits are reported on the grantor's own return and the trust itself pays no separate income tax. Grantor-trust status is achieved by the grantor's retention of one of the powers the Internal Revenue Code specifies, most commonly the power, exercisable in a non-fiduciary capacity, to reacquire the trust's assets by substituting property of equivalent value — a power that confers grantor-trust status without, by itself, causing the trust's assets to be included in the grantor's estate.</w:t>
      </w:r>
    </w:p>
    <w:p>
      <w:pPr>
        <w:spacing w:after="180" w:before="0" w:line="348"/>
        <w:jc w:val="both"/>
      </w:pPr>
      <w:r>
        <w:rPr>
          <w:rFonts w:ascii="Georgia" w:cs="Georgia" w:eastAsia="Georgia" w:hAnsi="Georgia"/>
          <w:color w:val="1C1C1C"/>
          <w:sz w:val="24"/>
          <w:szCs w:val="24"/>
        </w:rPr>
        <w:t xml:space="preserve">The significance of grantor-trust status is that it allows the trust to grow faster than assets held outside it. When the grantor pays the trust's income tax out of personal funds, the payment is not treated as an additional gift to the trust's beneficiaries; it simply discharges the grantor's own tax liability. The trust therefore compounds on a pre-tax basis while the grantor's separate estate is steadily reduced by the tax payments, so that value migrates into the trust year after year without the use of any gift exemption and without gift tax. Over a long horizon this silent transfer is substantial, and it operates automatically once the trust is in place.</w:t>
      </w:r>
    </w:p>
    <w:p>
      <w:pPr>
        <w:pStyle w:val="Heading2"/>
        <w:keepNext/>
        <w:spacing w:after="100" w:before="260"/>
      </w:pPr>
      <w:r>
        <w:rPr>
          <w:rFonts w:ascii="Georgia" w:cs="Georgia" w:eastAsia="Georgia" w:hAnsi="Georgia"/>
          <w:b/>
          <w:bCs/>
          <w:color w:val="26384A"/>
          <w:sz w:val="23"/>
          <w:szCs w:val="23"/>
        </w:rPr>
        <w:t xml:space="preserve">4.3  </w:t>
      </w:r>
      <w:r>
        <w:rPr>
          <w:rFonts w:ascii="Georgia" w:cs="Georgia" w:eastAsia="Georgia" w:hAnsi="Georgia"/>
          <w:b/>
          <w:bCs/>
          <w:color w:val="26384A"/>
          <w:sz w:val="23"/>
          <w:szCs w:val="23"/>
        </w:rPr>
        <w:t xml:space="preserve">Deliberate Estate Inclusion for the Basis Step-Up</w:t>
      </w:r>
    </w:p>
    <w:p>
      <w:pPr>
        <w:spacing w:after="180" w:before="0" w:line="348"/>
        <w:jc w:val="both"/>
      </w:pPr>
      <w:r>
        <w:rPr>
          <w:rFonts w:ascii="Georgia" w:cs="Georgia" w:eastAsia="Georgia" w:hAnsi="Georgia"/>
          <w:color w:val="1C1C1C"/>
          <w:sz w:val="24"/>
          <w:szCs w:val="24"/>
        </w:rPr>
        <w:t xml:space="preserve">As Section 3 explained, the plan deliberately causes the trust to be included in the grantor's estate so that its assets receive the basis step-up at death. The traditional asset-protection trust is drafted to keep assets out of the estate, which was frequently correct when the exemption was low; but for a family below the exemption, inclusion costs no estate tax and secures the step-up that eliminates the built-in capital gain. The trust is therefore drafted so that the grantor retains powers sufficient to cause inclusion under the provisions of the Internal Revenue Code that pull into the estate assets over which the decedent retained specified control — the same retained powers that, as it happens, maximize the grantor's practical control of the trust during life. The deliberate-inclusion choice and the grantor's desire for retained control thus point in the same direction, and the retained-powers design described next serves both objectives at once.</w:t>
      </w:r>
    </w:p>
    <w:p>
      <w:pPr>
        <w:pStyle w:val="Heading2"/>
        <w:keepNext/>
        <w:spacing w:after="100" w:before="260"/>
      </w:pPr>
      <w:r>
        <w:rPr>
          <w:rFonts w:ascii="Georgia" w:cs="Georgia" w:eastAsia="Georgia" w:hAnsi="Georgia"/>
          <w:b/>
          <w:bCs/>
          <w:color w:val="26384A"/>
          <w:sz w:val="23"/>
          <w:szCs w:val="23"/>
        </w:rPr>
        <w:t xml:space="preserve">4.4  </w:t>
      </w:r>
      <w:r>
        <w:rPr>
          <w:rFonts w:ascii="Georgia" w:cs="Georgia" w:eastAsia="Georgia" w:hAnsi="Georgia"/>
          <w:b/>
          <w:bCs/>
          <w:color w:val="26384A"/>
          <w:sz w:val="23"/>
          <w:szCs w:val="23"/>
        </w:rPr>
        <w:t xml:space="preserve">Retained Powers — What the Grantor Keeps</w:t>
      </w:r>
    </w:p>
    <w:p>
      <w:pPr>
        <w:spacing w:after="180" w:before="0" w:line="348"/>
        <w:jc w:val="both"/>
      </w:pPr>
      <w:r>
        <w:rPr>
          <w:rFonts w:ascii="Georgia" w:cs="Georgia" w:eastAsia="Georgia" w:hAnsi="Georgia"/>
          <w:color w:val="1C1C1C"/>
          <w:sz w:val="24"/>
          <w:szCs w:val="24"/>
        </w:rPr>
        <w:t xml:space="preserve">The design maximizes the grantor's retained control within the bounds the asset-protection statute permits, and the specific powers retained also serve to cause the deliberate estate inclusion the plan seeks. The trust document gives the grantor the following powers. It gives the grantor the right to veto any distribution the independent trustee proposes to make to any beneficiary, including the grantor, so that no distribution occurs without the grantor's concurrence. It gives the grantor a limited testamentary power of appointment among the grantor's descendants — including the children's spouses and issue — and charitable beneficiaries, allowing the grantor to adjust the ultimate disposition of the trust by will within a defined class. It gives the grantor the right to receive discretionary distributions of income and principal at the independent trustee's sole discretion, a right the asset-protection statute permits a settlor to retain without defeating the protection. It gives the grantor the power to remove and replace the qualified trustee with another qualified trustee, a meaningful check on the trustee's discretion. It gives the grantor the power to direct the trust's investments, directly or through a designated investment advisor, so that the grantor may continue to manage the rental portfolio and the local real estate holdings the grantor knows best. And it gives the grantor the substitution power described above, held in a non-fiduciary capacity, which supports grantor-trust status for income-tax purposes. Together these powers give the grantor extensive practical control of the trust during life while causing the trust's assets to be included in the grantor's estate for the basis step-up, and they do so within the limits the asset-protection statute sets.</w:t>
      </w:r>
    </w:p>
    <w:p>
      <w:pPr>
        <w:pStyle w:val="Heading2"/>
        <w:keepNext/>
        <w:spacing w:after="100" w:before="260"/>
      </w:pPr>
      <w:r>
        <w:rPr>
          <w:rFonts w:ascii="Georgia" w:cs="Georgia" w:eastAsia="Georgia" w:hAnsi="Georgia"/>
          <w:b/>
          <w:bCs/>
          <w:color w:val="26384A"/>
          <w:sz w:val="23"/>
          <w:szCs w:val="23"/>
        </w:rPr>
        <w:t xml:space="preserve">4.5  </w:t>
      </w:r>
      <w:r>
        <w:rPr>
          <w:rFonts w:ascii="Georgia" w:cs="Georgia" w:eastAsia="Georgia" w:hAnsi="Georgia"/>
          <w:b/>
          <w:bCs/>
          <w:color w:val="26384A"/>
          <w:sz w:val="23"/>
          <w:szCs w:val="23"/>
        </w:rPr>
        <w:t xml:space="preserve">The Qualified Trustee</w:t>
      </w:r>
    </w:p>
    <w:p>
      <w:pPr>
        <w:spacing w:after="180" w:before="0" w:line="348"/>
        <w:jc w:val="both"/>
      </w:pPr>
      <w:r>
        <w:rPr>
          <w:rFonts w:ascii="Georgia" w:cs="Georgia" w:eastAsia="Georgia" w:hAnsi="Georgia"/>
          <w:color w:val="1C1C1C"/>
          <w:sz w:val="24"/>
          <w:szCs w:val="24"/>
        </w:rPr>
        <w:t xml:space="preserve">The asset-protection statute requires a qualified trustee — either an individual resident in the home state or a trust company chartered there — who administers the trust from within the state, maintains the trust's records there, and holds custody of the trust's assets. The qualified trustee's role is genuine but need not be dominant: the statute permits the grantor to retain the investment direction and the distribution veto described above, so that the qualified trustee's function is principally the formal administration of the trust — maintaining its situs in the state, keeping its records, and exercising the distribution discretion subject to the grantor's veto. A corporate trustee, such as the trust department of a bank or an independent trust company chartered in the state, is the common choice, and the grantor's power to remove and replace the trustee with another qualified trustee preserves the grantor's ability to change trustees if the relationship does not serve the family well. The requirement of a qualified in-state trustee is one of the connections to the home state on which the application of the state's favorable law depends.</w:t>
      </w:r>
    </w:p>
    <w:p>
      <w:pPr>
        <w:pStyle w:val="Heading1"/>
        <w:keepNext/>
        <w:pageBreakBefore/>
        <w:pBdr>
          <w:bottom w:val="single" w:color="B7C1CD" w:sz="10" w:space="3"/>
        </w:pBdr>
        <w:spacing w:after="140" w:before="360"/>
      </w:pPr>
      <w:r>
        <w:rPr>
          <w:rFonts w:ascii="Georgia" w:cs="Georgia" w:eastAsia="Georgia" w:hAnsi="Georgia"/>
          <w:b/>
          <w:bCs/>
          <w:color w:val="162131"/>
          <w:sz w:val="28"/>
          <w:szCs w:val="28"/>
        </w:rPr>
        <w:t xml:space="preserve">5.  </w:t>
      </w:r>
      <w:r>
        <w:rPr>
          <w:rFonts w:ascii="Georgia" w:cs="Georgia" w:eastAsia="Georgia" w:hAnsi="Georgia"/>
          <w:b/>
          <w:bCs/>
          <w:color w:val="162131"/>
          <w:sz w:val="28"/>
          <w:szCs w:val="28"/>
        </w:rPr>
        <w:t xml:space="preserve">The Testamentary Distribution at the Grantor's Death</w:t>
      </w:r>
    </w:p>
    <w:p>
      <w:pPr>
        <w:spacing w:after="180" w:before="0" w:line="348"/>
        <w:jc w:val="both"/>
      </w:pPr>
      <w:r>
        <w:rPr>
          <w:rFonts w:ascii="Georgia" w:cs="Georgia" w:eastAsia="Georgia" w:hAnsi="Georgia"/>
          <w:color w:val="1C1C1C"/>
          <w:sz w:val="24"/>
          <w:szCs w:val="24"/>
        </w:rPr>
        <w:t xml:space="preserve">At the grantor's death, the trust distributes by its express terms, without probate and without court supervision, into three streams: a life-estate sub-trust for the surviving spouse, and separate continuing trusts for each of the grantor's children. This section describes each stream and the drafting provisions that govern the continuing trusts.</w:t>
      </w:r>
    </w:p>
    <w:p>
      <w:pPr>
        <w:pStyle w:val="Heading2"/>
        <w:keepNext/>
        <w:spacing w:after="100" w:before="260"/>
      </w:pPr>
      <w:r>
        <w:rPr>
          <w:rFonts w:ascii="Georgia" w:cs="Georgia" w:eastAsia="Georgia" w:hAnsi="Georgia"/>
          <w:b/>
          <w:bCs/>
          <w:color w:val="26384A"/>
          <w:sz w:val="23"/>
          <w:szCs w:val="23"/>
        </w:rPr>
        <w:t xml:space="preserve">5.1  </w:t>
      </w:r>
      <w:r>
        <w:rPr>
          <w:rFonts w:ascii="Georgia" w:cs="Georgia" w:eastAsia="Georgia" w:hAnsi="Georgia"/>
          <w:b/>
          <w:bCs/>
          <w:color w:val="26384A"/>
          <w:sz w:val="23"/>
          <w:szCs w:val="23"/>
        </w:rPr>
        <w:t xml:space="preserve">The Life-Estate Sub-Trust for the Surviving Spouse</w:t>
      </w:r>
    </w:p>
    <w:p>
      <w:pPr>
        <w:spacing w:after="180" w:before="0" w:line="348"/>
        <w:jc w:val="both"/>
      </w:pPr>
      <w:r>
        <w:rPr>
          <w:rFonts w:ascii="Georgia" w:cs="Georgia" w:eastAsia="Georgia" w:hAnsi="Georgia"/>
          <w:color w:val="1C1C1C"/>
          <w:sz w:val="24"/>
          <w:szCs w:val="24"/>
        </w:rPr>
        <w:t xml:space="preserve">The first stream is a continuing sub-trust that holds a single designated property for the benefit of the surviving spouse. The specific property — whether the family residence or one designated rental property — is fixed in the trust instrument, and the sub-trust gives the surviving spouse defined rights for the duration of the spouse's interest: the right to occupy the property as a residence, the right to any rental income the property produces net of its carrying costs, and the right to have the property maintained from trust resources. The sub-trust is a continuing trust rather than a legal life estate, so that its administration is governed by the trustee under the trust's terms rather than by the common law of life estates, and its termination is administrative rather than judicial. The design protects the surviving spouse's security in a specific asset while keeping the balance of the family's wealth flowing to the continuing trusts for the children.</w:t>
      </w:r>
    </w:p>
    <w:p>
      <w:pPr>
        <w:pStyle w:val="Heading2"/>
        <w:keepNext/>
        <w:spacing w:after="100" w:before="260"/>
      </w:pPr>
      <w:r>
        <w:rPr>
          <w:rFonts w:ascii="Georgia" w:cs="Georgia" w:eastAsia="Georgia" w:hAnsi="Georgia"/>
          <w:b/>
          <w:bCs/>
          <w:color w:val="26384A"/>
          <w:sz w:val="23"/>
          <w:szCs w:val="23"/>
        </w:rPr>
        <w:t xml:space="preserve">5.2  </w:t>
      </w:r>
      <w:r>
        <w:rPr>
          <w:rFonts w:ascii="Georgia" w:cs="Georgia" w:eastAsia="Georgia" w:hAnsi="Georgia"/>
          <w:b/>
          <w:bCs/>
          <w:color w:val="26384A"/>
          <w:sz w:val="23"/>
          <w:szCs w:val="23"/>
        </w:rPr>
        <w:t xml:space="preserve">The Remarriage Clause</w:t>
      </w:r>
    </w:p>
    <w:p>
      <w:pPr>
        <w:spacing w:after="180" w:before="0" w:line="348"/>
        <w:jc w:val="both"/>
      </w:pPr>
      <w:r>
        <w:rPr>
          <w:rFonts w:ascii="Georgia" w:cs="Georgia" w:eastAsia="Georgia" w:hAnsi="Georgia"/>
          <w:color w:val="1C1C1C"/>
          <w:sz w:val="24"/>
          <w:szCs w:val="24"/>
        </w:rPr>
        <w:t xml:space="preserve">The trust may provide, according to the grantor's instruction, that the surviving spouse's interest in the life-estate sub-trust terminates upon the spouse's remarriage. A partial restraint on the remarriage of a surviving spouse, imposed through a trust that provides support during widowhood, is generally enforceable, because it is understood as a provision for the spouse during a defined period rather than as a penalty designed solely to prevent remarriage. The clause requires careful drafting. The triggering event should be defined with precision, and the drafter must consider whether events short of formal marriage should trigger termination. The consequence of termination should be specified — commonly, the designated property passes into the continuing trusts for the children upon the spouse's remarriage — and the clause should address whether a later dissolution of the remarriage revives the terminated interest, which ordinarily it should not. One tax consequence deserves explicit acknowledgment: a life estate terminable on remarriage does not qualify for the marital deduction, but for a family below the exemption this is immaterial, because no estate tax is owed and the marital deduction, which defers estate tax to the survivor's death, is not needed.</w:t>
      </w:r>
    </w:p>
    <w:p>
      <w:pPr>
        <w:pStyle w:val="Heading2"/>
        <w:keepNext/>
        <w:spacing w:after="100" w:before="260"/>
      </w:pPr>
      <w:r>
        <w:rPr>
          <w:rFonts w:ascii="Georgia" w:cs="Georgia" w:eastAsia="Georgia" w:hAnsi="Georgia"/>
          <w:b/>
          <w:bCs/>
          <w:color w:val="26384A"/>
          <w:sz w:val="23"/>
          <w:szCs w:val="23"/>
        </w:rPr>
        <w:t xml:space="preserve">5.3  </w:t>
      </w:r>
      <w:r>
        <w:rPr>
          <w:rFonts w:ascii="Georgia" w:cs="Georgia" w:eastAsia="Georgia" w:hAnsi="Georgia"/>
          <w:b/>
          <w:bCs/>
          <w:color w:val="26384A"/>
          <w:sz w:val="23"/>
          <w:szCs w:val="23"/>
        </w:rPr>
        <w:t xml:space="preserve">The Continuing Trusts for the Children</w:t>
      </w:r>
    </w:p>
    <w:p>
      <w:pPr>
        <w:spacing w:after="180" w:before="0" w:line="348"/>
        <w:jc w:val="both"/>
      </w:pPr>
      <w:r>
        <w:rPr>
          <w:rFonts w:ascii="Georgia" w:cs="Georgia" w:eastAsia="Georgia" w:hAnsi="Georgia"/>
          <w:color w:val="1C1C1C"/>
          <w:sz w:val="24"/>
          <w:szCs w:val="24"/>
        </w:rPr>
        <w:t xml:space="preserve">The second and third streams are separate continuing trusts for the grantor's children, created at the grantor's death and funded with equal shares of the trust's residue after the life-estate sub-trust has been carved out. Each continuing trust is designed to give its beneficiary substantial control while preserving robust asset protection. The beneficiary may serve as a co-trustee of the beneficiary's own trust, alongside an independent co-trustee, and distributions operate on two tracks. On the first track, the beneficiary, as co-trustee, may distribute to the beneficiary according to an ascertainable standard limited to health, education, maintenance, and support — a standard that, because it is ascertainable, does not constitute a general power of appointment and does not cause the trust's assets to be included in the beneficiary's own estate. On the second track, any distribution beyond that standard, and any distribution to the beneficiary's spouse or descendants, is committed to the sole discretion of the independent co-trustee. This bifurcation gives the beneficiary practical control over ordinary needs while keeping the trust's assets outside the beneficiary's taxable estate and beyond the reach of the beneficiary's creditors.</w:t>
      </w:r>
    </w:p>
    <w:p>
      <w:pPr>
        <w:spacing w:after="180" w:before="0" w:line="348"/>
        <w:jc w:val="both"/>
      </w:pPr>
      <w:r>
        <w:rPr>
          <w:rFonts w:ascii="Georgia" w:cs="Georgia" w:eastAsia="Georgia" w:hAnsi="Georgia"/>
          <w:color w:val="1C1C1C"/>
          <w:sz w:val="24"/>
          <w:szCs w:val="24"/>
        </w:rPr>
        <w:t xml:space="preserve">Each continuing trust also gives its beneficiary a limited testamentary power of appointment over the trust's remainder, exercisable among the beneficiary's descendants and charitable organizations, so that the beneficiary may shape the ultimate disposition of the trust within a defined class without causing estate inclusion. And full third-party spendthrift protection applies to each continuing trust immediately upon funding, because the beneficiaries are not the settlors of these trusts — the grantor is — so the protection attaches without the waiting period that applies to a self-settled trust. The continuing trusts thus combine beneficiary control, estate-tax efficiency, and immediate creditor protection, and they are the trusts that Phase Two may later migrate to a dynasty jurisdiction.</w:t>
      </w:r>
    </w:p>
    <w:p>
      <w:pPr>
        <w:pStyle w:val="Heading2"/>
        <w:keepNext/>
        <w:spacing w:after="100" w:before="260"/>
      </w:pPr>
      <w:r>
        <w:rPr>
          <w:rFonts w:ascii="Georgia" w:cs="Georgia" w:eastAsia="Georgia" w:hAnsi="Georgia"/>
          <w:b/>
          <w:bCs/>
          <w:color w:val="26384A"/>
          <w:sz w:val="23"/>
          <w:szCs w:val="23"/>
        </w:rPr>
        <w:t xml:space="preserve">5.4  </w:t>
      </w:r>
      <w:r>
        <w:rPr>
          <w:rFonts w:ascii="Georgia" w:cs="Georgia" w:eastAsia="Georgia" w:hAnsi="Georgia"/>
          <w:b/>
          <w:bCs/>
          <w:color w:val="26384A"/>
          <w:sz w:val="23"/>
          <w:szCs w:val="23"/>
        </w:rPr>
        <w:t xml:space="preserve">Modern Drafting Provisions for the Continuing Trusts</w:t>
      </w:r>
    </w:p>
    <w:p>
      <w:pPr>
        <w:spacing w:after="180" w:before="0" w:line="348"/>
        <w:jc w:val="both"/>
      </w:pPr>
      <w:r>
        <w:rPr>
          <w:rFonts w:ascii="Georgia" w:cs="Georgia" w:eastAsia="Georgia" w:hAnsi="Georgia"/>
          <w:color w:val="1C1C1C"/>
          <w:sz w:val="24"/>
          <w:szCs w:val="24"/>
        </w:rPr>
        <w:t xml:space="preserve">The continuing trusts should incorporate the drafting provisions standard in contemporary sophisticated trust practice, which are inexpensive to include at inception and costly to add later. Three are central. First, each continuing trust should name an independent trust protector with defined powers — including the power to remove and replace trustees, to modify administrative provisions for tax efficiency, and to address changes in applicable law — filled initially by an independent professional rather than by a family member. Second, each continuing trust should be drafted in the directed-trustee pattern, with explicit separation of the trustee, investment-advisor, and distribution-advisor roles, so that specialized functions may be allocated to those best suited to them. Third, and critically, the life-estate sub-trust for the surviving spouse should be expressly carved out from the administrative-modification and migration authorities granted with respect to the children's continuing trusts, so that the spouse's protected interest cannot be altered by the children's later decisions. These provisions serve Phase One on their own terms, and — as Part III explains — they are also the provisions that make the elective Phase Two migration possible; drafting them at inception costs nothing if Phase Two is never undertaken and is essential if it is.</w:t>
      </w:r>
    </w:p>
    <w:p>
      <w:pPr>
        <w:pStyle w:val="Heading1"/>
        <w:keepNext/>
        <w:pageBreakBefore/>
        <w:pBdr>
          <w:bottom w:val="single" w:color="B7C1CD" w:sz="10" w:space="3"/>
        </w:pBdr>
        <w:spacing w:after="140" w:before="360"/>
      </w:pPr>
      <w:r>
        <w:rPr>
          <w:rFonts w:ascii="Georgia" w:cs="Georgia" w:eastAsia="Georgia" w:hAnsi="Georgia"/>
          <w:b/>
          <w:bCs/>
          <w:color w:val="162131"/>
          <w:sz w:val="28"/>
          <w:szCs w:val="28"/>
        </w:rPr>
        <w:t xml:space="preserve">6.  </w:t>
      </w:r>
      <w:r>
        <w:rPr>
          <w:rFonts w:ascii="Georgia" w:cs="Georgia" w:eastAsia="Georgia" w:hAnsi="Georgia"/>
          <w:b/>
          <w:bCs/>
          <w:color w:val="162131"/>
          <w:sz w:val="28"/>
          <w:szCs w:val="28"/>
        </w:rPr>
        <w:t xml:space="preserve">Asset-by-Asset Integration</w:t>
      </w:r>
    </w:p>
    <w:p>
      <w:pPr>
        <w:spacing w:after="180" w:before="0" w:line="348"/>
        <w:jc w:val="both"/>
      </w:pPr>
      <w:r>
        <w:rPr>
          <w:rFonts w:ascii="Georgia" w:cs="Georgia" w:eastAsia="Georgia" w:hAnsi="Georgia"/>
          <w:color w:val="1C1C1C"/>
          <w:sz w:val="24"/>
          <w:szCs w:val="24"/>
        </w:rPr>
        <w:t xml:space="preserve">This section walks through each class of asset a family of the assumed profile owns, describing how the asset is held in the plan and what happens to it at the grantor's death. Not every asset belongs in the trust, and the treatment of each class is a considered choice.</w:t>
      </w:r>
    </w:p>
    <w:p>
      <w:pPr>
        <w:pStyle w:val="Heading2"/>
        <w:keepNext/>
        <w:spacing w:after="100" w:before="260"/>
      </w:pPr>
      <w:r>
        <w:rPr>
          <w:rFonts w:ascii="Georgia" w:cs="Georgia" w:eastAsia="Georgia" w:hAnsi="Georgia"/>
          <w:b/>
          <w:bCs/>
          <w:color w:val="26384A"/>
          <w:sz w:val="23"/>
          <w:szCs w:val="23"/>
        </w:rPr>
        <w:t xml:space="preserve">6.1  </w:t>
      </w:r>
      <w:r>
        <w:rPr>
          <w:rFonts w:ascii="Georgia" w:cs="Georgia" w:eastAsia="Georgia" w:hAnsi="Georgia"/>
          <w:b/>
          <w:bCs/>
          <w:color w:val="26384A"/>
          <w:sz w:val="23"/>
          <w:szCs w:val="23"/>
        </w:rPr>
        <w:t xml:space="preserve">Rental Real Estate Held Through a Holding Company</w:t>
      </w:r>
    </w:p>
    <w:p>
      <w:pPr>
        <w:spacing w:after="180" w:before="0" w:line="348"/>
        <w:jc w:val="both"/>
      </w:pPr>
      <w:r>
        <w:rPr>
          <w:rFonts w:ascii="Georgia" w:cs="Georgia" w:eastAsia="Georgia" w:hAnsi="Georgia"/>
          <w:color w:val="1C1C1C"/>
          <w:sz w:val="24"/>
          <w:szCs w:val="24"/>
        </w:rPr>
        <w:t xml:space="preserve">The rental portfolio — illustratively, several single-family rental properties — is the largest asset class and the one most demanding of careful integration. Each property is held in its own single-member limited liability company, and the individual property companies are owned by a single holding-company limited liability company, so that the liabilities arising from any one property are isolated from the others and from the family's other wealth. The holding company, in turn, is owned by the Phase One trust. Funding the structure requires deeds transferring the properties into the property companies, or, where the properties are already held in companies, assignments of the membership interests, followed by the contribution of the holding company to the trust. At the grantor's death, the holding company passes intact as an asset of the trust, and the trust distributes equal shares of the holding company's membership interests to the children's continuing trusts, so that the children come to own the rental enterprise in equal shares through their respective trusts while the enterprise itself continues without interruption.</w:t>
      </w:r>
    </w:p>
    <w:p>
      <w:pPr>
        <w:spacing w:after="180" w:before="0" w:line="348"/>
        <w:jc w:val="both"/>
      </w:pPr>
      <w:r>
        <w:rPr>
          <w:rFonts w:ascii="Georgia" w:cs="Georgia" w:eastAsia="Georgia" w:hAnsi="Georgia"/>
          <w:color w:val="1C1C1C"/>
          <w:sz w:val="24"/>
          <w:szCs w:val="24"/>
        </w:rPr>
        <w:t xml:space="preserve">Two tax points govern the real estate. First, because the trust is included in the grantor's estate, the properties receive a basis step-up at the grantor's death, eliminating the embedded capital gain and the depreciation recapture that a lifetime sale would have triggered. Second, where the holding company is taxed as a partnership, an election to adjust the inside basis of the partnership's property should be in place so that the step-up reaches the depreciation schedule and the continuing trusts may depreciate the properties from their stepped-up value; the omission of this election is a common and costly oversight.</w:t>
      </w:r>
    </w:p>
    <w:p>
      <w:pPr>
        <w:pStyle w:val="Heading2"/>
        <w:keepNext/>
        <w:spacing w:after="100" w:before="260"/>
      </w:pPr>
      <w:r>
        <w:rPr>
          <w:rFonts w:ascii="Georgia" w:cs="Georgia" w:eastAsia="Georgia" w:hAnsi="Georgia"/>
          <w:b/>
          <w:bCs/>
          <w:color w:val="26384A"/>
          <w:sz w:val="23"/>
          <w:szCs w:val="23"/>
        </w:rPr>
        <w:t xml:space="preserve">6.2  </w:t>
      </w:r>
      <w:r>
        <w:rPr>
          <w:rFonts w:ascii="Georgia" w:cs="Georgia" w:eastAsia="Georgia" w:hAnsi="Georgia"/>
          <w:b/>
          <w:bCs/>
          <w:color w:val="26384A"/>
          <w:sz w:val="23"/>
          <w:szCs w:val="23"/>
        </w:rPr>
        <w:t xml:space="preserve">The Primary Residence</w:t>
      </w:r>
    </w:p>
    <w:p>
      <w:pPr>
        <w:spacing w:after="180" w:before="0" w:line="348"/>
        <w:jc w:val="both"/>
      </w:pPr>
      <w:r>
        <w:rPr>
          <w:rFonts w:ascii="Georgia" w:cs="Georgia" w:eastAsia="Georgia" w:hAnsi="Georgia"/>
          <w:color w:val="1C1C1C"/>
          <w:sz w:val="24"/>
          <w:szCs w:val="24"/>
        </w:rPr>
        <w:t xml:space="preserve">The family residence is treated differently from the rental properties. It is generally not transferred to the asset-protection trust during the grantor's life, both because doing so can complicate the exclusion of gain on a sale of a principal residence and because the residence does not require the asset protection the rental enterprise does. It is instead held individually or in a revocable living trust, which preserves the exclusion of gain on a sale during life and preserves the basis step-up at death. At the grantor's death, the residence passes according to the estate plan — commonly into the life-estate sub-trust if the residence is the property designated for the surviving spouse — and receives its own basis step-up. The residence thus stays outside the irrevocable trust during life while still receiving the step-up at death, capturing both the lifetime exclusion and the death-time adjustment.</w:t>
      </w:r>
    </w:p>
    <w:p>
      <w:pPr>
        <w:pStyle w:val="Heading2"/>
        <w:keepNext/>
        <w:spacing w:after="100" w:before="260"/>
      </w:pPr>
      <w:r>
        <w:rPr>
          <w:rFonts w:ascii="Georgia" w:cs="Georgia" w:eastAsia="Georgia" w:hAnsi="Georgia"/>
          <w:b/>
          <w:bCs/>
          <w:color w:val="26384A"/>
          <w:sz w:val="23"/>
          <w:szCs w:val="23"/>
        </w:rPr>
        <w:t xml:space="preserve">6.3  </w:t>
      </w:r>
      <w:r>
        <w:rPr>
          <w:rFonts w:ascii="Georgia" w:cs="Georgia" w:eastAsia="Georgia" w:hAnsi="Georgia"/>
          <w:b/>
          <w:bCs/>
          <w:color w:val="26384A"/>
          <w:sz w:val="23"/>
          <w:szCs w:val="23"/>
        </w:rPr>
        <w:t xml:space="preserve">Retirement Accounts</w:t>
      </w:r>
    </w:p>
    <w:p>
      <w:pPr>
        <w:spacing w:after="180" w:before="0" w:line="348"/>
        <w:jc w:val="both"/>
      </w:pPr>
      <w:r>
        <w:rPr>
          <w:rFonts w:ascii="Georgia" w:cs="Georgia" w:eastAsia="Georgia" w:hAnsi="Georgia"/>
          <w:color w:val="1C1C1C"/>
          <w:sz w:val="24"/>
          <w:szCs w:val="24"/>
        </w:rPr>
        <w:t xml:space="preserve">Retirement accounts cannot be transferred to a trust during the account owner's life without triggering immediate income tax on the entire balance, so they remain in the owner's name and pass by beneficiary designation. They are also the one major asset class the basis step-up does not reach: the deferred income they hold retains its character and is taxed to whoever inherits. The beneficiary designations therefore require care. The surviving spouse, as an eligible designated beneficiary, may roll an inherited account into the spouse's own and defer distributions on the spouse's own timeline, which is the gentlest outcome. Where a continuing trust is named as a beneficiary, it must be drafted as a see-through accumulation trust under the applicable Treasury regulation to preserve designated-beneficiary treatment, and even then the children, as non-eligible designated beneficiaries, face the rule requiring the inherited account to be fully distributed within ten years of the owner's death. Because retained distributions within a trust are taxed at the compressed rates applicable to trusts, and because inherited traditional accounts carry deferred income taxable at ordinary rates, the conversion of traditional accounts to accounts funded with after-tax dollars during the grantor's life — paying the tax at the grantor's rates and delivering tax-free balances to the next generation — is frequently the most valuable move available for this asset class.</w:t>
      </w:r>
    </w:p>
    <w:p>
      <w:pPr>
        <w:pStyle w:val="Heading2"/>
        <w:keepNext/>
        <w:spacing w:after="100" w:before="260"/>
      </w:pPr>
      <w:r>
        <w:rPr>
          <w:rFonts w:ascii="Georgia" w:cs="Georgia" w:eastAsia="Georgia" w:hAnsi="Georgia"/>
          <w:b/>
          <w:bCs/>
          <w:color w:val="26384A"/>
          <w:sz w:val="23"/>
          <w:szCs w:val="23"/>
        </w:rPr>
        <w:t xml:space="preserve">6.4  </w:t>
      </w:r>
      <w:r>
        <w:rPr>
          <w:rFonts w:ascii="Georgia" w:cs="Georgia" w:eastAsia="Georgia" w:hAnsi="Georgia"/>
          <w:b/>
          <w:bCs/>
          <w:color w:val="26384A"/>
          <w:sz w:val="23"/>
          <w:szCs w:val="23"/>
        </w:rPr>
        <w:t xml:space="preserve">Marketable Securities</w:t>
      </w:r>
    </w:p>
    <w:p>
      <w:pPr>
        <w:spacing w:after="180" w:before="0" w:line="348"/>
        <w:jc w:val="both"/>
      </w:pPr>
      <w:r>
        <w:rPr>
          <w:rFonts w:ascii="Georgia" w:cs="Georgia" w:eastAsia="Georgia" w:hAnsi="Georgia"/>
          <w:color w:val="1C1C1C"/>
          <w:sz w:val="24"/>
          <w:szCs w:val="24"/>
        </w:rPr>
        <w:t xml:space="preserve">Marketable securities held in brokerage accounts are transferred to the trust during the grantor's life as part of the initial funding, each account re-registered in the name of the trust or of the holding structure. At the grantor's death the securities receive a basis step-up to fair market value, and the continuing trusts take them at the stepped-up basis, so that the appreciation accumulated during the grantor's life escapes income tax. During life, the securities held in the trust are available as collateral for the borrowing strategy described in Section 9, providing liquidity without a taxable sale.</w:t>
      </w:r>
    </w:p>
    <w:p>
      <w:pPr>
        <w:pStyle w:val="Heading2"/>
        <w:keepNext/>
        <w:spacing w:after="100" w:before="260"/>
      </w:pPr>
      <w:r>
        <w:rPr>
          <w:rFonts w:ascii="Georgia" w:cs="Georgia" w:eastAsia="Georgia" w:hAnsi="Georgia"/>
          <w:b/>
          <w:bCs/>
          <w:color w:val="26384A"/>
          <w:sz w:val="23"/>
          <w:szCs w:val="23"/>
        </w:rPr>
        <w:t xml:space="preserve">6.5  </w:t>
      </w:r>
      <w:r>
        <w:rPr>
          <w:rFonts w:ascii="Georgia" w:cs="Georgia" w:eastAsia="Georgia" w:hAnsi="Georgia"/>
          <w:b/>
          <w:bCs/>
          <w:color w:val="26384A"/>
          <w:sz w:val="23"/>
          <w:szCs w:val="23"/>
        </w:rPr>
        <w:t xml:space="preserve">Alternative Investments</w:t>
      </w:r>
    </w:p>
    <w:p>
      <w:pPr>
        <w:spacing w:after="180" w:before="0" w:line="348"/>
        <w:jc w:val="both"/>
      </w:pPr>
      <w:r>
        <w:rPr>
          <w:rFonts w:ascii="Georgia" w:cs="Georgia" w:eastAsia="Georgia" w:hAnsi="Georgia"/>
          <w:color w:val="1C1C1C"/>
          <w:sz w:val="24"/>
          <w:szCs w:val="24"/>
        </w:rPr>
        <w:t xml:space="preserve">An alternative-investment portfolio — interests in fractional real estate, farmland, art, collectibles, wine, and similar platforms — presents an integration challenge, because the transferability of such interests varies from platform to platform and some carry restrictions on assignment to a trust. Each interest must be examined individually: some may be transferred to the trust directly, some may require the platform's consent, and some may be more practically held outside the trust and addressed through beneficiary or transfer-on-death designations. Where such interests have appreciated, holding them until death to capture the step-up is generally preferable to selling them during life, and the integration of each interest into the plan should be resolved with counsel as part of the funding process.</w:t>
      </w:r>
    </w:p>
    <w:p>
      <w:pPr>
        <w:pStyle w:val="Heading2"/>
        <w:keepNext/>
        <w:spacing w:after="100" w:before="260"/>
      </w:pPr>
      <w:r>
        <w:rPr>
          <w:rFonts w:ascii="Georgia" w:cs="Georgia" w:eastAsia="Georgia" w:hAnsi="Georgia"/>
          <w:b/>
          <w:bCs/>
          <w:color w:val="26384A"/>
          <w:sz w:val="23"/>
          <w:szCs w:val="23"/>
        </w:rPr>
        <w:t xml:space="preserve">6.6  </w:t>
      </w:r>
      <w:r>
        <w:rPr>
          <w:rFonts w:ascii="Georgia" w:cs="Georgia" w:eastAsia="Georgia" w:hAnsi="Georgia"/>
          <w:b/>
          <w:bCs/>
          <w:color w:val="26384A"/>
          <w:sz w:val="23"/>
          <w:szCs w:val="23"/>
        </w:rPr>
        <w:t xml:space="preserve">Other Assets</w:t>
      </w:r>
    </w:p>
    <w:p>
      <w:pPr>
        <w:spacing w:after="180" w:before="0" w:line="348"/>
        <w:jc w:val="both"/>
      </w:pPr>
      <w:r>
        <w:rPr>
          <w:rFonts w:ascii="Georgia" w:cs="Georgia" w:eastAsia="Georgia" w:hAnsi="Georgia"/>
          <w:color w:val="1C1C1C"/>
          <w:sz w:val="24"/>
          <w:szCs w:val="24"/>
        </w:rPr>
        <w:t xml:space="preserve">Remaining assets are addressed according to their nature. A vacation-ownership interest, personal property, and vehicles are commonly handled through transfer-on-death designations or through the revocable living trust that holds the residence, rather than through the asset-protection trust. Assets of nominal value or of a personal character need not be forced into the trust structure; the objective is to place the family's appreciated, protection-worthy wealth in the trust while handling personal and low-value assets through simpler instruments that avoid probate without unnecessary complexity.</w:t>
      </w:r>
    </w:p>
    <w:p>
      <w:pPr>
        <w:pStyle w:val="Heading1"/>
        <w:keepNext/>
        <w:pageBreakBefore/>
        <w:pBdr>
          <w:bottom w:val="single" w:color="B7C1CD" w:sz="10" w:space="3"/>
        </w:pBdr>
        <w:spacing w:after="140" w:before="360"/>
      </w:pPr>
      <w:r>
        <w:rPr>
          <w:rFonts w:ascii="Georgia" w:cs="Georgia" w:eastAsia="Georgia" w:hAnsi="Georgia"/>
          <w:b/>
          <w:bCs/>
          <w:color w:val="162131"/>
          <w:sz w:val="28"/>
          <w:szCs w:val="28"/>
        </w:rPr>
        <w:t xml:space="preserve">7.  </w:t>
      </w:r>
      <w:r>
        <w:rPr>
          <w:rFonts w:ascii="Georgia" w:cs="Georgia" w:eastAsia="Georgia" w:hAnsi="Georgia"/>
          <w:b/>
          <w:bCs/>
          <w:color w:val="162131"/>
          <w:sz w:val="28"/>
          <w:szCs w:val="28"/>
        </w:rPr>
        <w:t xml:space="preserve">The Phase One Tax Strategy</w:t>
      </w:r>
    </w:p>
    <w:p>
      <w:pPr>
        <w:spacing w:after="180" w:before="0" w:line="348"/>
        <w:jc w:val="both"/>
      </w:pPr>
      <w:r>
        <w:rPr>
          <w:rFonts w:ascii="Georgia" w:cs="Georgia" w:eastAsia="Georgia" w:hAnsi="Georgia"/>
          <w:color w:val="1C1C1C"/>
          <w:sz w:val="24"/>
          <w:szCs w:val="24"/>
        </w:rPr>
        <w:t xml:space="preserve">This section summarizes the tax strategy of Phase One, focusing on the interactions that matter. The through-line, as always, is the basis step-up: the plan is organized to minimize income tax during the grantor's life and to capture the step-up at death, while incurring no estate tax because the estate is below the exemption.</w:t>
      </w:r>
    </w:p>
    <w:p>
      <w:pPr>
        <w:pStyle w:val="Heading2"/>
        <w:keepNext/>
        <w:spacing w:after="100" w:before="260"/>
      </w:pPr>
      <w:r>
        <w:rPr>
          <w:rFonts w:ascii="Georgia" w:cs="Georgia" w:eastAsia="Georgia" w:hAnsi="Georgia"/>
          <w:b/>
          <w:bCs/>
          <w:color w:val="26384A"/>
          <w:sz w:val="23"/>
          <w:szCs w:val="23"/>
        </w:rPr>
        <w:t xml:space="preserve">7.1  </w:t>
      </w:r>
      <w:r>
        <w:rPr>
          <w:rFonts w:ascii="Georgia" w:cs="Georgia" w:eastAsia="Georgia" w:hAnsi="Georgia"/>
          <w:b/>
          <w:bCs/>
          <w:color w:val="26384A"/>
          <w:sz w:val="23"/>
          <w:szCs w:val="23"/>
        </w:rPr>
        <w:t xml:space="preserve">Federal Estate and Gift Tax</w:t>
      </w:r>
    </w:p>
    <w:p>
      <w:pPr>
        <w:spacing w:after="180" w:before="0" w:line="348"/>
        <w:jc w:val="both"/>
      </w:pPr>
      <w:r>
        <w:rPr>
          <w:rFonts w:ascii="Georgia" w:cs="Georgia" w:eastAsia="Georgia" w:hAnsi="Georgia"/>
          <w:color w:val="1C1C1C"/>
          <w:sz w:val="24"/>
          <w:szCs w:val="24"/>
        </w:rPr>
        <w:t xml:space="preserve">Because the family's projected total estate is below the grantor's federal exemption, no federal estate tax is expected, and the estate-tax return filed at the grantor's death serves principally to report the estate and to establish the fair-market values that fix the stepped-up basis of the assets. No lifetime gift tax is anticipated either, because the plan does not rely on lifetime gifts that exceed the exemption; the trust is funded by transfers that, to the extent they are completed gifts at all, fall within the exemption, and the deliberate inclusion of the trust in the estate means that the plan does not depend on removing value from the estate by gift.</w:t>
      </w:r>
    </w:p>
    <w:p>
      <w:pPr>
        <w:pStyle w:val="Heading2"/>
        <w:keepNext/>
        <w:spacing w:after="100" w:before="260"/>
      </w:pPr>
      <w:r>
        <w:rPr>
          <w:rFonts w:ascii="Georgia" w:cs="Georgia" w:eastAsia="Georgia" w:hAnsi="Georgia"/>
          <w:b/>
          <w:bCs/>
          <w:color w:val="26384A"/>
          <w:sz w:val="23"/>
          <w:szCs w:val="23"/>
        </w:rPr>
        <w:t xml:space="preserve">7.2  </w:t>
      </w:r>
      <w:r>
        <w:rPr>
          <w:rFonts w:ascii="Georgia" w:cs="Georgia" w:eastAsia="Georgia" w:hAnsi="Georgia"/>
          <w:b/>
          <w:bCs/>
          <w:color w:val="26384A"/>
          <w:sz w:val="23"/>
          <w:szCs w:val="23"/>
        </w:rPr>
        <w:t xml:space="preserve">Federal Income Tax — Grantor Trust During the Grantor's Life</w:t>
      </w:r>
    </w:p>
    <w:p>
      <w:pPr>
        <w:spacing w:after="180" w:before="0" w:line="348"/>
        <w:jc w:val="both"/>
      </w:pPr>
      <w:r>
        <w:rPr>
          <w:rFonts w:ascii="Georgia" w:cs="Georgia" w:eastAsia="Georgia" w:hAnsi="Georgia"/>
          <w:color w:val="1C1C1C"/>
          <w:sz w:val="24"/>
          <w:szCs w:val="24"/>
        </w:rPr>
        <w:t xml:space="preserve">During the grantor's life the trust is a grantor trust, so all of its income is taxed to the grantor personally, and the trust files only an informational return. The grantor's payment of the tax on the trust's income is not an additional gift to the beneficiaries; it discharges the grantor's own liability and allows the trust to compound on a pre-tax basis while the grantor's separate estate is reduced by the tax payments. This grantor-trust burn, described in Section 4, is one of the quiet engines of the plan, transferring value into the trust year after year without the use of gift exemption.</w:t>
      </w:r>
    </w:p>
    <w:p>
      <w:pPr>
        <w:pStyle w:val="Heading2"/>
        <w:keepNext/>
        <w:spacing w:after="100" w:before="260"/>
      </w:pPr>
      <w:r>
        <w:rPr>
          <w:rFonts w:ascii="Georgia" w:cs="Georgia" w:eastAsia="Georgia" w:hAnsi="Georgia"/>
          <w:b/>
          <w:bCs/>
          <w:color w:val="26384A"/>
          <w:sz w:val="23"/>
          <w:szCs w:val="23"/>
        </w:rPr>
        <w:t xml:space="preserve">7.3  </w:t>
      </w:r>
      <w:r>
        <w:rPr>
          <w:rFonts w:ascii="Georgia" w:cs="Georgia" w:eastAsia="Georgia" w:hAnsi="Georgia"/>
          <w:b/>
          <w:bCs/>
          <w:color w:val="26384A"/>
          <w:sz w:val="23"/>
          <w:szCs w:val="23"/>
        </w:rPr>
        <w:t xml:space="preserve">Federal Income Tax — Basis Step-Up at Death</w:t>
      </w:r>
    </w:p>
    <w:p>
      <w:pPr>
        <w:spacing w:after="180" w:before="0" w:line="348"/>
        <w:jc w:val="both"/>
      </w:pPr>
      <w:r>
        <w:rPr>
          <w:rFonts w:ascii="Georgia" w:cs="Georgia" w:eastAsia="Georgia" w:hAnsi="Georgia"/>
          <w:color w:val="1C1C1C"/>
          <w:sz w:val="24"/>
          <w:szCs w:val="24"/>
        </w:rPr>
        <w:t xml:space="preserve">The basis step-up at the grantor's death is the single largest tax benefit the plan produces. Every appreciated asset held in the trust at the grantor's death receives an adjustment of basis to fair market value, eliminating the embedded capital gain and the depreciation recapture that a lifetime sale would have triggered. The estate-tax return and the basis-consistency reporting that accompanies it establish the stepped-up values, and the continuing trusts take the assets at those values, so that the next generation may sell with little or no gain. The step-up is available precisely because the trust is included in the estate, which is why the plan seeks inclusion rather than avoiding it.</w:t>
      </w:r>
    </w:p>
    <w:p>
      <w:pPr>
        <w:pStyle w:val="Heading2"/>
        <w:keepNext/>
        <w:spacing w:after="100" w:before="260"/>
      </w:pPr>
      <w:r>
        <w:rPr>
          <w:rFonts w:ascii="Georgia" w:cs="Georgia" w:eastAsia="Georgia" w:hAnsi="Georgia"/>
          <w:b/>
          <w:bCs/>
          <w:color w:val="26384A"/>
          <w:sz w:val="23"/>
          <w:szCs w:val="23"/>
        </w:rPr>
        <w:t xml:space="preserve">7.4  </w:t>
      </w:r>
      <w:r>
        <w:rPr>
          <w:rFonts w:ascii="Georgia" w:cs="Georgia" w:eastAsia="Georgia" w:hAnsi="Georgia"/>
          <w:b/>
          <w:bCs/>
          <w:color w:val="26384A"/>
          <w:sz w:val="23"/>
          <w:szCs w:val="23"/>
        </w:rPr>
        <w:t xml:space="preserve">Generation-Skipping Transfer Tax</w:t>
      </w:r>
    </w:p>
    <w:p>
      <w:pPr>
        <w:spacing w:after="180" w:before="0" w:line="348"/>
        <w:jc w:val="both"/>
      </w:pPr>
      <w:r>
        <w:rPr>
          <w:rFonts w:ascii="Georgia" w:cs="Georgia" w:eastAsia="Georgia" w:hAnsi="Georgia"/>
          <w:color w:val="1C1C1C"/>
          <w:sz w:val="24"/>
          <w:szCs w:val="24"/>
        </w:rPr>
        <w:t xml:space="preserve">The generation-skipping transfer tax applies to transfers to beneficiaries two or more generations below the transferor. The grantor should allocate generation-skipping exemption to the trust on a timely gift-tax return at funding, so that the trust carries a zero inclusion ratio and distributions to grandchildren and more remote descendants pass free of the tax. The generation-skipping exemption is not portable between spouses and must be affirmatively allocated, and its allocation at funding is particularly important to Phase Two, because the perpetual dynasty trust that Phase Two creates depends on the zero inclusion ratio to carry wealth across generations free of transfer tax; the allocation made at Phase One funding is preserved through the later decanting.</w:t>
      </w:r>
    </w:p>
    <w:p>
      <w:pPr>
        <w:pStyle w:val="Heading2"/>
        <w:keepNext/>
        <w:spacing w:after="100" w:before="260"/>
      </w:pPr>
      <w:r>
        <w:rPr>
          <w:rFonts w:ascii="Georgia" w:cs="Georgia" w:eastAsia="Georgia" w:hAnsi="Georgia"/>
          <w:b/>
          <w:bCs/>
          <w:color w:val="26384A"/>
          <w:sz w:val="23"/>
          <w:szCs w:val="23"/>
        </w:rPr>
        <w:t xml:space="preserve">7.5  </w:t>
      </w:r>
      <w:r>
        <w:rPr>
          <w:rFonts w:ascii="Georgia" w:cs="Georgia" w:eastAsia="Georgia" w:hAnsi="Georgia"/>
          <w:b/>
          <w:bCs/>
          <w:color w:val="26384A"/>
          <w:sz w:val="23"/>
          <w:szCs w:val="23"/>
        </w:rPr>
        <w:t xml:space="preserve">State Income Tax</w:t>
      </w:r>
    </w:p>
    <w:p>
      <w:pPr>
        <w:spacing w:after="180" w:before="0" w:line="348"/>
        <w:jc w:val="both"/>
      </w:pPr>
      <w:r>
        <w:rPr>
          <w:rFonts w:ascii="Georgia" w:cs="Georgia" w:eastAsia="Georgia" w:hAnsi="Georgia"/>
          <w:color w:val="1C1C1C"/>
          <w:sz w:val="24"/>
          <w:szCs w:val="24"/>
        </w:rPr>
        <w:t xml:space="preserve">The home state imposes a modest top-rate income tax on residents and on income sourced to the state. During the grantor's life the trust's income is taxed to the grantor as a resident. After the grantor's death, income retained in a home-state continuing trust is taxed at the state's rate, and income sourced to the state — such as the rents from the in-state rental properties — is taxed by the state regardless of where the trust is sited. This last point is important to Phase Two: moving a continuing trust to a state with no income tax on trusts eliminates the state's tax on the trust's other income, but the rents from the in-state real estate remain sourced to the home state and taxable there, because the property is physically located there. The state income tax is therefore one of the considerations that motivates the Phase Two migration, subject to the limit that in-state-source income cannot escape the home state's tax by a change of trust situs.</w:t>
      </w:r>
    </w:p>
    <w:p>
      <w:pPr>
        <w:pStyle w:val="Heading2"/>
        <w:keepNext/>
        <w:spacing w:after="100" w:before="260"/>
      </w:pPr>
      <w:r>
        <w:rPr>
          <w:rFonts w:ascii="Georgia" w:cs="Georgia" w:eastAsia="Georgia" w:hAnsi="Georgia"/>
          <w:b/>
          <w:bCs/>
          <w:color w:val="26384A"/>
          <w:sz w:val="23"/>
          <w:szCs w:val="23"/>
        </w:rPr>
        <w:t xml:space="preserve">7.6  </w:t>
      </w:r>
      <w:r>
        <w:rPr>
          <w:rFonts w:ascii="Georgia" w:cs="Georgia" w:eastAsia="Georgia" w:hAnsi="Georgia"/>
          <w:b/>
          <w:bCs/>
          <w:color w:val="26384A"/>
          <w:sz w:val="23"/>
          <w:szCs w:val="23"/>
        </w:rPr>
        <w:t xml:space="preserve">The Qualified Business Income Deduction</w:t>
      </w:r>
    </w:p>
    <w:p>
      <w:pPr>
        <w:spacing w:after="180" w:before="0" w:line="348"/>
        <w:jc w:val="both"/>
      </w:pPr>
      <w:r>
        <w:rPr>
          <w:rFonts w:ascii="Georgia" w:cs="Georgia" w:eastAsia="Georgia" w:hAnsi="Georgia"/>
          <w:color w:val="1C1C1C"/>
          <w:sz w:val="24"/>
          <w:szCs w:val="24"/>
        </w:rPr>
        <w:t xml:space="preserve">The qualified business income deduction provides a deduction of up to twenty percent of qualified pass-through business income, including income from rental real estate that rises to the level of a trade or business. A rental portfolio positioned to satisfy the applicable safe harbor — by maintaining separate books, performing and documenting the required hours of rental services, and meeting the safe harbor's other conditions — may claim the deduction, which operates as a reduction in the effective rate of tax on the net rental income. During the grantor's life the deduction is claimed on the grantor's return; after death, the deduction is available to the continuing trusts or, more efficiently, to the beneficiaries to whom the trusts distribute the rental income.</w:t>
      </w:r>
    </w:p>
    <w:p>
      <w:pPr>
        <w:pStyle w:val="Heading2"/>
        <w:keepNext/>
        <w:spacing w:after="100" w:before="260"/>
      </w:pPr>
      <w:r>
        <w:rPr>
          <w:rFonts w:ascii="Georgia" w:cs="Georgia" w:eastAsia="Georgia" w:hAnsi="Georgia"/>
          <w:b/>
          <w:bCs/>
          <w:color w:val="26384A"/>
          <w:sz w:val="23"/>
          <w:szCs w:val="23"/>
        </w:rPr>
        <w:t xml:space="preserve">7.7  </w:t>
      </w:r>
      <w:r>
        <w:rPr>
          <w:rFonts w:ascii="Georgia" w:cs="Georgia" w:eastAsia="Georgia" w:hAnsi="Georgia"/>
          <w:b/>
          <w:bCs/>
          <w:color w:val="26384A"/>
          <w:sz w:val="23"/>
          <w:szCs w:val="23"/>
        </w:rPr>
        <w:t xml:space="preserve">Cost Segregation and Depreciation</w:t>
      </w:r>
    </w:p>
    <w:p>
      <w:pPr>
        <w:spacing w:after="180" w:before="0" w:line="348"/>
        <w:jc w:val="both"/>
      </w:pPr>
      <w:r>
        <w:rPr>
          <w:rFonts w:ascii="Georgia" w:cs="Georgia" w:eastAsia="Georgia" w:hAnsi="Georgia"/>
          <w:color w:val="1C1C1C"/>
          <w:sz w:val="24"/>
          <w:szCs w:val="24"/>
        </w:rPr>
        <w:t xml:space="preserve">Cost-segregation studies on the rental properties can accelerate depreciation meaningfully by identifying components that are properly depreciated over five, seven, or fifteen years rather than over the long life of the building, and, combined with the permanent full expensing of qualifying property that current law allows, can produce substantial first-year deductions. The interaction with the step-up is favorable and is central to why the technique fits this plan: accelerated depreciation reduces income during the grantor's life, and because the plan holds the properties until death, the depreciation recapture that a lifetime sale would trigger is eliminated by the step-up. A family that intended to sell during life would have to weigh the recapture; a family holding to a step-up keeps the accelerated deductions and pays none of the recapture, and the continuing trusts may commission a fresh study on the stepped-up basis to begin the cycle again.</w:t>
      </w:r>
    </w:p>
    <w:p>
      <w:pPr>
        <w:pStyle w:val="Heading1"/>
        <w:keepNext/>
        <w:pageBreakBefore/>
        <w:pBdr>
          <w:bottom w:val="single" w:color="B7C1CD" w:sz="10" w:space="3"/>
        </w:pBdr>
        <w:spacing w:after="140" w:before="360"/>
      </w:pPr>
      <w:r>
        <w:rPr>
          <w:rFonts w:ascii="Georgia" w:cs="Georgia" w:eastAsia="Georgia" w:hAnsi="Georgia"/>
          <w:b/>
          <w:bCs/>
          <w:color w:val="162131"/>
          <w:sz w:val="28"/>
          <w:szCs w:val="28"/>
        </w:rPr>
        <w:t xml:space="preserve">8.  </w:t>
      </w:r>
      <w:r>
        <w:rPr>
          <w:rFonts w:ascii="Georgia" w:cs="Georgia" w:eastAsia="Georgia" w:hAnsi="Georgia"/>
          <w:b/>
          <w:bCs/>
          <w:color w:val="162131"/>
          <w:sz w:val="28"/>
          <w:szCs w:val="28"/>
        </w:rPr>
        <w:t xml:space="preserve">Asset Protection: Layers, Authorities, and Gaps</w:t>
      </w:r>
    </w:p>
    <w:p>
      <w:pPr>
        <w:spacing w:after="180" w:before="0" w:line="348"/>
        <w:jc w:val="both"/>
      </w:pPr>
      <w:r>
        <w:rPr>
          <w:rFonts w:ascii="Georgia" w:cs="Georgia" w:eastAsia="Georgia" w:hAnsi="Georgia"/>
          <w:color w:val="1C1C1C"/>
          <w:sz w:val="24"/>
          <w:szCs w:val="24"/>
        </w:rPr>
        <w:t xml:space="preserve">This section describes the layered asset protection the plan provides during the grantor's life and through the transition to the continuing trusts, together with the specific statutory authorities and the known gaps that an honest account must acknowledge.</w:t>
      </w:r>
    </w:p>
    <w:p>
      <w:pPr>
        <w:pStyle w:val="Heading2"/>
        <w:keepNext/>
        <w:spacing w:after="100" w:before="260"/>
      </w:pPr>
      <w:r>
        <w:rPr>
          <w:rFonts w:ascii="Georgia" w:cs="Georgia" w:eastAsia="Georgia" w:hAnsi="Georgia"/>
          <w:b/>
          <w:bCs/>
          <w:color w:val="26384A"/>
          <w:sz w:val="23"/>
          <w:szCs w:val="23"/>
        </w:rPr>
        <w:t xml:space="preserve">8.1  </w:t>
      </w:r>
      <w:r>
        <w:rPr>
          <w:rFonts w:ascii="Georgia" w:cs="Georgia" w:eastAsia="Georgia" w:hAnsi="Georgia"/>
          <w:b/>
          <w:bCs/>
          <w:color w:val="26384A"/>
          <w:sz w:val="23"/>
          <w:szCs w:val="23"/>
        </w:rPr>
        <w:t xml:space="preserve">Four Layers During the Grantor's Lifetime</w:t>
      </w:r>
    </w:p>
    <w:p>
      <w:pPr>
        <w:spacing w:after="180" w:before="0" w:line="348"/>
        <w:jc w:val="both"/>
      </w:pPr>
      <w:r>
        <w:rPr>
          <w:rFonts w:ascii="Georgia" w:cs="Georgia" w:eastAsia="Georgia" w:hAnsi="Georgia"/>
          <w:color w:val="1C1C1C"/>
          <w:sz w:val="24"/>
          <w:szCs w:val="24"/>
        </w:rPr>
        <w:t xml:space="preserve">The plan places four layers of protection between the grantor's personal exposure and the family's core wealth. The first layer is insurance: homeowner's and landlord policies on the properties, together with an umbrella liability policy, absorb ordinary claims before any entity or trust protection is tested, and adequate insurance is the first and most important line of defense. The second layer is the entity structure: each property is held in its own company, so a claim arising from one property is confined to that property's company and does not reach the others or the family's other assets, and the charging-order protection of the holding company limits a member's personal creditor to a lien on distributions. The third layer is the asset-protection trust itself: assets transferred to the trust while the grantor is solvent and free of known claims are, after the statutory limitations period has run, protected from the grantor's creditors under the home state's qualified-dispositions statute. The fourth layer is the spendthrift protection that will govern the continuing trusts after the grantor's death. The layers operate in sequence, each absorbing what the prior layer does not, so that a claimant must defeat insurance, then the entity shield, then the trust, in turn.</w:t>
      </w:r>
    </w:p>
    <w:p>
      <w:pPr>
        <w:pStyle w:val="Heading2"/>
        <w:keepNext/>
        <w:spacing w:after="100" w:before="260"/>
      </w:pPr>
      <w:r>
        <w:rPr>
          <w:rFonts w:ascii="Georgia" w:cs="Georgia" w:eastAsia="Georgia" w:hAnsi="Georgia"/>
          <w:b/>
          <w:bCs/>
          <w:color w:val="26384A"/>
          <w:sz w:val="23"/>
          <w:szCs w:val="23"/>
        </w:rPr>
        <w:t xml:space="preserve">8.2  </w:t>
      </w:r>
      <w:r>
        <w:rPr>
          <w:rFonts w:ascii="Georgia" w:cs="Georgia" w:eastAsia="Georgia" w:hAnsi="Georgia"/>
          <w:b/>
          <w:bCs/>
          <w:color w:val="26384A"/>
          <w:sz w:val="23"/>
          <w:szCs w:val="23"/>
        </w:rPr>
        <w:t xml:space="preserve">Protection Through the Transition and Into the Continuing Trusts</w:t>
      </w:r>
    </w:p>
    <w:p>
      <w:pPr>
        <w:spacing w:after="180" w:before="0" w:line="348"/>
        <w:jc w:val="both"/>
      </w:pPr>
      <w:r>
        <w:rPr>
          <w:rFonts w:ascii="Georgia" w:cs="Georgia" w:eastAsia="Georgia" w:hAnsi="Georgia"/>
          <w:color w:val="1C1C1C"/>
          <w:sz w:val="24"/>
          <w:szCs w:val="24"/>
        </w:rPr>
        <w:t xml:space="preserve">At the grantor's death, the self-settled asset-protection of the grantor's trust gives way to the third-party spendthrift protection of the continuing trusts, and this transition is a strengthening rather than a weakening of the protection. Third-party spendthrift protection is older, more settled, and subject to fewer exceptions than self-settled protection, because the beneficiaries did not create the trusts that hold their wealth — the grantor did — so the policy concerns that limit self-settled protection do not apply. Importantly, the limitations period applicable to the grantor's transfers does not restart when the continuing trusts are funded at the grantor's death, because the continuing trusts are third-party trusts to which the self-settled-trust limitations regime does not apply; the beneficiaries receive fully protected trusts immediately upon funding. The transition thus delivers the children into a protective regime stronger than the one that protected the grantor during life.</w:t>
      </w:r>
    </w:p>
    <w:p>
      <w:pPr>
        <w:pStyle w:val="Heading2"/>
        <w:keepNext/>
        <w:spacing w:after="100" w:before="260"/>
      </w:pPr>
      <w:r>
        <w:rPr>
          <w:rFonts w:ascii="Georgia" w:cs="Georgia" w:eastAsia="Georgia" w:hAnsi="Georgia"/>
          <w:b/>
          <w:bCs/>
          <w:color w:val="26384A"/>
          <w:sz w:val="23"/>
          <w:szCs w:val="23"/>
        </w:rPr>
        <w:t xml:space="preserve">8.3  </w:t>
      </w:r>
      <w:r>
        <w:rPr>
          <w:rFonts w:ascii="Georgia" w:cs="Georgia" w:eastAsia="Georgia" w:hAnsi="Georgia"/>
          <w:b/>
          <w:bCs/>
          <w:color w:val="26384A"/>
          <w:sz w:val="23"/>
          <w:szCs w:val="23"/>
        </w:rPr>
        <w:t xml:space="preserve">Known Gaps</w:t>
      </w:r>
    </w:p>
    <w:p>
      <w:pPr>
        <w:spacing w:after="180" w:before="0" w:line="348"/>
        <w:jc w:val="both"/>
      </w:pPr>
      <w:r>
        <w:rPr>
          <w:rFonts w:ascii="Georgia" w:cs="Georgia" w:eastAsia="Georgia" w:hAnsi="Georgia"/>
          <w:color w:val="1C1C1C"/>
          <w:sz w:val="24"/>
          <w:szCs w:val="24"/>
        </w:rPr>
        <w:t xml:space="preserve">Every asset-protection structure has gaps, and candor about them is part of a sound plan. First, the home state's asset-protection statute is relatively new and, as of this writing, substantially untested in the state's appellate courts, so a first adverse decision could construe the statute less favorably than its text suggests; the continuing trusts' modern drafting provisions, which permit adaptation to changes in law, are part of the mitigation, as is the availability of the Phase Two migration to a jurisdiction with a long and favorable body of law. Second, the statute excludes specific categories of creditor — commonly including certain support obligations to spouses, former spouses, and children, and certain pre-existing claims — so the protection is not absolute against every claimant. Third, a question exists as to whether an out-of-state creditor might obtain a judgment in another state and attempt to enforce it against trust assets through the constitutional requirement that states give full faith and credit to one another's judgments; the strength of the home state's protection against such an effort is among the reasons a specialized dynasty jurisdiction with a long protective record is attractive for Phase Two. Fourth, federal beneficial-ownership reporting obligations may apply to the holding company and the property companies, depending on the state of the reporting rules at the relevant time; compliance with those obligations, where they apply, is an administrative matter addressed in Section 17. None of these gaps defeats the plan, but each should be understood, and the plan is designed with each in view.</w:t>
      </w:r>
    </w:p>
    <w:p>
      <w:pPr>
        <w:pStyle w:val="Heading1"/>
        <w:keepNext/>
        <w:pageBreakBefore/>
        <w:pBdr>
          <w:bottom w:val="single" w:color="B7C1CD" w:sz="10" w:space="3"/>
        </w:pBdr>
        <w:spacing w:after="140" w:before="360"/>
      </w:pPr>
      <w:r>
        <w:rPr>
          <w:rFonts w:ascii="Georgia" w:cs="Georgia" w:eastAsia="Georgia" w:hAnsi="Georgia"/>
          <w:b/>
          <w:bCs/>
          <w:color w:val="162131"/>
          <w:sz w:val="28"/>
          <w:szCs w:val="28"/>
        </w:rPr>
        <w:t xml:space="preserve">9.  </w:t>
      </w:r>
      <w:r>
        <w:rPr>
          <w:rFonts w:ascii="Georgia" w:cs="Georgia" w:eastAsia="Georgia" w:hAnsi="Georgia"/>
          <w:b/>
          <w:bCs/>
          <w:color w:val="162131"/>
          <w:sz w:val="28"/>
          <w:szCs w:val="28"/>
        </w:rPr>
        <w:t xml:space="preserve">Buy, Borrow, Die — Liquidity Without a Taxable Sale</w:t>
      </w:r>
    </w:p>
    <w:p>
      <w:pPr>
        <w:spacing w:after="180" w:before="0" w:line="348"/>
        <w:jc w:val="both"/>
      </w:pPr>
      <w:r>
        <w:rPr>
          <w:rFonts w:ascii="Georgia" w:cs="Georgia" w:eastAsia="Georgia" w:hAnsi="Georgia"/>
          <w:color w:val="1C1C1C"/>
          <w:sz w:val="24"/>
          <w:szCs w:val="24"/>
        </w:rPr>
        <w:t xml:space="preserve">The plan's liquidity strategy allows the family to draw value from appreciated assets without selling them and triggering tax. The strategy is a classic wealth-management pattern that fits a plan built on a basis step-up especially well, and this section describes how it operates in this context.</w:t>
      </w:r>
    </w:p>
    <w:p>
      <w:pPr>
        <w:pStyle w:val="Heading2"/>
        <w:keepNext/>
        <w:spacing w:after="100" w:before="260"/>
      </w:pPr>
      <w:r>
        <w:rPr>
          <w:rFonts w:ascii="Georgia" w:cs="Georgia" w:eastAsia="Georgia" w:hAnsi="Georgia"/>
          <w:b/>
          <w:bCs/>
          <w:color w:val="26384A"/>
          <w:sz w:val="23"/>
          <w:szCs w:val="23"/>
        </w:rPr>
        <w:t xml:space="preserve">9.1  </w:t>
      </w:r>
      <w:r>
        <w:rPr>
          <w:rFonts w:ascii="Georgia" w:cs="Georgia" w:eastAsia="Georgia" w:hAnsi="Georgia"/>
          <w:b/>
          <w:bCs/>
          <w:color w:val="26384A"/>
          <w:sz w:val="23"/>
          <w:szCs w:val="23"/>
        </w:rPr>
        <w:t xml:space="preserve">The Three Phases of the Strategy</w:t>
      </w:r>
    </w:p>
    <w:p>
      <w:pPr>
        <w:spacing w:after="180" w:before="0" w:line="348"/>
        <w:jc w:val="both"/>
      </w:pPr>
      <w:r>
        <w:rPr>
          <w:rFonts w:ascii="Georgia" w:cs="Georgia" w:eastAsia="Georgia" w:hAnsi="Georgia"/>
          <w:color w:val="1C1C1C"/>
          <w:sz w:val="24"/>
          <w:szCs w:val="24"/>
        </w:rPr>
        <w:t xml:space="preserve">The strategy takes its name from its three phases. In the first, the family acquires and holds appreciating assets — real estate, securities, and alternative investments — allowing them to grow without selling and without recognizing gain. In the second, when the family needs liquidity, it borrows against the appreciated assets rather than selling them, because a loan is not a taxable event while a sale triggers capital-gains tax; the borrowed funds are available for living expenses, new investment, or improvements, and the assets continue to appreciate and to produce income. In the third, the family holds the assets until death, at which point the basis step-up resets their basis to fair market value, so that the assets may be sold to repay the loans with little or no gain. The strategy converts what would have been a lifetime of capital-gains taxation into little or nothing, because the only sales occur after the basis has been reset.</w:t>
      </w:r>
    </w:p>
    <w:p>
      <w:pPr>
        <w:pStyle w:val="Heading2"/>
        <w:keepNext/>
        <w:spacing w:after="100" w:before="260"/>
      </w:pPr>
      <w:r>
        <w:rPr>
          <w:rFonts w:ascii="Georgia" w:cs="Georgia" w:eastAsia="Georgia" w:hAnsi="Georgia"/>
          <w:b/>
          <w:bCs/>
          <w:color w:val="26384A"/>
          <w:sz w:val="23"/>
          <w:szCs w:val="23"/>
        </w:rPr>
        <w:t xml:space="preserve">9.2  </w:t>
      </w:r>
      <w:r>
        <w:rPr>
          <w:rFonts w:ascii="Georgia" w:cs="Georgia" w:eastAsia="Georgia" w:hAnsi="Georgia"/>
          <w:b/>
          <w:bCs/>
          <w:color w:val="26384A"/>
          <w:sz w:val="23"/>
          <w:szCs w:val="23"/>
        </w:rPr>
        <w:t xml:space="preserve">Application During the Grantor's Lifetime</w:t>
      </w:r>
    </w:p>
    <w:p>
      <w:pPr>
        <w:spacing w:after="180" w:before="0" w:line="348"/>
        <w:jc w:val="both"/>
      </w:pPr>
      <w:r>
        <w:rPr>
          <w:rFonts w:ascii="Georgia" w:cs="Georgia" w:eastAsia="Georgia" w:hAnsi="Georgia"/>
          <w:color w:val="1C1C1C"/>
          <w:sz w:val="24"/>
          <w:szCs w:val="24"/>
        </w:rPr>
        <w:t xml:space="preserve">During the grantor's life, the trust holds appreciated assets in the holding company, in brokerage accounts, and potentially in alternative investments, and these assets can serve as collateral for borrowing that provides liquidity without a taxable sale. A securities-backed line of credit against the brokerage holdings, or a cash-out refinance or portfolio loan against the rental properties, makes cash available while the assets remain in place and continue to appreciate. The family's banking relationship is valuable here, providing both the lending facility and the coordination of the borrowing with the family's broader financial plan. The deductibility of the interest on such borrowing depends on the use to which the borrowed funds are put, under the tracing rules that characterize interest according to the use of the proceeds rather than the nature of the collateral, and the borrowing should be documented accordingly. The strategy must be executed with discipline — borrowing conservatively, maintaining a liquidity buffer, and accounting for the risk that a variable-rate facility secured by securities can face a demand for additional collateral in a falling market — but executed with discipline it is the liquidity engine of a plan built to hold assets until death.</w:t>
      </w:r>
    </w:p>
    <w:p>
      <w:pPr>
        <w:pStyle w:val="Heading2"/>
        <w:keepNext/>
        <w:spacing w:after="100" w:before="260"/>
      </w:pPr>
      <w:r>
        <w:rPr>
          <w:rFonts w:ascii="Georgia" w:cs="Georgia" w:eastAsia="Georgia" w:hAnsi="Georgia"/>
          <w:b/>
          <w:bCs/>
          <w:color w:val="26384A"/>
          <w:sz w:val="23"/>
          <w:szCs w:val="23"/>
        </w:rPr>
        <w:t xml:space="preserve">9.3  </w:t>
      </w:r>
      <w:r>
        <w:rPr>
          <w:rFonts w:ascii="Georgia" w:cs="Georgia" w:eastAsia="Georgia" w:hAnsi="Georgia"/>
          <w:b/>
          <w:bCs/>
          <w:color w:val="26384A"/>
          <w:sz w:val="23"/>
          <w:szCs w:val="23"/>
        </w:rPr>
        <w:t xml:space="preserve">The Step-Up at Death Completes the Strategy</w:t>
      </w:r>
    </w:p>
    <w:p>
      <w:pPr>
        <w:spacing w:after="180" w:before="0" w:line="348"/>
        <w:jc w:val="both"/>
      </w:pPr>
      <w:r>
        <w:rPr>
          <w:rFonts w:ascii="Georgia" w:cs="Georgia" w:eastAsia="Georgia" w:hAnsi="Georgia"/>
          <w:color w:val="1C1C1C"/>
          <w:sz w:val="24"/>
          <w:szCs w:val="24"/>
        </w:rPr>
        <w:t xml:space="preserve">At the grantor's death, any loans outstanding against the trust's assets remain as liabilities of the trust, secured by trust assets, and they are repaid from the stepped-up assets. Because the assets receive a basis step-up at death, the trust may sell assets to repay the loans with little or no gain, so that the liquidity drawn during the grantor's life through tax-free borrowing is ultimately funded by the sale of stepped-up assets rather than by the recognition of a lifetime of appreciation. The step-up thus completes the strategy: it is what allows the borrowing to be repaid without the tax that a lifetime sale would have imposed, and it is the reason the buy-borrow-die pattern fits a below-exemption family's plan so naturally. The strategy and the step-up are two expressions of the same underlying discipline — hold appreciated assets until death, draw liquidity by borrowing rather than selling, and let the step-up erase the gain — and together they are among the most powerful features of the entire architecture.</w:t>
      </w:r>
    </w:p>
    <w:p>
      <w:pPr>
        <w:pageBreakBefore/>
        <w:spacing w:after="120" w:before="2400"/>
        <w:jc w:val="center"/>
      </w:pPr>
      <w:r>
        <w:rPr>
          <w:rFonts w:ascii="Georgia" w:cs="Georgia" w:eastAsia="Georgia" w:hAnsi="Georgia"/>
          <w:b/>
          <w:bCs/>
          <w:color w:val="9A7B4F"/>
          <w:sz w:val="28"/>
          <w:szCs w:val="28"/>
        </w:rPr>
        <w:t xml:space="preserve">PART III</w:t>
      </w:r>
    </w:p>
    <w:p>
      <w:pPr>
        <w:pBdr>
          <w:top w:val="single" w:color="B7C1CD" w:sz="8" w:space="6"/>
          <w:bottom w:val="single" w:color="B7C1CD" w:sz="8" w:space="6"/>
        </w:pBdr>
        <w:spacing w:after="200"/>
        <w:jc w:val="center"/>
      </w:pPr>
      <w:r>
        <w:rPr>
          <w:rFonts w:ascii="Georgia" w:cs="Georgia" w:eastAsia="Georgia" w:hAnsi="Georgia"/>
          <w:b/>
          <w:bCs/>
          <w:color w:val="162131"/>
          <w:sz w:val="34"/>
          <w:szCs w:val="34"/>
        </w:rPr>
        <w:t xml:space="preserve">Phase Two — The Dynasty-Trust Jurisdiction</w:t>
      </w:r>
    </w:p>
    <w:p>
      <w:pPr>
        <w:spacing w:after="180" w:before="200" w:line="348"/>
        <w:jc w:val="both"/>
      </w:pPr>
      <w:r>
        <w:rPr>
          <w:rFonts w:ascii="Georgia" w:cs="Georgia" w:eastAsia="Georgia" w:hAnsi="Georgia"/>
          <w:color w:val="1C1C1C"/>
          <w:sz w:val="24"/>
          <w:szCs w:val="24"/>
        </w:rPr>
        <w:t xml:space="preserve">This part develops the elective second phase: the migration, after the grantor's death, of a child's continuing trust from the home state into a perpetual dynasty trust in a specialized jurisdiction. It describes the case for the migration, the Phase One drafting provisions that make it possible, the mechanics and timeline of the transition, the design of the receiving trust, the restoration of family unity that the migration can accomplish, and the independent options available to a child who does not migrate. Phase Two is an option the architecture creates, not an obligation it imposes.</w:t>
      </w:r>
    </w:p>
    <w:p>
      <w:pPr>
        <w:pStyle w:val="Heading1"/>
        <w:keepNext/>
        <w:pageBreakBefore/>
        <w:pBdr>
          <w:bottom w:val="single" w:color="B7C1CD" w:sz="10" w:space="3"/>
        </w:pBdr>
        <w:spacing w:after="140" w:before="360"/>
      </w:pPr>
      <w:r>
        <w:rPr>
          <w:rFonts w:ascii="Georgia" w:cs="Georgia" w:eastAsia="Georgia" w:hAnsi="Georgia"/>
          <w:b/>
          <w:bCs/>
          <w:color w:val="162131"/>
          <w:sz w:val="28"/>
          <w:szCs w:val="28"/>
        </w:rPr>
        <w:t xml:space="preserve">10.  </w:t>
      </w:r>
      <w:r>
        <w:rPr>
          <w:rFonts w:ascii="Georgia" w:cs="Georgia" w:eastAsia="Georgia" w:hAnsi="Georgia"/>
          <w:b/>
          <w:bCs/>
          <w:color w:val="162131"/>
          <w:sz w:val="28"/>
          <w:szCs w:val="28"/>
        </w:rPr>
        <w:t xml:space="preserve">Why Phase Two: The Case for a Dynasty Jurisdiction</w:t>
      </w:r>
    </w:p>
    <w:p>
      <w:pPr>
        <w:spacing w:after="180" w:before="0" w:line="348"/>
        <w:jc w:val="both"/>
      </w:pPr>
      <w:r>
        <w:rPr>
          <w:rFonts w:ascii="Georgia" w:cs="Georgia" w:eastAsia="Georgia" w:hAnsi="Georgia"/>
          <w:color w:val="1C1C1C"/>
          <w:sz w:val="24"/>
          <w:szCs w:val="24"/>
        </w:rPr>
        <w:t xml:space="preserve">Phase Two is a child's elective decanting of an inherited continuing trust from the home state into a newly created dynasty trust in a specialized jurisdiction. The decanting is authorized by the home state's decanting statute, which permits a trustee to distribute the assets of an existing trust into a new trust with modernized terms, and it is available because the Phase One continuing trusts are drafted, as Part III's next section describes, with the specific provisions the decanting requires. The migration is undertaken because the specialized jurisdiction offers advantages that the home state, for all the soundness of the Phase One structure, cannot match.</w:t>
      </w:r>
    </w:p>
    <w:p>
      <w:pPr>
        <w:spacing w:after="180" w:before="0" w:line="348"/>
        <w:jc w:val="both"/>
      </w:pPr>
      <w:r>
        <w:rPr>
          <w:rFonts w:ascii="Georgia" w:cs="Georgia" w:eastAsia="Georgia" w:hAnsi="Georgia"/>
          <w:color w:val="1C1C1C"/>
          <w:sz w:val="24"/>
          <w:szCs w:val="24"/>
        </w:rPr>
        <w:t xml:space="preserve">The leading dynasty-trust jurisdiction offers three advantages in particular. First, it imposes no state income tax on trusts, so that a trust migrated there pays no state income tax on its income other than income sourced to another state — a permanent saving relative to a trust that remains in a home state that taxes trust income. Second, it has abolished the rule against perpetuities, so that a trust formed there may continue indefinitely, carrying wealth across an unlimited number of generations while shielding that wealth from transfer tax at each generational level and from the claims of beneficiaries' creditors and divorcing spouses. Third, it offers the strongest available creditor protection, the most developed body of directed-trust and trust-protector law, and unmatched provisions for the confidentiality of trust matters, all supported by a long and favorable record of decisions that a newer home-state statute cannot yet offer.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A7B4F" w:sz="4"/>
              <w:left w:val="single" w:color="9A7B4F" w:sz="22"/>
              <w:bottom w:val="single" w:color="9A7B4F" w:sz="4"/>
              <w:right w:val="single" w:color="9A7B4F" w:sz="4"/>
            </w:tcBorders>
            <w:shd w:fill="F4F1EA" w:val="clear"/>
            <w:tcMar>
              <w:top w:type="dxa" w:w="180"/>
              <w:left w:type="dxa" w:w="240"/>
              <w:bottom w:type="dxa" w:w="180"/>
              <w:right w:type="dxa" w:w="240"/>
            </w:tcMar>
          </w:tcPr>
          <w:p>
            <w:pPr>
              <w:spacing w:after="80" w:line="300"/>
            </w:pPr>
            <w:r>
              <w:rPr>
                <w:rFonts w:ascii="Georgia" w:cs="Georgia" w:eastAsia="Georgia" w:hAnsi="Georgia"/>
                <w:b/>
                <w:bCs/>
                <w:color w:val="162131"/>
                <w:sz w:val="23"/>
                <w:szCs w:val="23"/>
              </w:rPr>
              <w:t xml:space="preserve">Phase Two Is a Plan, Not a Hedge</w:t>
            </w:r>
          </w:p>
          <w:p>
            <w:pPr>
              <w:spacing w:after="0" w:line="312"/>
              <w:jc w:val="both"/>
            </w:pPr>
            <w:r>
              <w:rPr>
                <w:rFonts w:ascii="Georgia" w:cs="Georgia" w:eastAsia="Georgia" w:hAnsi="Georgia"/>
                <w:color w:val="1C1C1C"/>
                <w:sz w:val="22"/>
                <w:szCs w:val="22"/>
              </w:rPr>
              <w:t xml:space="preserve">It is tempting to describe a migration like this as a contingency — something the family might do if circumstances change. That undersells it. The architecture is designed from the beginning with the second phase in mind, and the Phase One documents are drafted specifically to enable it. The migration is best understood as a planned second stage to be undertaken when the next generation is ready, not as a fallback to be reached only if something goes wrong. The election of when to undertake it belongs to the next generation, but the intention to make the option available is built into the plan from the start.</w:t>
            </w:r>
          </w:p>
        </w:tc>
      </w:tr>
    </w:tbl>
    <w:p>
      <w:pPr>
        <w:pStyle w:val="Heading1"/>
        <w:keepNext/>
        <w:pageBreakBefore/>
        <w:pBdr>
          <w:bottom w:val="single" w:color="B7C1CD" w:sz="10" w:space="3"/>
        </w:pBdr>
        <w:spacing w:after="140" w:before="360"/>
      </w:pPr>
      <w:r>
        <w:rPr>
          <w:rFonts w:ascii="Georgia" w:cs="Georgia" w:eastAsia="Georgia" w:hAnsi="Georgia"/>
          <w:b/>
          <w:bCs/>
          <w:color w:val="162131"/>
          <w:sz w:val="28"/>
          <w:szCs w:val="28"/>
        </w:rPr>
        <w:t xml:space="preserve">11.  </w:t>
      </w:r>
      <w:r>
        <w:rPr>
          <w:rFonts w:ascii="Georgia" w:cs="Georgia" w:eastAsia="Georgia" w:hAnsi="Georgia"/>
          <w:b/>
          <w:bCs/>
          <w:color w:val="162131"/>
          <w:sz w:val="28"/>
          <w:szCs w:val="28"/>
        </w:rPr>
        <w:t xml:space="preserve">Phase One Drafting Provisions That Enable Phase Two</w:t>
      </w:r>
    </w:p>
    <w:p>
      <w:pPr>
        <w:spacing w:after="180" w:before="0" w:line="348"/>
        <w:jc w:val="both"/>
      </w:pPr>
      <w:r>
        <w:rPr>
          <w:rFonts w:ascii="Georgia" w:cs="Georgia" w:eastAsia="Georgia" w:hAnsi="Georgia"/>
          <w:color w:val="1C1C1C"/>
          <w:sz w:val="24"/>
          <w:szCs w:val="24"/>
        </w:rPr>
        <w:t xml:space="preserve">The elective migration depends on a small set of provisions that must be present in the Phase One continuing trusts. These provisions cost nothing and impose no disadvantage on Phase One if the migration is never undertaken, and they are essential if it is. This section describes them, because they are the bridge between the two phases and the single most important point of coordination between the drafting of Phase One and the possibility of Phase Two.</w:t>
      </w:r>
    </w:p>
    <w:p>
      <w:pPr>
        <w:pStyle w:val="Heading2"/>
        <w:keepNext/>
        <w:spacing w:after="100" w:before="260"/>
      </w:pPr>
      <w:r>
        <w:rPr>
          <w:rFonts w:ascii="Georgia" w:cs="Georgia" w:eastAsia="Georgia" w:hAnsi="Georgia"/>
          <w:b/>
          <w:bCs/>
          <w:color w:val="26384A"/>
          <w:sz w:val="23"/>
          <w:szCs w:val="23"/>
        </w:rPr>
        <w:t xml:space="preserve">11.1  </w:t>
      </w:r>
      <w:r>
        <w:rPr>
          <w:rFonts w:ascii="Georgia" w:cs="Georgia" w:eastAsia="Georgia" w:hAnsi="Georgia"/>
          <w:b/>
          <w:bCs/>
          <w:color w:val="26384A"/>
          <w:sz w:val="23"/>
          <w:szCs w:val="23"/>
        </w:rPr>
        <w:t xml:space="preserve">Explicit Decanting Authorization</w:t>
      </w:r>
    </w:p>
    <w:p>
      <w:pPr>
        <w:spacing w:after="180" w:before="0" w:line="348"/>
        <w:jc w:val="both"/>
      </w:pPr>
      <w:r>
        <w:rPr>
          <w:rFonts w:ascii="Georgia" w:cs="Georgia" w:eastAsia="Georgia" w:hAnsi="Georgia"/>
          <w:color w:val="1C1C1C"/>
          <w:sz w:val="24"/>
          <w:szCs w:val="24"/>
        </w:rPr>
        <w:t xml:space="preserve">Each continuing trust must contain explicit language authorizing decanting under the home state's decanting statute, and the drafting should qualify each continuing trust as the kind of expanded-discretion trust that the statute permits to be decanted with the greatest latitude, by vesting the trustee with expansive discretion to distribute income and principal. The specific formulation — an explicit statement that the trustee holds broad discretion to distribute the trust's property and explicit authority to exercise the statutory decanting power — should follow the drafting attorney's preferred language, but its presence is what makes the later migration a routine exercise of an authority the trust already contains rather than a matter requiring court reformation or beneficiary consent.</w:t>
      </w:r>
    </w:p>
    <w:p>
      <w:pPr>
        <w:pStyle w:val="Heading2"/>
        <w:keepNext/>
        <w:spacing w:after="100" w:before="260"/>
      </w:pPr>
      <w:r>
        <w:rPr>
          <w:rFonts w:ascii="Georgia" w:cs="Georgia" w:eastAsia="Georgia" w:hAnsi="Georgia"/>
          <w:b/>
          <w:bCs/>
          <w:color w:val="26384A"/>
          <w:sz w:val="23"/>
          <w:szCs w:val="23"/>
        </w:rPr>
        <w:t xml:space="preserve">11.2  </w:t>
      </w:r>
      <w:r>
        <w:rPr>
          <w:rFonts w:ascii="Georgia" w:cs="Georgia" w:eastAsia="Georgia" w:hAnsi="Georgia"/>
          <w:b/>
          <w:bCs/>
          <w:color w:val="26384A"/>
          <w:sz w:val="23"/>
          <w:szCs w:val="23"/>
        </w:rPr>
        <w:t xml:space="preserve">Trust Protector Powers</w:t>
      </w:r>
    </w:p>
    <w:p>
      <w:pPr>
        <w:spacing w:after="180" w:before="0" w:line="348"/>
        <w:jc w:val="both"/>
      </w:pPr>
      <w:r>
        <w:rPr>
          <w:rFonts w:ascii="Georgia" w:cs="Georgia" w:eastAsia="Georgia" w:hAnsi="Georgia"/>
          <w:color w:val="1C1C1C"/>
          <w:sz w:val="24"/>
          <w:szCs w:val="24"/>
        </w:rPr>
        <w:t xml:space="preserve">Each continuing trust must name a trust protector with defined powers that include, at a minimum, the power to change the governing law and the situs of the trust, the power to remove and replace trustees, and the power to modify administrative provisions to address changes in law or circumstance. The trust protector operates as a second pathway alongside the decanting authority, providing flexibility to adapt the trust and, in particular, to change its governing law and situs. The role should be filled initially by an independent professional — not the surviving spouse, not a child, not the grantor — and should carry defined provisions for succession, so that the protector function continues reliably across the years between the grantor's death and any later migration.</w:t>
      </w:r>
    </w:p>
    <w:p>
      <w:pPr>
        <w:pStyle w:val="Heading2"/>
        <w:keepNext/>
        <w:spacing w:after="100" w:before="260"/>
      </w:pPr>
      <w:r>
        <w:rPr>
          <w:rFonts w:ascii="Georgia" w:cs="Georgia" w:eastAsia="Georgia" w:hAnsi="Georgia"/>
          <w:b/>
          <w:bCs/>
          <w:color w:val="26384A"/>
          <w:sz w:val="23"/>
          <w:szCs w:val="23"/>
        </w:rPr>
        <w:t xml:space="preserve">11.3  </w:t>
      </w:r>
      <w:r>
        <w:rPr>
          <w:rFonts w:ascii="Georgia" w:cs="Georgia" w:eastAsia="Georgia" w:hAnsi="Georgia"/>
          <w:b/>
          <w:bCs/>
          <w:color w:val="26384A"/>
          <w:sz w:val="23"/>
          <w:szCs w:val="23"/>
        </w:rPr>
        <w:t xml:space="preserve">Directed-Trustee Provisions</w:t>
      </w:r>
    </w:p>
    <w:p>
      <w:pPr>
        <w:spacing w:after="180" w:before="0" w:line="348"/>
        <w:jc w:val="both"/>
      </w:pPr>
      <w:r>
        <w:rPr>
          <w:rFonts w:ascii="Georgia" w:cs="Georgia" w:eastAsia="Georgia" w:hAnsi="Georgia"/>
          <w:color w:val="1C1C1C"/>
          <w:sz w:val="24"/>
          <w:szCs w:val="24"/>
        </w:rPr>
        <w:t xml:space="preserve">Each continuing trust should be drafted with explicit separation of fiduciary roles in the directed-trustee pattern — a trustee responsible for administration, an investment advisor responsible for investment decisions, and a distribution advisor responsible for distributions. This structure serves two purposes. During Phase One, it allows each function to be allocated to the person or institution best suited to it, operating under the home state's provisions for directed trusts. For Phase Two, it matches the statutory framework of the dynasty jurisdiction, whose law is built around exactly this separation of roles, so that a trust drafted in the directed pattern migrates into the receiving jurisdiction's framework without structural friction. Drafting the continuing trusts in the directed pattern from inception therefore both improves their Phase One administration and smooths their Phase Two migration.</w:t>
      </w:r>
    </w:p>
    <w:p>
      <w:pPr>
        <w:pStyle w:val="Heading2"/>
        <w:keepNext/>
        <w:spacing w:after="100" w:before="260"/>
      </w:pPr>
      <w:r>
        <w:rPr>
          <w:rFonts w:ascii="Georgia" w:cs="Georgia" w:eastAsia="Georgia" w:hAnsi="Georgia"/>
          <w:b/>
          <w:bCs/>
          <w:color w:val="26384A"/>
          <w:sz w:val="23"/>
          <w:szCs w:val="23"/>
        </w:rPr>
        <w:t xml:space="preserve">11.4  </w:t>
      </w:r>
      <w:r>
        <w:rPr>
          <w:rFonts w:ascii="Georgia" w:cs="Georgia" w:eastAsia="Georgia" w:hAnsi="Georgia"/>
          <w:b/>
          <w:bCs/>
          <w:color w:val="26384A"/>
          <w:sz w:val="23"/>
          <w:szCs w:val="23"/>
        </w:rPr>
        <w:t xml:space="preserve">An Expansive Beneficiary Class</w:t>
      </w:r>
    </w:p>
    <w:p>
      <w:pPr>
        <w:spacing w:after="180" w:before="0" w:line="348"/>
        <w:jc w:val="both"/>
      </w:pPr>
      <w:r>
        <w:rPr>
          <w:rFonts w:ascii="Georgia" w:cs="Georgia" w:eastAsia="Georgia" w:hAnsi="Georgia"/>
          <w:color w:val="1C1C1C"/>
          <w:sz w:val="24"/>
          <w:szCs w:val="24"/>
        </w:rPr>
        <w:t xml:space="preserve">The beneficiary class of each Phase One continuing trust should be drawn broadly enough to include all persons who may become beneficiaries of the eventual dynasty trust, because decanting law generally does not permit the addition of beneficiaries who were not permissible beneficiaries of the trust being decanted. If a child intends that the dynasty trust ultimately benefit not only the child and the child's descendants but also, potentially, the surviving spouse and the child's siblings and their descendants — the family-unity design described in Section 13 — then the child's Phase One continuing trust should be drafted with a beneficiary class expansive enough to include those persons from the outset. There is no disadvantage to the broader class during Phase One, because distributions remain discretionary and controlled, and the breadth of the class at inception is what preserves the option to include those persons in the dynasty trust later. This is a point on which the drafting attorney's confirmation is valuable, to ensure the approach is consistent with the home state's law and with the attorney's preferred continuing-trust pattern.</w:t>
      </w:r>
    </w:p>
    <w:p>
      <w:pPr>
        <w:pStyle w:val="Heading2"/>
        <w:keepNext/>
        <w:spacing w:after="100" w:before="260"/>
      </w:pPr>
      <w:r>
        <w:rPr>
          <w:rFonts w:ascii="Georgia" w:cs="Georgia" w:eastAsia="Georgia" w:hAnsi="Georgia"/>
          <w:b/>
          <w:bCs/>
          <w:color w:val="26384A"/>
          <w:sz w:val="23"/>
          <w:szCs w:val="23"/>
        </w:rPr>
        <w:t xml:space="preserve">11.5  </w:t>
      </w:r>
      <w:r>
        <w:rPr>
          <w:rFonts w:ascii="Georgia" w:cs="Georgia" w:eastAsia="Georgia" w:hAnsi="Georgia"/>
          <w:b/>
          <w:bCs/>
          <w:color w:val="26384A"/>
          <w:sz w:val="23"/>
          <w:szCs w:val="23"/>
        </w:rPr>
        <w:t xml:space="preserve">A Carve-Out for the Surviving Spouse's Sub-Trust</w:t>
      </w:r>
    </w:p>
    <w:p>
      <w:pPr>
        <w:spacing w:after="180" w:before="0" w:line="348"/>
        <w:jc w:val="both"/>
      </w:pPr>
      <w:r>
        <w:rPr>
          <w:rFonts w:ascii="Georgia" w:cs="Georgia" w:eastAsia="Georgia" w:hAnsi="Georgia"/>
          <w:color w:val="1C1C1C"/>
          <w:sz w:val="24"/>
          <w:szCs w:val="24"/>
        </w:rPr>
        <w:t xml:space="preserve">The life-estate sub-trust for the surviving spouse should be expressly excluded from the decanting and migration authorities that apply to the children's continuing trusts. The surviving spouse's protected interest should not be subject to alteration by a child's later decision to migrate a continuing trust, and the drafting mechanism is straightforward: the decanting authority is limited to the children's continuing trusts, and the sub-trust is carved out. This carve-out ensures that the flexibility the plan grants the children with respect to their own trusts cannot reach the interest the plan reserves for the surviving spouse, preserving the separation between the spouse's security and the children's elective planning.</w:t>
      </w:r>
    </w:p>
    <w:p>
      <w:pPr>
        <w:pStyle w:val="Heading1"/>
        <w:keepNext/>
        <w:pageBreakBefore/>
        <w:pBdr>
          <w:bottom w:val="single" w:color="B7C1CD" w:sz="10" w:space="3"/>
        </w:pBdr>
        <w:spacing w:after="140" w:before="360"/>
      </w:pPr>
      <w:r>
        <w:rPr>
          <w:rFonts w:ascii="Georgia" w:cs="Georgia" w:eastAsia="Georgia" w:hAnsi="Georgia"/>
          <w:b/>
          <w:bCs/>
          <w:color w:val="162131"/>
          <w:sz w:val="28"/>
          <w:szCs w:val="28"/>
        </w:rPr>
        <w:t xml:space="preserve">12.  </w:t>
      </w:r>
      <w:r>
        <w:rPr>
          <w:rFonts w:ascii="Georgia" w:cs="Georgia" w:eastAsia="Georgia" w:hAnsi="Georgia"/>
          <w:b/>
          <w:bCs/>
          <w:color w:val="162131"/>
          <w:sz w:val="28"/>
          <w:szCs w:val="28"/>
        </w:rPr>
        <w:t xml:space="preserve">The Transition — Mechanics and Timeline</w:t>
      </w:r>
    </w:p>
    <w:p>
      <w:pPr>
        <w:spacing w:after="180" w:before="0" w:line="348"/>
        <w:jc w:val="both"/>
      </w:pPr>
      <w:r>
        <w:rPr>
          <w:rFonts w:ascii="Georgia" w:cs="Georgia" w:eastAsia="Georgia" w:hAnsi="Georgia"/>
          <w:color w:val="1C1C1C"/>
          <w:sz w:val="24"/>
          <w:szCs w:val="24"/>
        </w:rPr>
        <w:t xml:space="preserve">This section describes how the migration actually executes, from a child's decision to initiate it through the completion of the transfer and the termination of the original trust. The process is routine for experienced counsel in the receiving jurisdiction, but its steps and their sequence repay description.</w:t>
      </w:r>
    </w:p>
    <w:p>
      <w:pPr>
        <w:pStyle w:val="Heading2"/>
        <w:keepNext/>
        <w:spacing w:after="100" w:before="260"/>
      </w:pPr>
      <w:r>
        <w:rPr>
          <w:rFonts w:ascii="Georgia" w:cs="Georgia" w:eastAsia="Georgia" w:hAnsi="Georgia"/>
          <w:b/>
          <w:bCs/>
          <w:color w:val="26384A"/>
          <w:sz w:val="23"/>
          <w:szCs w:val="23"/>
        </w:rPr>
        <w:t xml:space="preserve">12.1  </w:t>
      </w:r>
      <w:r>
        <w:rPr>
          <w:rFonts w:ascii="Georgia" w:cs="Georgia" w:eastAsia="Georgia" w:hAnsi="Georgia"/>
          <w:b/>
          <w:bCs/>
          <w:color w:val="26384A"/>
          <w:sz w:val="23"/>
          <w:szCs w:val="23"/>
        </w:rPr>
        <w:t xml:space="preserve">The Decision to Initiate</w:t>
      </w:r>
    </w:p>
    <w:p>
      <w:pPr>
        <w:spacing w:after="180" w:before="0" w:line="348"/>
        <w:jc w:val="both"/>
      </w:pPr>
      <w:r>
        <w:rPr>
          <w:rFonts w:ascii="Georgia" w:cs="Georgia" w:eastAsia="Georgia" w:hAnsi="Georgia"/>
          <w:color w:val="1C1C1C"/>
          <w:sz w:val="24"/>
          <w:szCs w:val="24"/>
        </w:rPr>
        <w:t xml:space="preserve">The migration is triggered by a child's decision to proceed, and the decision is discretionary — nothing in the Phase One documents compels a particular timing. A child weighs the child's own circumstances at the time, including marriage, children, and business ventures; the size and composition of the continuing trust; the state of the law in both the home state and the dynasty jurisdiction; and the child's own readiness to take on the administration of a perpetual trust. The option may be exercised soon after the grantor's death or many years later, and the freedom to choose the timing is itself a feature of the design, allowing the migration to be undertaken when it best serves the child rather than on a schedule fixed in advance.</w:t>
      </w:r>
    </w:p>
    <w:p>
      <w:pPr>
        <w:pStyle w:val="Heading2"/>
        <w:keepNext/>
        <w:spacing w:after="100" w:before="260"/>
      </w:pPr>
      <w:r>
        <w:rPr>
          <w:rFonts w:ascii="Georgia" w:cs="Georgia" w:eastAsia="Georgia" w:hAnsi="Georgia"/>
          <w:b/>
          <w:bCs/>
          <w:color w:val="26384A"/>
          <w:sz w:val="23"/>
          <w:szCs w:val="23"/>
        </w:rPr>
        <w:t xml:space="preserve">12.2  </w:t>
      </w:r>
      <w:r>
        <w:rPr>
          <w:rFonts w:ascii="Georgia" w:cs="Georgia" w:eastAsia="Georgia" w:hAnsi="Georgia"/>
          <w:b/>
          <w:bCs/>
          <w:color w:val="26384A"/>
          <w:sz w:val="23"/>
          <w:szCs w:val="23"/>
        </w:rPr>
        <w:t xml:space="preserve">Selecting Counsel and a Corporate Trustee</w:t>
      </w:r>
    </w:p>
    <w:p>
      <w:pPr>
        <w:spacing w:after="180" w:before="0" w:line="348"/>
        <w:jc w:val="both"/>
      </w:pPr>
      <w:r>
        <w:rPr>
          <w:rFonts w:ascii="Georgia" w:cs="Georgia" w:eastAsia="Georgia" w:hAnsi="Georgia"/>
          <w:color w:val="1C1C1C"/>
          <w:sz w:val="24"/>
          <w:szCs w:val="24"/>
        </w:rPr>
        <w:t xml:space="preserve">Before the migration begins, the child engages counsel in the dynasty jurisdiction to draft the receiving trust and to coordinate the transition, and selects a corporate trustee chartered in that jurisdiction to administer the receiving trust. The selection criteria include the trustee's experience with trusts decanted from other states, which is routine for the leading trustees in the dynasty jurisdiction; the trustee's fee structure; the range of services the trustee provides; and the fit between the trustee's capabilities and the size and complexity of the trust. The engagement of local counsel and a local corporate trustee is also what establishes the connection to the dynasty jurisdiction on which the application of that jurisdiction's law depends.</w:t>
      </w:r>
    </w:p>
    <w:p>
      <w:pPr>
        <w:pStyle w:val="Heading2"/>
        <w:keepNext/>
        <w:spacing w:after="100" w:before="260"/>
      </w:pPr>
      <w:r>
        <w:rPr>
          <w:rFonts w:ascii="Georgia" w:cs="Georgia" w:eastAsia="Georgia" w:hAnsi="Georgia"/>
          <w:b/>
          <w:bCs/>
          <w:color w:val="26384A"/>
          <w:sz w:val="23"/>
          <w:szCs w:val="23"/>
        </w:rPr>
        <w:t xml:space="preserve">12.3  </w:t>
      </w:r>
      <w:r>
        <w:rPr>
          <w:rFonts w:ascii="Georgia" w:cs="Georgia" w:eastAsia="Georgia" w:hAnsi="Georgia"/>
          <w:b/>
          <w:bCs/>
          <w:color w:val="26384A"/>
          <w:sz w:val="23"/>
          <w:szCs w:val="23"/>
        </w:rPr>
        <w:t xml:space="preserve">Drafting the Receiving Dynasty Trust</w:t>
      </w:r>
    </w:p>
    <w:p>
      <w:pPr>
        <w:spacing w:after="180" w:before="0" w:line="348"/>
        <w:jc w:val="both"/>
      </w:pPr>
      <w:r>
        <w:rPr>
          <w:rFonts w:ascii="Georgia" w:cs="Georgia" w:eastAsia="Georgia" w:hAnsi="Georgia"/>
          <w:color w:val="1C1C1C"/>
          <w:sz w:val="24"/>
          <w:szCs w:val="24"/>
        </w:rPr>
        <w:t xml:space="preserve">Counsel in the dynasty jurisdiction drafts the receiving trust, which is irrevocable, perpetual because the jurisdiction has abolished the rule against perpetuities, and structured in the directed pattern the jurisdiction's law contemplates. The receiving trust includes provisions the Phase One continuing trust did not require: provisions permitting information to be withheld from certain beneficiaries in defined circumstances, provisions accommodating future contributions by the child under the jurisdiction's own asset-protection statute, and the expansive beneficiary class that restores family unity. The receiving trust is drafted to remain within the parameters that keep the decanting a non-taxable event, preserving the character of the trust being decanted while modernizing its terms and changing its situs and governing law.</w:t>
      </w:r>
    </w:p>
    <w:p>
      <w:pPr>
        <w:pStyle w:val="Heading2"/>
        <w:keepNext/>
        <w:spacing w:after="100" w:before="260"/>
      </w:pPr>
      <w:r>
        <w:rPr>
          <w:rFonts w:ascii="Georgia" w:cs="Georgia" w:eastAsia="Georgia" w:hAnsi="Georgia"/>
          <w:b/>
          <w:bCs/>
          <w:color w:val="26384A"/>
          <w:sz w:val="23"/>
          <w:szCs w:val="23"/>
        </w:rPr>
        <w:t xml:space="preserve">12.4  </w:t>
      </w:r>
      <w:r>
        <w:rPr>
          <w:rFonts w:ascii="Georgia" w:cs="Georgia" w:eastAsia="Georgia" w:hAnsi="Georgia"/>
          <w:b/>
          <w:bCs/>
          <w:color w:val="26384A"/>
          <w:sz w:val="23"/>
          <w:szCs w:val="23"/>
        </w:rPr>
        <w:t xml:space="preserve">The Notice Period</w:t>
      </w:r>
    </w:p>
    <w:p>
      <w:pPr>
        <w:spacing w:after="180" w:before="0" w:line="348"/>
        <w:jc w:val="both"/>
      </w:pPr>
      <w:r>
        <w:rPr>
          <w:rFonts w:ascii="Georgia" w:cs="Georgia" w:eastAsia="Georgia" w:hAnsi="Georgia"/>
          <w:color w:val="1C1C1C"/>
          <w:sz w:val="24"/>
          <w:szCs w:val="24"/>
        </w:rPr>
        <w:t xml:space="preserve">Once the receiving trust is ready to accept assets, the trustee of the child's continuing trust provides the statutory written notice of the decanting to the qualified beneficiaries, beginning the notice period the home state's decanting statute prescribes. During the notice period, qualified beneficiaries may object, but the decanting statute does not require beneficiary consent, so an objection does not by itself prevent the decanting; a beneficiary who objected would have to obtain judicial intervention to stop it, which is not anticipated where the decanting is properly within the trustee's authority and consistent with the trust's terms. The notice period is a procedural protection that ensures beneficiaries are informed, not a consent requirement that gives any beneficiary a veto.</w:t>
      </w:r>
    </w:p>
    <w:p>
      <w:pPr>
        <w:pStyle w:val="Heading2"/>
        <w:keepNext/>
        <w:spacing w:after="100" w:before="260"/>
      </w:pPr>
      <w:r>
        <w:rPr>
          <w:rFonts w:ascii="Georgia" w:cs="Georgia" w:eastAsia="Georgia" w:hAnsi="Georgia"/>
          <w:b/>
          <w:bCs/>
          <w:color w:val="26384A"/>
          <w:sz w:val="23"/>
          <w:szCs w:val="23"/>
        </w:rPr>
        <w:t xml:space="preserve">12.5  </w:t>
      </w:r>
      <w:r>
        <w:rPr>
          <w:rFonts w:ascii="Georgia" w:cs="Georgia" w:eastAsia="Georgia" w:hAnsi="Georgia"/>
          <w:b/>
          <w:bCs/>
          <w:color w:val="26384A"/>
          <w:sz w:val="23"/>
          <w:szCs w:val="23"/>
        </w:rPr>
        <w:t xml:space="preserve">The Decanting Transfer and the Termination of the Original Trust</w:t>
      </w:r>
    </w:p>
    <w:p>
      <w:pPr>
        <w:spacing w:after="180" w:before="0" w:line="348"/>
        <w:jc w:val="both"/>
      </w:pPr>
      <w:r>
        <w:rPr>
          <w:rFonts w:ascii="Georgia" w:cs="Georgia" w:eastAsia="Georgia" w:hAnsi="Georgia"/>
          <w:color w:val="1C1C1C"/>
          <w:sz w:val="24"/>
          <w:szCs w:val="24"/>
        </w:rPr>
        <w:t xml:space="preserve">At the end of the notice period, assuming no successful judicial intervention, the trustee of the continuing trust transfers the trust's assets to the receiving dynasty trust. Where the continuing trust's principal asset is an interest in the holding company that owns the rental real estate, the transfer is accomplished by assigning that membership interest to the receiving trust, together with the trust's other assets. Once all assets have been transferred, the original continuing trust is formally terminated: the trustee prepares a final accounting, makes any final distributions required, files the final returns, and closes the trust. From that point the child's wealth is held in the perpetual dynasty trust in the specialized jurisdiction, and the home-state continuing trust has ceased to exist.</w:t>
      </w:r>
    </w:p>
    <w:p>
      <w:pPr>
        <w:pStyle w:val="Heading2"/>
        <w:keepNext/>
        <w:spacing w:after="100" w:before="260"/>
      </w:pPr>
      <w:r>
        <w:rPr>
          <w:rFonts w:ascii="Georgia" w:cs="Georgia" w:eastAsia="Georgia" w:hAnsi="Georgia"/>
          <w:b/>
          <w:bCs/>
          <w:color w:val="26384A"/>
          <w:sz w:val="23"/>
          <w:szCs w:val="23"/>
        </w:rPr>
        <w:t xml:space="preserve">12.6  </w:t>
      </w:r>
      <w:r>
        <w:rPr>
          <w:rFonts w:ascii="Georgia" w:cs="Georgia" w:eastAsia="Georgia" w:hAnsi="Georgia"/>
          <w:b/>
          <w:bCs/>
          <w:color w:val="26384A"/>
          <w:sz w:val="23"/>
          <w:szCs w:val="23"/>
        </w:rPr>
        <w:t xml:space="preserve">Tax Reporting for the Transition</w:t>
      </w:r>
    </w:p>
    <w:p>
      <w:pPr>
        <w:spacing w:after="180" w:before="0" w:line="348"/>
        <w:jc w:val="both"/>
      </w:pPr>
      <w:r>
        <w:rPr>
          <w:rFonts w:ascii="Georgia" w:cs="Georgia" w:eastAsia="Georgia" w:hAnsi="Georgia"/>
          <w:color w:val="1C1C1C"/>
          <w:sz w:val="24"/>
          <w:szCs w:val="24"/>
        </w:rPr>
        <w:t xml:space="preserve">The decanting is generally a non-taxable event. For income-tax purposes, it is not a sale or exchange and does not trigger the recognition of gain, provided the receiving trust does not depart materially from the terms of the trust being decanted in ways the tax rules would treat as a taxable transformation. For gift-tax purposes, the decanting is not a gift by any party, because the continuing trust is an irrevocable trust whose assets are being moved to another irrevocable trust with a consistent beneficiary structure, not given away by any individual. For generation-skipping purposes, the decanting preserves the inclusion-ratio status of the continuing trust: if generation-skipping exemption was allocated to the trust at the original Phase One funding, so that the trust carried a zero inclusion ratio, that status is preserved through the decanting, and the dynasty trust continues to carry wealth across generations free of the generation-skipping tax. The preservation of the inclusion ratio is one of the reasons the allocation of generation-skipping exemption at Phase One funding matters so much to Phase Two.</w:t>
      </w:r>
    </w:p>
    <w:p>
      <w:pPr>
        <w:pStyle w:val="Heading1"/>
        <w:keepNext/>
        <w:pageBreakBefore/>
        <w:pBdr>
          <w:bottom w:val="single" w:color="B7C1CD" w:sz="10" w:space="3"/>
        </w:pBdr>
        <w:spacing w:after="140" w:before="360"/>
      </w:pPr>
      <w:r>
        <w:rPr>
          <w:rFonts w:ascii="Georgia" w:cs="Georgia" w:eastAsia="Georgia" w:hAnsi="Georgia"/>
          <w:b/>
          <w:bCs/>
          <w:color w:val="162131"/>
          <w:sz w:val="28"/>
          <w:szCs w:val="28"/>
        </w:rPr>
        <w:t xml:space="preserve">13.  </w:t>
      </w:r>
      <w:r>
        <w:rPr>
          <w:rFonts w:ascii="Georgia" w:cs="Georgia" w:eastAsia="Georgia" w:hAnsi="Georgia"/>
          <w:b/>
          <w:bCs/>
          <w:color w:val="162131"/>
          <w:sz w:val="28"/>
          <w:szCs w:val="28"/>
        </w:rPr>
        <w:t xml:space="preserve">The Receiving Dynasty Trust</w:t>
      </w:r>
    </w:p>
    <w:p>
      <w:pPr>
        <w:spacing w:after="180" w:before="0" w:line="348"/>
        <w:jc w:val="both"/>
      </w:pPr>
      <w:r>
        <w:rPr>
          <w:rFonts w:ascii="Georgia" w:cs="Georgia" w:eastAsia="Georgia" w:hAnsi="Georgia"/>
          <w:color w:val="1C1C1C"/>
          <w:sz w:val="24"/>
          <w:szCs w:val="24"/>
        </w:rPr>
        <w:t xml:space="preserve">This section describes the receiving dynasty trust itself — its beneficiary class, its governance, and the features that make it a durable multi-generational vehicle distinct from the Phase One continuing trust it succeeds.</w:t>
      </w:r>
    </w:p>
    <w:p>
      <w:pPr>
        <w:pStyle w:val="Heading2"/>
        <w:keepNext/>
        <w:spacing w:after="100" w:before="260"/>
      </w:pPr>
      <w:r>
        <w:rPr>
          <w:rFonts w:ascii="Georgia" w:cs="Georgia" w:eastAsia="Georgia" w:hAnsi="Georgia"/>
          <w:b/>
          <w:bCs/>
          <w:color w:val="26384A"/>
          <w:sz w:val="23"/>
          <w:szCs w:val="23"/>
        </w:rPr>
        <w:t xml:space="preserve">13.1  </w:t>
      </w:r>
      <w:r>
        <w:rPr>
          <w:rFonts w:ascii="Georgia" w:cs="Georgia" w:eastAsia="Georgia" w:hAnsi="Georgia"/>
          <w:b/>
          <w:bCs/>
          <w:color w:val="26384A"/>
          <w:sz w:val="23"/>
          <w:szCs w:val="23"/>
        </w:rPr>
        <w:t xml:space="preserve">Beneficiary Class and the Restoration of Family Unity</w:t>
      </w:r>
    </w:p>
    <w:p>
      <w:pPr>
        <w:spacing w:after="180" w:before="0" w:line="348"/>
        <w:jc w:val="both"/>
      </w:pPr>
      <w:r>
        <w:rPr>
          <w:rFonts w:ascii="Georgia" w:cs="Georgia" w:eastAsia="Georgia" w:hAnsi="Georgia"/>
          <w:color w:val="1C1C1C"/>
          <w:sz w:val="24"/>
          <w:szCs w:val="24"/>
        </w:rPr>
        <w:t xml:space="preserve">The defining feature of the receiving dynasty trust is an intentionally expansive beneficiary class that can restore family unity after the death-time division of Phase One. Where the Phase One distribution separated the family into a life estate for the surviving spouse and separate continuing trusts for each child, the receiving dynasty trust may welcome the surviving spouse, the child's siblings, and the siblings' descendants back in as discretionary beneficiaries alongside the child and the child's own descendants. This reunification is significant in several ways. It allows assets to flow across what had been the division between the children's separate trusts, so that a child who has migrated may, through the dynasty trust's distribution advisor, benefit a sibling or a sibling's child in need. It restores to a single pool the wealth that Phase One had divided, under the control of the child who elected the migration. And it does so by the child's own choice, not by compulsion — the distributions to these beneficiaries are fully discretionary, made by the distribution advisor, so that inclusion in the beneficiary class is an eligibility to be considered, not an entitlement to be claimed.</w:t>
      </w:r>
    </w:p>
    <w:p>
      <w:pPr>
        <w:pStyle w:val="Heading2"/>
        <w:keepNext/>
        <w:spacing w:after="100" w:before="260"/>
      </w:pPr>
      <w:r>
        <w:rPr>
          <w:rFonts w:ascii="Georgia" w:cs="Georgia" w:eastAsia="Georgia" w:hAnsi="Georgia"/>
          <w:b/>
          <w:bCs/>
          <w:color w:val="26384A"/>
          <w:sz w:val="23"/>
          <w:szCs w:val="23"/>
        </w:rPr>
        <w:t xml:space="preserve">13.2  </w:t>
      </w:r>
      <w:r>
        <w:rPr>
          <w:rFonts w:ascii="Georgia" w:cs="Georgia" w:eastAsia="Georgia" w:hAnsi="Georgia"/>
          <w:b/>
          <w:bCs/>
          <w:color w:val="26384A"/>
          <w:sz w:val="23"/>
          <w:szCs w:val="23"/>
        </w:rPr>
        <w:t xml:space="preserve">The Directed-Trustee Structure</w:t>
      </w:r>
    </w:p>
    <w:p>
      <w:pPr>
        <w:spacing w:after="180" w:before="0" w:line="348"/>
        <w:jc w:val="both"/>
      </w:pPr>
      <w:r>
        <w:rPr>
          <w:rFonts w:ascii="Georgia" w:cs="Georgia" w:eastAsia="Georgia" w:hAnsi="Georgia"/>
          <w:color w:val="1C1C1C"/>
          <w:sz w:val="24"/>
          <w:szCs w:val="24"/>
        </w:rPr>
        <w:t xml:space="preserve">The receiving dynasty trust operates under the dynasty jurisdiction's directed-trustee framework, dividing the fiduciary functions among a corporate trustee responsible for administration, an investment advisor responsible for investment decisions, and a distribution advisor responsible for distributions. The structure has two advantages over a unified trustee. It permits specialized expertise in each role, so that the corporate trustee administers, an investment professional or the family directs investments, and a distribution advisor who understands the family's circumstances directs distributions. And it keeps meaningful control of investments and distributions with the family — initially with the child who elected the migration, serving as investment advisor and distribution advisor — while the corporate trustee provides the institutional administration and the situs the jurisdiction requires. As the trust matures and the child ages, succession in the advisor roles becomes important, and the trust should specify how those roles pass, so that the direction of investments and distributions continues reliably across generations.</w:t>
      </w:r>
    </w:p>
    <w:p>
      <w:pPr>
        <w:pStyle w:val="Heading2"/>
        <w:keepNext/>
        <w:spacing w:after="100" w:before="260"/>
      </w:pPr>
      <w:r>
        <w:rPr>
          <w:rFonts w:ascii="Georgia" w:cs="Georgia" w:eastAsia="Georgia" w:hAnsi="Georgia"/>
          <w:b/>
          <w:bCs/>
          <w:color w:val="26384A"/>
          <w:sz w:val="23"/>
          <w:szCs w:val="23"/>
        </w:rPr>
        <w:t xml:space="preserve">13.3  </w:t>
      </w:r>
      <w:r>
        <w:rPr>
          <w:rFonts w:ascii="Georgia" w:cs="Georgia" w:eastAsia="Georgia" w:hAnsi="Georgia"/>
          <w:b/>
          <w:bCs/>
          <w:color w:val="26384A"/>
          <w:sz w:val="23"/>
          <w:szCs w:val="23"/>
        </w:rPr>
        <w:t xml:space="preserve">Confidentiality Provisions</w:t>
      </w:r>
    </w:p>
    <w:p>
      <w:pPr>
        <w:spacing w:after="180" w:before="0" w:line="348"/>
        <w:jc w:val="both"/>
      </w:pPr>
      <w:r>
        <w:rPr>
          <w:rFonts w:ascii="Georgia" w:cs="Georgia" w:eastAsia="Georgia" w:hAnsi="Georgia"/>
          <w:color w:val="1C1C1C"/>
          <w:sz w:val="24"/>
          <w:szCs w:val="24"/>
        </w:rPr>
        <w:t xml:space="preserve">The dynasty jurisdiction permits provisions under which the trustee may, in defined circumstances and for good-faith reasons, withhold certain information from certain beneficiaries — a capability the Phase One continuing trust did not include. Such provisions are used to manage the timing and manner in which beneficiaries learn of and come to rely on the trust, balancing the trustee's fiduciary duty to keep beneficiaries reasonably informed against the settlor's legitimate interest in not disclosing the full extent of the trust to a young or unprepared beneficiary prematurely. The provisions are drafted with care, because the duty to inform is a core fiduciary obligation, and the jurisdiction's law defines the circumstances in which information may be withheld and the mechanisms — such as the designation of a representative to receive information on a beneficiary's behalf — that reconcile confidentiality with the protection of the beneficiary's interests.</w:t>
      </w:r>
    </w:p>
    <w:p>
      <w:pPr>
        <w:pStyle w:val="Heading2"/>
        <w:keepNext/>
        <w:spacing w:after="100" w:before="260"/>
      </w:pPr>
      <w:r>
        <w:rPr>
          <w:rFonts w:ascii="Georgia" w:cs="Georgia" w:eastAsia="Georgia" w:hAnsi="Georgia"/>
          <w:b/>
          <w:bCs/>
          <w:color w:val="26384A"/>
          <w:sz w:val="23"/>
          <w:szCs w:val="23"/>
        </w:rPr>
        <w:t xml:space="preserve">13.4  </w:t>
      </w:r>
      <w:r>
        <w:rPr>
          <w:rFonts w:ascii="Georgia" w:cs="Georgia" w:eastAsia="Georgia" w:hAnsi="Georgia"/>
          <w:b/>
          <w:bCs/>
          <w:color w:val="26384A"/>
          <w:sz w:val="23"/>
          <w:szCs w:val="23"/>
        </w:rPr>
        <w:t xml:space="preserve">Provision for the Child's Own Future Contributions</w:t>
      </w:r>
    </w:p>
    <w:p>
      <w:pPr>
        <w:spacing w:after="180" w:before="0" w:line="348"/>
        <w:jc w:val="both"/>
      </w:pPr>
      <w:r>
        <w:rPr>
          <w:rFonts w:ascii="Georgia" w:cs="Georgia" w:eastAsia="Georgia" w:hAnsi="Georgia"/>
          <w:color w:val="1C1C1C"/>
          <w:sz w:val="24"/>
          <w:szCs w:val="24"/>
        </w:rPr>
        <w:t xml:space="preserve">If the child who elected the migration later wishes to contribute the child's own additional wealth to the dynasty trust — the proceeds of a business venture, for example, or other assets the child accumulates — the receiving trust can be drafted to accommodate those contributions under the dynasty jurisdiction's own asset-protection statute, so that the child's later contributions receive the jurisdiction's protection. This matters where the child is likely to generate substantial wealth of the child's own during the child's life, because it allows the dynasty trust to serve not only as the vehicle for the inherited wealth but also as the protected repository for the child's own accumulation, consolidating the family's wealth in a single perpetual, protected structure. The child's later contributions are subject to the jurisdiction's own requirements as to solvency and limitations periods, applied to those contributions as of the time they are made.</w:t>
      </w:r>
    </w:p>
    <w:p>
      <w:pPr>
        <w:pStyle w:val="Heading2"/>
        <w:keepNext/>
        <w:spacing w:after="100" w:before="260"/>
      </w:pPr>
      <w:r>
        <w:rPr>
          <w:rFonts w:ascii="Georgia" w:cs="Georgia" w:eastAsia="Georgia" w:hAnsi="Georgia"/>
          <w:b/>
          <w:bCs/>
          <w:color w:val="26384A"/>
          <w:sz w:val="23"/>
          <w:szCs w:val="23"/>
        </w:rPr>
        <w:t xml:space="preserve">13.5  </w:t>
      </w:r>
      <w:r>
        <w:rPr>
          <w:rFonts w:ascii="Georgia" w:cs="Georgia" w:eastAsia="Georgia" w:hAnsi="Georgia"/>
          <w:b/>
          <w:bCs/>
          <w:color w:val="26384A"/>
          <w:sz w:val="23"/>
          <w:szCs w:val="23"/>
        </w:rPr>
        <w:t xml:space="preserve">Perpetual Duration</w:t>
      </w:r>
    </w:p>
    <w:p>
      <w:pPr>
        <w:spacing w:after="180" w:before="0" w:line="348"/>
        <w:jc w:val="both"/>
      </w:pPr>
      <w:r>
        <w:rPr>
          <w:rFonts w:ascii="Georgia" w:cs="Georgia" w:eastAsia="Georgia" w:hAnsi="Georgia"/>
          <w:color w:val="1C1C1C"/>
          <w:sz w:val="24"/>
          <w:szCs w:val="24"/>
        </w:rPr>
        <w:t xml:space="preserve">Because the dynasty jurisdiction has abolished the rule against perpetuities, the receiving trust may continue indefinitely, and this is the most consequential of its multi-generational features. A perpetual trust holds and transmits wealth across an unlimited number of generations while keeping that wealth outside the taxable estates of the beneficiaries, beyond the reach of their creditors and divorcing spouses, and — with generation-skipping exemption allocated and its zero inclusion ratio preserved through the migration — free of transfer tax at each generational level. The perpetual dynasty trust is thus the vehicle through which the family's wealth, having been protected during the grantor's life and stepped up at the grantor's death, is carried forward across the generations that follow, and it is the ultimate destination toward which the entire two-phase architecture is oriented.</w:t>
      </w:r>
    </w:p>
    <w:p>
      <w:pPr>
        <w:pStyle w:val="Heading1"/>
        <w:keepNext/>
        <w:pageBreakBefore/>
        <w:pBdr>
          <w:bottom w:val="single" w:color="B7C1CD" w:sz="10" w:space="3"/>
        </w:pBdr>
        <w:spacing w:after="140" w:before="360"/>
      </w:pPr>
      <w:r>
        <w:rPr>
          <w:rFonts w:ascii="Georgia" w:cs="Georgia" w:eastAsia="Georgia" w:hAnsi="Georgia"/>
          <w:b/>
          <w:bCs/>
          <w:color w:val="162131"/>
          <w:sz w:val="28"/>
          <w:szCs w:val="28"/>
        </w:rPr>
        <w:t xml:space="preserve">14.  </w:t>
      </w:r>
      <w:r>
        <w:rPr>
          <w:rFonts w:ascii="Georgia" w:cs="Georgia" w:eastAsia="Georgia" w:hAnsi="Georgia"/>
          <w:b/>
          <w:bCs/>
          <w:color w:val="162131"/>
          <w:sz w:val="28"/>
          <w:szCs w:val="28"/>
        </w:rPr>
        <w:t xml:space="preserve">Family Unity Restored Through Election</w:t>
      </w:r>
    </w:p>
    <w:p>
      <w:pPr>
        <w:spacing w:after="180" w:before="0" w:line="348"/>
        <w:jc w:val="both"/>
      </w:pPr>
      <w:r>
        <w:rPr>
          <w:rFonts w:ascii="Georgia" w:cs="Georgia" w:eastAsia="Georgia" w:hAnsi="Georgia"/>
          <w:color w:val="1C1C1C"/>
          <w:sz w:val="24"/>
          <w:szCs w:val="24"/>
        </w:rPr>
        <w:t xml:space="preserve">One of the architecture's most important design principles is that family unity at the second generation is restored by a child's own choice rather than imposed by the grantor's plan. This section develops that principle, because it reconciles two things a family may value at once: the grantor's wish to provide for the surviving spouse and the children through separate, secure streams, and a child's wish to hold the family's wealth together across the generations that follow.</w:t>
      </w:r>
    </w:p>
    <w:p>
      <w:pPr>
        <w:pStyle w:val="Heading2"/>
        <w:keepNext/>
        <w:spacing w:after="100" w:before="260"/>
      </w:pPr>
      <w:r>
        <w:rPr>
          <w:rFonts w:ascii="Georgia" w:cs="Georgia" w:eastAsia="Georgia" w:hAnsi="Georgia"/>
          <w:b/>
          <w:bCs/>
          <w:color w:val="26384A"/>
          <w:sz w:val="23"/>
          <w:szCs w:val="23"/>
        </w:rPr>
        <w:t xml:space="preserve">14.1  </w:t>
      </w:r>
      <w:r>
        <w:rPr>
          <w:rFonts w:ascii="Georgia" w:cs="Georgia" w:eastAsia="Georgia" w:hAnsi="Georgia"/>
          <w:b/>
          <w:bCs/>
          <w:color w:val="26384A"/>
          <w:sz w:val="23"/>
          <w:szCs w:val="23"/>
        </w:rPr>
        <w:t xml:space="preserve">What the Phase One Distribution Does</w:t>
      </w:r>
    </w:p>
    <w:p>
      <w:pPr>
        <w:spacing w:after="180" w:before="0" w:line="348"/>
        <w:jc w:val="both"/>
      </w:pPr>
      <w:r>
        <w:rPr>
          <w:rFonts w:ascii="Georgia" w:cs="Georgia" w:eastAsia="Georgia" w:hAnsi="Georgia"/>
          <w:color w:val="1C1C1C"/>
          <w:sz w:val="24"/>
          <w:szCs w:val="24"/>
        </w:rPr>
        <w:t xml:space="preserve">At the grantor's death, the Phase One trust distributes in three separate streams: the life-estate sub-trust holding one designated property for the surviving spouse, and a separate continuing trust for each child. This separation is the right design for the grantor's intent. The grantor does not want the surviving spouse's security to depend on any child's generosity or cooperation; the spouse's life estate is fixed in a designated property and administered by a trustee, insulated from the children's decisions. And the grantor wants each child to receive an equal, independent share, held in a protected continuing trust the child controls, rather than a shared interest that could become a source of conflict. The Phase One distribution therefore divides the family's wealth deliberately, giving the surviving spouse a secure and independent interest and each child a secure and independent share.</w:t>
      </w:r>
    </w:p>
    <w:p>
      <w:pPr>
        <w:pStyle w:val="Heading2"/>
        <w:keepNext/>
        <w:spacing w:after="100" w:before="260"/>
      </w:pPr>
      <w:r>
        <w:rPr>
          <w:rFonts w:ascii="Georgia" w:cs="Georgia" w:eastAsia="Georgia" w:hAnsi="Georgia"/>
          <w:b/>
          <w:bCs/>
          <w:color w:val="26384A"/>
          <w:sz w:val="23"/>
          <w:szCs w:val="23"/>
        </w:rPr>
        <w:t xml:space="preserve">14.2  </w:t>
      </w:r>
      <w:r>
        <w:rPr>
          <w:rFonts w:ascii="Georgia" w:cs="Georgia" w:eastAsia="Georgia" w:hAnsi="Georgia"/>
          <w:b/>
          <w:bCs/>
          <w:color w:val="26384A"/>
          <w:sz w:val="23"/>
          <w:szCs w:val="23"/>
        </w:rPr>
        <w:t xml:space="preserve">What Phase Two Adds</w:t>
      </w:r>
    </w:p>
    <w:p>
      <w:pPr>
        <w:spacing w:after="180" w:before="0" w:line="348"/>
        <w:jc w:val="both"/>
      </w:pPr>
      <w:r>
        <w:rPr>
          <w:rFonts w:ascii="Georgia" w:cs="Georgia" w:eastAsia="Georgia" w:hAnsi="Georgia"/>
          <w:color w:val="1C1C1C"/>
          <w:sz w:val="24"/>
          <w:szCs w:val="24"/>
        </w:rPr>
        <w:t xml:space="preserve">Phase Two does something different. By welcoming the surviving spouse and a child's siblings and their descendants as discretionary beneficiaries of the child's dynasty trust, the migration can restore to a single pool the wealth that Phase One divided — but under the control of the child who elected the migration, and by that child's own choice. The distribution advisor of the dynasty trust, initially the child, holds fully discretionary authority, so whether any particular beneficiary ever receives a distribution is a matter for the advisor's judgment, informed by the family's circumstances at the time. The reunification is therefore real but discretionary: it makes the surviving spouse and the siblings eligible to benefit from the child's dynasty trust without entitling them to anything, and it places the decision in the hands of the child who chose to make them eligible.</w:t>
      </w:r>
    </w:p>
    <w:p>
      <w:pPr>
        <w:pStyle w:val="Heading2"/>
        <w:keepNext/>
        <w:spacing w:after="100" w:before="260"/>
      </w:pPr>
      <w:r>
        <w:rPr>
          <w:rFonts w:ascii="Georgia" w:cs="Georgia" w:eastAsia="Georgia" w:hAnsi="Georgia"/>
          <w:b/>
          <w:bCs/>
          <w:color w:val="26384A"/>
          <w:sz w:val="23"/>
          <w:szCs w:val="23"/>
        </w:rPr>
        <w:t xml:space="preserve">14.3  </w:t>
      </w:r>
      <w:r>
        <w:rPr>
          <w:rFonts w:ascii="Georgia" w:cs="Georgia" w:eastAsia="Georgia" w:hAnsi="Georgia"/>
          <w:b/>
          <w:bCs/>
          <w:color w:val="26384A"/>
          <w:sz w:val="23"/>
          <w:szCs w:val="23"/>
        </w:rPr>
        <w:t xml:space="preserve">Why This Matters</w:t>
      </w:r>
    </w:p>
    <w:p>
      <w:pPr>
        <w:spacing w:after="180" w:before="0" w:line="348"/>
        <w:jc w:val="both"/>
      </w:pPr>
      <w:r>
        <w:rPr>
          <w:rFonts w:ascii="Georgia" w:cs="Georgia" w:eastAsia="Georgia" w:hAnsi="Georgia"/>
          <w:color w:val="1C1C1C"/>
          <w:sz w:val="24"/>
          <w:szCs w:val="24"/>
        </w:rPr>
        <w:t xml:space="preserve">The two-phase design's philosophical virtue is that it honors both the grantor's intent and a child's values. The grantor's intent — separate, secure streams at death — is fully realized in Phase One, and nothing in Phase Two disturbs it: the surviving spouse's life estate is carved out from the migration authority, and each child's continuing trust is independent. A child's values — holding the family's wealth together across generations — are realized in Phase Two, by the child's own election, without compulsion and without altering what the grantor fixed. Family unity, when it is expressed through legal architecture, is strongest when it is chosen rather than imposed, and the architecture is designed so that the choice belongs to the generation that will live with its consequences. A child who values unity may create it; a child who prefers independence may keep it; and neither choice is forced by the plan.</w:t>
      </w:r>
    </w:p>
    <w:p>
      <w:pPr>
        <w:pStyle w:val="Heading1"/>
        <w:keepNext/>
        <w:pageBreakBefore/>
        <w:pBdr>
          <w:bottom w:val="single" w:color="B7C1CD" w:sz="10" w:space="3"/>
        </w:pBdr>
        <w:spacing w:after="140" w:before="360"/>
      </w:pPr>
      <w:r>
        <w:rPr>
          <w:rFonts w:ascii="Georgia" w:cs="Georgia" w:eastAsia="Georgia" w:hAnsi="Georgia"/>
          <w:b/>
          <w:bCs/>
          <w:color w:val="162131"/>
          <w:sz w:val="28"/>
          <w:szCs w:val="28"/>
        </w:rPr>
        <w:t xml:space="preserve">15.  </w:t>
      </w:r>
      <w:r>
        <w:rPr>
          <w:rFonts w:ascii="Georgia" w:cs="Georgia" w:eastAsia="Georgia" w:hAnsi="Georgia"/>
          <w:b/>
          <w:bCs/>
          <w:color w:val="162131"/>
          <w:sz w:val="28"/>
          <w:szCs w:val="28"/>
        </w:rPr>
        <w:t xml:space="preserve">The Sibling's Independent Path</w:t>
      </w:r>
    </w:p>
    <w:p>
      <w:pPr>
        <w:spacing w:after="180" w:before="0" w:line="348"/>
        <w:jc w:val="both"/>
      </w:pPr>
      <w:r>
        <w:rPr>
          <w:rFonts w:ascii="Georgia" w:cs="Georgia" w:eastAsia="Georgia" w:hAnsi="Georgia"/>
          <w:color w:val="1C1C1C"/>
          <w:sz w:val="24"/>
          <w:szCs w:val="24"/>
        </w:rPr>
        <w:t xml:space="preserve">A child who does not elect the migration has options of the child's own, and this section describes them, because the architecture allows unity without requiring it and the independence of each child's decision is a feature of the design.</w:t>
      </w:r>
    </w:p>
    <w:p>
      <w:pPr>
        <w:pStyle w:val="Heading2"/>
        <w:keepNext/>
        <w:spacing w:after="100" w:before="260"/>
      </w:pPr>
      <w:r>
        <w:rPr>
          <w:rFonts w:ascii="Georgia" w:cs="Georgia" w:eastAsia="Georgia" w:hAnsi="Georgia"/>
          <w:b/>
          <w:bCs/>
          <w:color w:val="26384A"/>
          <w:sz w:val="23"/>
          <w:szCs w:val="23"/>
        </w:rPr>
        <w:t xml:space="preserve">15.1  </w:t>
      </w:r>
      <w:r>
        <w:rPr>
          <w:rFonts w:ascii="Georgia" w:cs="Georgia" w:eastAsia="Georgia" w:hAnsi="Georgia"/>
          <w:b/>
          <w:bCs/>
          <w:color w:val="26384A"/>
          <w:sz w:val="23"/>
          <w:szCs w:val="23"/>
        </w:rPr>
        <w:t xml:space="preserve">Three Options for a Sibling</w:t>
      </w:r>
    </w:p>
    <w:p>
      <w:pPr>
        <w:spacing w:after="180" w:before="0" w:line="348"/>
        <w:jc w:val="both"/>
      </w:pPr>
      <w:r>
        <w:rPr>
          <w:rFonts w:ascii="Georgia" w:cs="Georgia" w:eastAsia="Georgia" w:hAnsi="Georgia"/>
          <w:color w:val="1C1C1C"/>
          <w:sz w:val="24"/>
          <w:szCs w:val="24"/>
        </w:rPr>
        <w:t xml:space="preserve">A sibling who has received a continuing trust at the grantor's death has three broad options, each legitimate on its own terms. The first is to decant the sibling's own continuing trust into the dynasty trust that the migrating child has created, joining the family's wealth in a single perpetual structure; this requires coordination between the siblings but produces the fullest consolidation. The second is to create the sibling's own separate dynasty trust in the specialized jurisdiction, mirroring the migrating child's architecture but keeping the sibling's branch of the family independent, so that the sibling obtains the advantages of the dynasty jurisdiction without combining with the migrating child's trust. The third is to leave the sibling's continuing trust in the home state indefinitely; the home-state continuing trust is fully functional as a third-party spendthrift trust, and a sibling who prefers the home state, or who does not wish to undertake a migration, loses nothing essential by remaining, though the sibling forgoes the dynasty jurisdiction's income-tax and perpetuity advantages.</w:t>
      </w:r>
    </w:p>
    <w:p>
      <w:pPr>
        <w:pStyle w:val="Heading2"/>
        <w:keepNext/>
        <w:spacing w:after="100" w:before="260"/>
      </w:pPr>
      <w:r>
        <w:rPr>
          <w:rFonts w:ascii="Georgia" w:cs="Georgia" w:eastAsia="Georgia" w:hAnsi="Georgia"/>
          <w:b/>
          <w:bCs/>
          <w:color w:val="26384A"/>
          <w:sz w:val="23"/>
          <w:szCs w:val="23"/>
        </w:rPr>
        <w:t xml:space="preserve">15.2  </w:t>
      </w:r>
      <w:r>
        <w:rPr>
          <w:rFonts w:ascii="Georgia" w:cs="Georgia" w:eastAsia="Georgia" w:hAnsi="Georgia"/>
          <w:b/>
          <w:bCs/>
          <w:color w:val="26384A"/>
          <w:sz w:val="23"/>
          <w:szCs w:val="23"/>
        </w:rPr>
        <w:t xml:space="preserve">The Independence of the Decisions</w:t>
      </w:r>
    </w:p>
    <w:p>
      <w:pPr>
        <w:spacing w:after="180" w:before="0" w:line="348"/>
        <w:jc w:val="both"/>
      </w:pPr>
      <w:r>
        <w:rPr>
          <w:rFonts w:ascii="Georgia" w:cs="Georgia" w:eastAsia="Georgia" w:hAnsi="Georgia"/>
          <w:color w:val="1C1C1C"/>
          <w:sz w:val="24"/>
          <w:szCs w:val="24"/>
        </w:rPr>
        <w:t xml:space="preserve">Whichever option a sibling chooses does not affect the migrating child's execution of Phase Two, and whichever option the migrating child chooses does not affect the sibling's options. The decisions are independent, and neither child's choice constrains the other's. A sibling's decision should not be rushed or pressured: if the migrating child decants soon after the grantor's death and the sibling needs more time to decide, the sibling may take that time, and the sibling's continuing trust remains fully protected in the home state in the interim. The architecture accommodates different choices by different children and different timelines for those choices, so that each child may act when and as the child judges best.</w:t>
      </w:r>
    </w:p>
    <w:p>
      <w:pPr>
        <w:pStyle w:val="Heading2"/>
        <w:keepNext/>
        <w:spacing w:after="100" w:before="260"/>
      </w:pPr>
      <w:r>
        <w:rPr>
          <w:rFonts w:ascii="Georgia" w:cs="Georgia" w:eastAsia="Georgia" w:hAnsi="Georgia"/>
          <w:b/>
          <w:bCs/>
          <w:color w:val="26384A"/>
          <w:sz w:val="23"/>
          <w:szCs w:val="23"/>
        </w:rPr>
        <w:t xml:space="preserve">15.3  </w:t>
      </w:r>
      <w:r>
        <w:rPr>
          <w:rFonts w:ascii="Georgia" w:cs="Georgia" w:eastAsia="Georgia" w:hAnsi="Georgia"/>
          <w:b/>
          <w:bCs/>
          <w:color w:val="26384A"/>
          <w:sz w:val="23"/>
          <w:szCs w:val="23"/>
        </w:rPr>
        <w:t xml:space="preserve">Unity Through Voluntary Choice</w:t>
      </w:r>
    </w:p>
    <w:p>
      <w:pPr>
        <w:spacing w:after="180" w:before="0" w:line="348"/>
        <w:jc w:val="both"/>
      </w:pPr>
      <w:r>
        <w:rPr>
          <w:rFonts w:ascii="Georgia" w:cs="Georgia" w:eastAsia="Georgia" w:hAnsi="Georgia"/>
          <w:color w:val="1C1C1C"/>
          <w:sz w:val="24"/>
          <w:szCs w:val="24"/>
        </w:rPr>
        <w:t xml:space="preserve">The architecture does not force the children into a single structure; it permits unity without requiring it. If the children choose to combine in a single dynasty trust, the architecture enables that combination; if they choose to remain separate, the architecture accommodates that separation; and if one migrates while the other remains, the architecture supports that mixed outcome as well. This is the same principle that animates the family-unity design of the receiving trust: unity is strongest when it is chosen, and the architecture is built to make unity available to children who want it without imposing it on children who do not. The result is a plan flexible enough to serve a range of family circumstances and values, resolved by the children themselves rather than fixed in advance by the grantor.</w:t>
      </w:r>
    </w:p>
    <w:p>
      <w:pPr>
        <w:pageBreakBefore/>
        <w:spacing w:after="120" w:before="2400"/>
        <w:jc w:val="center"/>
      </w:pPr>
      <w:r>
        <w:rPr>
          <w:rFonts w:ascii="Georgia" w:cs="Georgia" w:eastAsia="Georgia" w:hAnsi="Georgia"/>
          <w:b/>
          <w:bCs/>
          <w:color w:val="9A7B4F"/>
          <w:sz w:val="28"/>
          <w:szCs w:val="28"/>
        </w:rPr>
        <w:t xml:space="preserve">PART IV</w:t>
      </w:r>
    </w:p>
    <w:p>
      <w:pPr>
        <w:pBdr>
          <w:top w:val="single" w:color="B7C1CD" w:sz="8" w:space="6"/>
          <w:bottom w:val="single" w:color="B7C1CD" w:sz="8" w:space="6"/>
        </w:pBdr>
        <w:spacing w:after="200"/>
        <w:jc w:val="center"/>
      </w:pPr>
      <w:r>
        <w:rPr>
          <w:rFonts w:ascii="Georgia" w:cs="Georgia" w:eastAsia="Georgia" w:hAnsi="Georgia"/>
          <w:b/>
          <w:bCs/>
          <w:color w:val="162131"/>
          <w:sz w:val="34"/>
          <w:szCs w:val="34"/>
        </w:rPr>
        <w:t xml:space="preserve">Execution, Costs, and Diligence</w:t>
      </w:r>
    </w:p>
    <w:p>
      <w:pPr>
        <w:spacing w:after="180" w:before="200" w:line="348"/>
        <w:jc w:val="both"/>
      </w:pPr>
      <w:r>
        <w:rPr>
          <w:rFonts w:ascii="Georgia" w:cs="Georgia" w:eastAsia="Georgia" w:hAnsi="Georgia"/>
          <w:color w:val="1C1C1C"/>
          <w:sz w:val="24"/>
          <w:szCs w:val="24"/>
        </w:rPr>
        <w:t xml:space="preserve">This part addresses the practical execution of the architecture: the coordination required between the home-state and dynasty-jurisdiction counsel, the implementation timeline, the costs of setup and ongoing operation, the professional team, the principal risks and their mitigations, and the diligence questions a family should raise with its own advisors. It closes with a brief conclusion.</w:t>
      </w:r>
    </w:p>
    <w:p>
      <w:pPr>
        <w:pStyle w:val="Heading1"/>
        <w:keepNext/>
        <w:pageBreakBefore/>
        <w:pBdr>
          <w:bottom w:val="single" w:color="B7C1CD" w:sz="10" w:space="3"/>
        </w:pBdr>
        <w:spacing w:after="140" w:before="360"/>
      </w:pPr>
      <w:r>
        <w:rPr>
          <w:rFonts w:ascii="Georgia" w:cs="Georgia" w:eastAsia="Georgia" w:hAnsi="Georgia"/>
          <w:b/>
          <w:bCs/>
          <w:color w:val="162131"/>
          <w:sz w:val="28"/>
          <w:szCs w:val="28"/>
        </w:rPr>
        <w:t xml:space="preserve">16.  </w:t>
      </w:r>
      <w:r>
        <w:rPr>
          <w:rFonts w:ascii="Georgia" w:cs="Georgia" w:eastAsia="Georgia" w:hAnsi="Georgia"/>
          <w:b/>
          <w:bCs/>
          <w:color w:val="162131"/>
          <w:sz w:val="28"/>
          <w:szCs w:val="28"/>
        </w:rPr>
        <w:t xml:space="preserve">Coordination Requirements Between Counsel</w:t>
      </w:r>
    </w:p>
    <w:p>
      <w:pPr>
        <w:spacing w:after="180" w:before="0" w:line="348"/>
        <w:jc w:val="both"/>
      </w:pPr>
      <w:r>
        <w:rPr>
          <w:rFonts w:ascii="Georgia" w:cs="Georgia" w:eastAsia="Georgia" w:hAnsi="Georgia"/>
          <w:color w:val="1C1C1C"/>
          <w:sz w:val="24"/>
          <w:szCs w:val="24"/>
        </w:rPr>
        <w:t xml:space="preserve">The two phases are drafted years apart and, in Phase Two, by counsel in a different state, so the coordination between them must be built into the Phase One engagement. This section summarizes what the home-state counsel who drafts Phase One should be asked to provide so that the later Phase Two migration executes cleanly.</w:t>
      </w:r>
    </w:p>
    <w:p>
      <w:pPr>
        <w:pStyle w:val="Heading2"/>
        <w:keepNext/>
        <w:spacing w:after="100" w:before="260"/>
      </w:pPr>
      <w:r>
        <w:rPr>
          <w:rFonts w:ascii="Georgia" w:cs="Georgia" w:eastAsia="Georgia" w:hAnsi="Georgia"/>
          <w:b/>
          <w:bCs/>
          <w:color w:val="26384A"/>
          <w:sz w:val="23"/>
          <w:szCs w:val="23"/>
        </w:rPr>
        <w:t xml:space="preserve">16.1  </w:t>
      </w:r>
      <w:r>
        <w:rPr>
          <w:rFonts w:ascii="Georgia" w:cs="Georgia" w:eastAsia="Georgia" w:hAnsi="Georgia"/>
          <w:b/>
          <w:bCs/>
          <w:color w:val="26384A"/>
          <w:sz w:val="23"/>
          <w:szCs w:val="23"/>
        </w:rPr>
        <w:t xml:space="preserve">Drafting Deliverables</w:t>
      </w:r>
    </w:p>
    <w:p>
      <w:pPr>
        <w:spacing w:after="180" w:before="0" w:line="348"/>
        <w:jc w:val="both"/>
      </w:pPr>
      <w:r>
        <w:rPr>
          <w:rFonts w:ascii="Georgia" w:cs="Georgia" w:eastAsia="Georgia" w:hAnsi="Georgia"/>
          <w:color w:val="1C1C1C"/>
          <w:sz w:val="24"/>
          <w:szCs w:val="24"/>
        </w:rPr>
        <w:t xml:space="preserve">The Phase One trust documents, when drafted, should contain the provisions Part III described: explicit decanting authorization in each child's continuing trust; trust-protector powers including the power to change governing law and situs; directed-trustee provisions separating the trustee, investment-advisor, and distribution-advisor roles; a beneficiary class in each continuing trust expansive enough to include the persons who may become beneficiaries of the eventual dynasty trust; and the carve-out excluding the surviving spouse's sub-trust from the migration authority. These provisions are the bridge between the phases, and their inclusion at the Phase One drafting stage is the single most important coordination step, because they cannot easily be added later and are essential to the migration.</w:t>
      </w:r>
    </w:p>
    <w:p>
      <w:pPr>
        <w:pStyle w:val="Heading2"/>
        <w:keepNext/>
        <w:spacing w:after="100" w:before="260"/>
      </w:pPr>
      <w:r>
        <w:rPr>
          <w:rFonts w:ascii="Georgia" w:cs="Georgia" w:eastAsia="Georgia" w:hAnsi="Georgia"/>
          <w:b/>
          <w:bCs/>
          <w:color w:val="26384A"/>
          <w:sz w:val="23"/>
          <w:szCs w:val="23"/>
        </w:rPr>
        <w:t xml:space="preserve">16.2  </w:t>
      </w:r>
      <w:r>
        <w:rPr>
          <w:rFonts w:ascii="Georgia" w:cs="Georgia" w:eastAsia="Georgia" w:hAnsi="Georgia"/>
          <w:b/>
          <w:bCs/>
          <w:color w:val="26384A"/>
          <w:sz w:val="23"/>
          <w:szCs w:val="23"/>
        </w:rPr>
        <w:t xml:space="preserve">Sample Migration Documentation</w:t>
      </w:r>
    </w:p>
    <w:p>
      <w:pPr>
        <w:spacing w:after="180" w:before="0" w:line="348"/>
        <w:jc w:val="both"/>
      </w:pPr>
      <w:r>
        <w:rPr>
          <w:rFonts w:ascii="Georgia" w:cs="Georgia" w:eastAsia="Georgia" w:hAnsi="Georgia"/>
          <w:color w:val="1C1C1C"/>
          <w:sz w:val="24"/>
          <w:szCs w:val="24"/>
        </w:rPr>
        <w:t xml:space="preserve">It is valuable to ask the home-state counsel to provide, as part of the Phase One engagement, sample decanting notice and documentation precedents — a template for the statutory notice, a form of decanting instrument, and a checklist of the steps the migration requires — so that when the next generation is ready to undertake Phase Two, it has in hand the home-state-side documentation the process requires. Providing these materials at the Phase One stage, while the drafting counsel is engaged and the structure is fresh, is far more efficient than reconstructing them years later, and it gives the next generation a clear map of the home-state side of the transition.</w:t>
      </w:r>
    </w:p>
    <w:p>
      <w:pPr>
        <w:pStyle w:val="Heading2"/>
        <w:keepNext/>
        <w:spacing w:after="100" w:before="260"/>
      </w:pPr>
      <w:r>
        <w:rPr>
          <w:rFonts w:ascii="Georgia" w:cs="Georgia" w:eastAsia="Georgia" w:hAnsi="Georgia"/>
          <w:b/>
          <w:bCs/>
          <w:color w:val="26384A"/>
          <w:sz w:val="23"/>
          <w:szCs w:val="23"/>
        </w:rPr>
        <w:t xml:space="preserve">16.3  </w:t>
      </w:r>
      <w:r>
        <w:rPr>
          <w:rFonts w:ascii="Georgia" w:cs="Georgia" w:eastAsia="Georgia" w:hAnsi="Georgia"/>
          <w:b/>
          <w:bCs/>
          <w:color w:val="26384A"/>
          <w:sz w:val="23"/>
          <w:szCs w:val="23"/>
        </w:rPr>
        <w:t xml:space="preserve">Coordination With Future Dynasty-Jurisdiction Counsel</w:t>
      </w:r>
    </w:p>
    <w:p>
      <w:pPr>
        <w:spacing w:after="180" w:before="0" w:line="348"/>
        <w:jc w:val="both"/>
      </w:pPr>
      <w:r>
        <w:rPr>
          <w:rFonts w:ascii="Georgia" w:cs="Georgia" w:eastAsia="Georgia" w:hAnsi="Georgia"/>
          <w:color w:val="1C1C1C"/>
          <w:sz w:val="24"/>
          <w:szCs w:val="24"/>
        </w:rPr>
        <w:t xml:space="preserve">At the time of the migration, counsel in the dynasty jurisdiction will draft the receiving trust and handle that jurisdiction's side of the transition, and a relationship between the home-state counsel and counsel in the dynasty jurisdiction smooths the handoff. It is useful to ask, at the Phase One stage, whether the home-state counsel has established relationships with counsel in the dynasty jurisdiction to whom the next generation can be referred, so that when Phase Two is undertaken the two sides of the transition are handled by counsel accustomed to working together. The coordination is not required — the next generation may engage dynasty-jurisdiction counsel independently — but an established relationship reduces the friction of the handoff and the risk that the two sides of the migration proceed on inconsistent assumptions.</w:t>
      </w:r>
    </w:p>
    <w:p>
      <w:pPr>
        <w:pStyle w:val="Heading1"/>
        <w:keepNext/>
        <w:pageBreakBefore/>
        <w:pBdr>
          <w:bottom w:val="single" w:color="B7C1CD" w:sz="10" w:space="3"/>
        </w:pBdr>
        <w:spacing w:after="140" w:before="360"/>
      </w:pPr>
      <w:r>
        <w:rPr>
          <w:rFonts w:ascii="Georgia" w:cs="Georgia" w:eastAsia="Georgia" w:hAnsi="Georgia"/>
          <w:b/>
          <w:bCs/>
          <w:color w:val="162131"/>
          <w:sz w:val="28"/>
          <w:szCs w:val="28"/>
        </w:rPr>
        <w:t xml:space="preserve">17.  </w:t>
      </w:r>
      <w:r>
        <w:rPr>
          <w:rFonts w:ascii="Georgia" w:cs="Georgia" w:eastAsia="Georgia" w:hAnsi="Georgia"/>
          <w:b/>
          <w:bCs/>
          <w:color w:val="162131"/>
          <w:sz w:val="28"/>
          <w:szCs w:val="28"/>
        </w:rPr>
        <w:t xml:space="preserve">Implementation Timeline</w:t>
      </w:r>
    </w:p>
    <w:p>
      <w:pPr>
        <w:spacing w:after="180" w:before="0" w:line="348"/>
        <w:jc w:val="both"/>
      </w:pPr>
      <w:r>
        <w:rPr>
          <w:rFonts w:ascii="Georgia" w:cs="Georgia" w:eastAsia="Georgia" w:hAnsi="Georgia"/>
          <w:color w:val="1C1C1C"/>
          <w:sz w:val="24"/>
          <w:szCs w:val="24"/>
        </w:rPr>
        <w:t xml:space="preserve">This section describes the sequence of implementation, first for the establishment of Phase One and then for the eventual execution of Phase Two, with the dependencies that connect the steps.</w:t>
      </w:r>
    </w:p>
    <w:p>
      <w:pPr>
        <w:pStyle w:val="Heading2"/>
        <w:keepNext/>
        <w:spacing w:after="100" w:before="260"/>
      </w:pPr>
      <w:r>
        <w:rPr>
          <w:rFonts w:ascii="Georgia" w:cs="Georgia" w:eastAsia="Georgia" w:hAnsi="Georgia"/>
          <w:b/>
          <w:bCs/>
          <w:color w:val="26384A"/>
          <w:sz w:val="23"/>
          <w:szCs w:val="23"/>
        </w:rPr>
        <w:t xml:space="preserve">17.1  </w:t>
      </w:r>
      <w:r>
        <w:rPr>
          <w:rFonts w:ascii="Georgia" w:cs="Georgia" w:eastAsia="Georgia" w:hAnsi="Georgia"/>
          <w:b/>
          <w:bCs/>
          <w:color w:val="26384A"/>
          <w:sz w:val="23"/>
          <w:szCs w:val="23"/>
        </w:rPr>
        <w:t xml:space="preserve">Establishing Phase One</w:t>
      </w:r>
    </w:p>
    <w:p>
      <w:pPr>
        <w:spacing w:after="180" w:before="0" w:line="348"/>
        <w:jc w:val="both"/>
      </w:pPr>
      <w:r>
        <w:rPr>
          <w:rFonts w:ascii="Georgia" w:cs="Georgia" w:eastAsia="Georgia" w:hAnsi="Georgia"/>
          <w:color w:val="1C1C1C"/>
          <w:sz w:val="24"/>
          <w:szCs w:val="24"/>
        </w:rPr>
        <w:t xml:space="preserve">The establishment of Phase One proceeds in stages over several months. It begins with the engagement of home-state counsel: the engagement letter, the definition of scope, the initial fee conversation, and the gathering of the information counsel needs. Counsel then drafts the trust, together with the revocable living trust for the assets that will not go into the asset-protection trust, the pour-over wills, and the financial and health-care powers of attorney, and forms the holding company and the property companies. The documents are then executed with appropriate formality, typically in counsel's office with witnesses and a notary, and the trust is initially funded. Over the following months the funding is completed: the deeds transferring the rental properties into the property companies are executed and recorded in the counties where the properties are located, the holding company is contributed to the trust, the brokerage accounts are re-registered, and the beneficiary designations are updated. Compliance steps — including any beneficial-ownership reporting for the companies, to the extent it is required at the time — follow, and the structure then settles into ongoing operation.</w:t>
      </w:r>
    </w:p>
    <w:p>
      <w:pPr>
        <w:spacing w:after="180" w:before="0" w:line="348"/>
        <w:jc w:val="both"/>
      </w:pPr>
      <w:r>
        <w:rPr>
          <w:rFonts w:ascii="Georgia" w:cs="Georgia" w:eastAsia="Georgia" w:hAnsi="Georgia"/>
          <w:color w:val="1C1C1C"/>
          <w:sz w:val="24"/>
          <w:szCs w:val="24"/>
        </w:rPr>
        <w:t xml:space="preserve">Once established and funded, Phase One operates with a relatively low ongoing burden. The qualified trustee handles the formal administration; the accountant prepares the annual returns; the family manages the rental enterprise through the holding company under the grantor's retained investment direction; and the structure requires only periodic review to confirm that it continues to serve the family's circumstances and to respond to any changes in the law. At the grantor's death, a defined sequence executes: the estate is administered and the estate-tax return filed to establish the stepped-up values, the trust distributes into the life-estate sub-trust and the children's continuing trusts, and each child takes control of the child's continuing trust as co-trustee with the independent co-trustee. Phase One is complete at that point, and the option of Phase Two opens to each child.</w:t>
      </w:r>
    </w:p>
    <w:p>
      <w:pPr>
        <w:pStyle w:val="Heading2"/>
        <w:keepNext/>
        <w:spacing w:after="100" w:before="260"/>
      </w:pPr>
      <w:r>
        <w:rPr>
          <w:rFonts w:ascii="Georgia" w:cs="Georgia" w:eastAsia="Georgia" w:hAnsi="Georgia"/>
          <w:b/>
          <w:bCs/>
          <w:color w:val="26384A"/>
          <w:sz w:val="23"/>
          <w:szCs w:val="23"/>
        </w:rPr>
        <w:t xml:space="preserve">17.2  </w:t>
      </w:r>
      <w:r>
        <w:rPr>
          <w:rFonts w:ascii="Georgia" w:cs="Georgia" w:eastAsia="Georgia" w:hAnsi="Georgia"/>
          <w:b/>
          <w:bCs/>
          <w:color w:val="26384A"/>
          <w:sz w:val="23"/>
          <w:szCs w:val="23"/>
        </w:rPr>
        <w:t xml:space="preserve">Executing Phase Two</w:t>
      </w:r>
    </w:p>
    <w:p>
      <w:pPr>
        <w:spacing w:after="180" w:before="0" w:line="348"/>
        <w:jc w:val="both"/>
      </w:pPr>
      <w:r>
        <w:rPr>
          <w:rFonts w:ascii="Georgia" w:cs="Georgia" w:eastAsia="Georgia" w:hAnsi="Georgia"/>
          <w:color w:val="1C1C1C"/>
          <w:sz w:val="24"/>
          <w:szCs w:val="24"/>
        </w:rPr>
        <w:t xml:space="preserve">When a child elects to undertake Phase Two, the execution proceeds over a period of months from the decision to the completion of the transfer. The child engages counsel and a corporate trustee in the dynasty jurisdiction; counsel drafts the receiving trust; the trustee of the child's continuing trust provides the statutory notice and the notice period runs; and, at the end of the notice period, the assets are transferred to the receiving trust and the original continuing trust is terminated. The timeline from decision to completion is measured in months rather than weeks, driven principally by the drafting of the receiving trust and the running of the notice period, and the process is routine for experienced counsel and trustees in the dynasty jurisdiction. Because the option is elective and future-dated, its timing is the child's to choose, and the execution begins only when the child decides to proceed.</w:t>
      </w:r>
    </w:p>
    <w:p>
      <w:pPr>
        <w:pStyle w:val="Heading1"/>
        <w:keepNext/>
        <w:pageBreakBefore/>
        <w:pBdr>
          <w:bottom w:val="single" w:color="B7C1CD" w:sz="10" w:space="3"/>
        </w:pBdr>
        <w:spacing w:after="140" w:before="360"/>
      </w:pPr>
      <w:r>
        <w:rPr>
          <w:rFonts w:ascii="Georgia" w:cs="Georgia" w:eastAsia="Georgia" w:hAnsi="Georgia"/>
          <w:b/>
          <w:bCs/>
          <w:color w:val="162131"/>
          <w:sz w:val="28"/>
          <w:szCs w:val="28"/>
        </w:rPr>
        <w:t xml:space="preserve">18.  </w:t>
      </w:r>
      <w:r>
        <w:rPr>
          <w:rFonts w:ascii="Georgia" w:cs="Georgia" w:eastAsia="Georgia" w:hAnsi="Georgia"/>
          <w:b/>
          <w:bCs/>
          <w:color w:val="162131"/>
          <w:sz w:val="28"/>
          <w:szCs w:val="28"/>
        </w:rPr>
        <w:t xml:space="preserve">Costs — Setup and Ongoing</w:t>
      </w:r>
    </w:p>
    <w:p>
      <w:pPr>
        <w:spacing w:after="180" w:before="0" w:line="348"/>
        <w:jc w:val="both"/>
      </w:pPr>
      <w:r>
        <w:rPr>
          <w:rFonts w:ascii="Georgia" w:cs="Georgia" w:eastAsia="Georgia" w:hAnsi="Georgia"/>
          <w:color w:val="1C1C1C"/>
          <w:sz w:val="24"/>
          <w:szCs w:val="24"/>
        </w:rPr>
        <w:t xml:space="preserve">This section provides realistic ranges for the costs of setup and ongoing operation, for both phases. The figures are illustrative ranges for a structure of the assumed complexity, not quotations, and actual costs depend on the particular professionals engaged and the particular facts.</w:t>
      </w:r>
    </w:p>
    <w:p>
      <w:pPr>
        <w:pStyle w:val="Heading2"/>
        <w:keepNext/>
        <w:spacing w:after="100" w:before="260"/>
      </w:pPr>
      <w:r>
        <w:rPr>
          <w:rFonts w:ascii="Georgia" w:cs="Georgia" w:eastAsia="Georgia" w:hAnsi="Georgia"/>
          <w:b/>
          <w:bCs/>
          <w:color w:val="26384A"/>
          <w:sz w:val="23"/>
          <w:szCs w:val="23"/>
        </w:rPr>
        <w:t xml:space="preserve">18.1  </w:t>
      </w:r>
      <w:r>
        <w:rPr>
          <w:rFonts w:ascii="Georgia" w:cs="Georgia" w:eastAsia="Georgia" w:hAnsi="Georgia"/>
          <w:b/>
          <w:bCs/>
          <w:color w:val="26384A"/>
          <w:sz w:val="23"/>
          <w:szCs w:val="23"/>
        </w:rPr>
        <w:t xml:space="preserve">Phase One Setup and Ongoing Costs</w:t>
      </w:r>
    </w:p>
    <w:p>
      <w:pPr>
        <w:spacing w:after="180" w:before="0" w:line="348"/>
        <w:jc w:val="both"/>
      </w:pPr>
      <w:r>
        <w:rPr>
          <w:rFonts w:ascii="Georgia" w:cs="Georgia" w:eastAsia="Georgia" w:hAnsi="Georgia"/>
          <w:color w:val="1C1C1C"/>
          <w:sz w:val="24"/>
          <w:szCs w:val="24"/>
        </w:rPr>
        <w:t xml:space="preserve">Legal drafting fees for a structure of this complexity — the asset-protection trust, the revocable living trust, the pour-over wills, the powers of attorney, and the formation of the holding company and property companies — commonly fall in a range from roughly eighteen thousand to thirty-five thousand dollars, depending on the complexity of the retained-powers provisions and the sub-trust and continuing-trust drafting. Accounting setup, including entity-formation advice, tax-identification-number applications, and the first year of coordination, commonly runs several thousand to ten thousand dollars. State filing fees for the companies are modest, and property transfers involve recording fees and, in a state that exempts transfers to controlled entities, little or no transfer tax. Ongoing annual costs include the qualified trustee's fee — which for a corporate trustee commonly runs from a few thousand to several thousand dollars, or a percentage of assets — together with annual accounting fees and the modest annual franchise fees for the companies. The setup cost is a one-time investment, and the ongoing costs are the price of maintaining a protected, tax-efficient, probate-avoiding structure.</w:t>
      </w:r>
    </w:p>
    <w:p>
      <w:pPr>
        <w:pStyle w:val="Heading2"/>
        <w:keepNext/>
        <w:spacing w:after="100" w:before="260"/>
      </w:pPr>
      <w:r>
        <w:rPr>
          <w:rFonts w:ascii="Georgia" w:cs="Georgia" w:eastAsia="Georgia" w:hAnsi="Georgia"/>
          <w:b/>
          <w:bCs/>
          <w:color w:val="26384A"/>
          <w:sz w:val="23"/>
          <w:szCs w:val="23"/>
        </w:rPr>
        <w:t xml:space="preserve">18.2  </w:t>
      </w:r>
      <w:r>
        <w:rPr>
          <w:rFonts w:ascii="Georgia" w:cs="Georgia" w:eastAsia="Georgia" w:hAnsi="Georgia"/>
          <w:b/>
          <w:bCs/>
          <w:color w:val="26384A"/>
          <w:sz w:val="23"/>
          <w:szCs w:val="23"/>
        </w:rPr>
        <w:t xml:space="preserve">Phase Two Execution and Ongoing Costs</w:t>
      </w:r>
    </w:p>
    <w:p>
      <w:pPr>
        <w:spacing w:after="180" w:before="0" w:line="348"/>
        <w:jc w:val="both"/>
      </w:pPr>
      <w:r>
        <w:rPr>
          <w:rFonts w:ascii="Georgia" w:cs="Georgia" w:eastAsia="Georgia" w:hAnsi="Georgia"/>
          <w:color w:val="1C1C1C"/>
          <w:sz w:val="24"/>
          <w:szCs w:val="24"/>
        </w:rPr>
        <w:t xml:space="preserve">The execution of Phase Two carries its own costs. Counsel in the dynasty jurisdiction, for drafting the receiving trust and coordinating the transition, commonly runs from roughly twelve thousand to twenty-five thousand dollars as a one-time cost. The corporate trustee in the dynasty jurisdiction typically charges a onboarding fee of several thousand dollars for acceptance, account opening, and the required customer-identification procedures. The home-state side of the transition — the handling of the notice, the trustee's termination procedures, and the accountant's final returns for the terminated trust — adds a further amount. A reasonable range for the total one-time cost of executing Phase Two is therefore from roughly eighteen thousand to thirty-eight thousand dollars. Ongoing costs after the migration consist principally of the dynasty-jurisdiction trustee's fees, which are offset in part by the elimination of the home state's income tax on the trust's income other than income sourced to the home state.</w:t>
      </w:r>
    </w:p>
    <w:p>
      <w:pPr>
        <w:pStyle w:val="Heading2"/>
        <w:keepNext/>
        <w:spacing w:after="100" w:before="260"/>
      </w:pPr>
      <w:r>
        <w:rPr>
          <w:rFonts w:ascii="Georgia" w:cs="Georgia" w:eastAsia="Georgia" w:hAnsi="Georgia"/>
          <w:b/>
          <w:bCs/>
          <w:color w:val="26384A"/>
          <w:sz w:val="23"/>
          <w:szCs w:val="23"/>
        </w:rPr>
        <w:t xml:space="preserve">18.3  </w:t>
      </w:r>
      <w:r>
        <w:rPr>
          <w:rFonts w:ascii="Georgia" w:cs="Georgia" w:eastAsia="Georgia" w:hAnsi="Georgia"/>
          <w:b/>
          <w:bCs/>
          <w:color w:val="26384A"/>
          <w:sz w:val="23"/>
          <w:szCs w:val="23"/>
        </w:rPr>
        <w:t xml:space="preserve">The Return on the Investment</w:t>
      </w:r>
    </w:p>
    <w:p>
      <w:pPr>
        <w:spacing w:after="180" w:before="0" w:line="348"/>
        <w:jc w:val="both"/>
      </w:pPr>
      <w:r>
        <w:rPr>
          <w:rFonts w:ascii="Georgia" w:cs="Georgia" w:eastAsia="Georgia" w:hAnsi="Georgia"/>
          <w:color w:val="1C1C1C"/>
          <w:sz w:val="24"/>
          <w:szCs w:val="24"/>
        </w:rPr>
        <w:t xml:space="preserve">The costs are justified against the structural benefits. For the rental portfolio alone, the basis step-up at the grantor's death may eliminate a very substantial amount of capital-gains tax and depreciation recapture that the next generation would otherwise pay on a sale — an amount that, for an appreciated portfolio, can reach well into the six figures or beyond, and that alone can exceed the entire setup cost of the structure many times over. Beyond the step-up, the plan delivers asset protection, the grantor-trust income-tax burn that transfers value into the trust year after year, the income-tax savings of the qualified business income deduction and cost segregation, the probate avoidance that the trust structure provides, and — through Phase Two — the elimination of state income tax on the migrated trust and the perpetual, transfer-tax-efficient transmission of wealth across generations. The structure is not inexpensive, but its benefits are large and durable, and for a family with an appreciated portfolio and a multi-generational horizon the return on the investment is substantial.</w:t>
      </w:r>
    </w:p>
    <w:p>
      <w:pPr>
        <w:pStyle w:val="Heading1"/>
        <w:keepNext/>
        <w:pageBreakBefore/>
        <w:pBdr>
          <w:bottom w:val="single" w:color="B7C1CD" w:sz="10" w:space="3"/>
        </w:pBdr>
        <w:spacing w:after="140" w:before="360"/>
      </w:pPr>
      <w:r>
        <w:rPr>
          <w:rFonts w:ascii="Georgia" w:cs="Georgia" w:eastAsia="Georgia" w:hAnsi="Georgia"/>
          <w:b/>
          <w:bCs/>
          <w:color w:val="162131"/>
          <w:sz w:val="28"/>
          <w:szCs w:val="28"/>
        </w:rPr>
        <w:t xml:space="preserve">19.  </w:t>
      </w:r>
      <w:r>
        <w:rPr>
          <w:rFonts w:ascii="Georgia" w:cs="Georgia" w:eastAsia="Georgia" w:hAnsi="Georgia"/>
          <w:b/>
          <w:bCs/>
          <w:color w:val="162131"/>
          <w:sz w:val="28"/>
          <w:szCs w:val="28"/>
        </w:rPr>
        <w:t xml:space="preserve">The Professional Team</w:t>
      </w:r>
    </w:p>
    <w:p>
      <w:pPr>
        <w:spacing w:after="180" w:before="0" w:line="348"/>
        <w:jc w:val="both"/>
      </w:pPr>
      <w:r>
        <w:rPr>
          <w:rFonts w:ascii="Georgia" w:cs="Georgia" w:eastAsia="Georgia" w:hAnsi="Georgia"/>
          <w:color w:val="1C1C1C"/>
          <w:sz w:val="24"/>
          <w:szCs w:val="24"/>
        </w:rPr>
        <w:t xml:space="preserve">No single professional executes this architecture; it requires a coordinated team, and this section describes the roles and how they fit together.</w:t>
      </w:r>
    </w:p>
    <w:p>
      <w:pPr>
        <w:pStyle w:val="Heading2"/>
        <w:keepNext/>
        <w:spacing w:after="100" w:before="260"/>
      </w:pPr>
      <w:r>
        <w:rPr>
          <w:rFonts w:ascii="Georgia" w:cs="Georgia" w:eastAsia="Georgia" w:hAnsi="Georgia"/>
          <w:b/>
          <w:bCs/>
          <w:color w:val="26384A"/>
          <w:sz w:val="23"/>
          <w:szCs w:val="23"/>
        </w:rPr>
        <w:t xml:space="preserve">19.1  </w:t>
      </w:r>
      <w:r>
        <w:rPr>
          <w:rFonts w:ascii="Georgia" w:cs="Georgia" w:eastAsia="Georgia" w:hAnsi="Georgia"/>
          <w:b/>
          <w:bCs/>
          <w:color w:val="26384A"/>
          <w:sz w:val="23"/>
          <w:szCs w:val="23"/>
        </w:rPr>
        <w:t xml:space="preserve">Counsel</w:t>
      </w:r>
    </w:p>
    <w:p>
      <w:pPr>
        <w:spacing w:after="180" w:before="0" w:line="348"/>
        <w:jc w:val="both"/>
      </w:pPr>
      <w:r>
        <w:rPr>
          <w:rFonts w:ascii="Georgia" w:cs="Georgia" w:eastAsia="Georgia" w:hAnsi="Georgia"/>
          <w:color w:val="1C1C1C"/>
          <w:sz w:val="24"/>
          <w:szCs w:val="24"/>
        </w:rPr>
        <w:t xml:space="preserve">The lead attorney for Phase One drafts the asset-protection trust with its testamentary distribution provisions, the revocable living trust and pour-over wills for the assets outside the trust, the life-estate sub-trust with its remarriage clause, the children's continuing trusts with their directed-trustee and trust-protector provisions and the provisions that enable Phase Two, and the formation documents for the holding company and property companies; counsel also oversees the funding and remains available for ongoing review. Counsel in the dynasty jurisdiction, engaged at the time of Phase Two, drafts the receiving trust and handles that jurisdiction's side of the migration. Counsel is not responsible for tax returns, which are the accountant's province, or for investment management, which belongs to the investment advisor or the corporate trustee.</w:t>
      </w:r>
    </w:p>
    <w:p>
      <w:pPr>
        <w:pStyle w:val="Heading2"/>
        <w:keepNext/>
        <w:spacing w:after="100" w:before="260"/>
      </w:pPr>
      <w:r>
        <w:rPr>
          <w:rFonts w:ascii="Georgia" w:cs="Georgia" w:eastAsia="Georgia" w:hAnsi="Georgia"/>
          <w:b/>
          <w:bCs/>
          <w:color w:val="26384A"/>
          <w:sz w:val="23"/>
          <w:szCs w:val="23"/>
        </w:rPr>
        <w:t xml:space="preserve">19.2  </w:t>
      </w:r>
      <w:r>
        <w:rPr>
          <w:rFonts w:ascii="Georgia" w:cs="Georgia" w:eastAsia="Georgia" w:hAnsi="Georgia"/>
          <w:b/>
          <w:bCs/>
          <w:color w:val="26384A"/>
          <w:sz w:val="23"/>
          <w:szCs w:val="23"/>
        </w:rPr>
        <w:t xml:space="preserve">The Bank and Investment Advisor</w:t>
      </w:r>
    </w:p>
    <w:p>
      <w:pPr>
        <w:spacing w:after="180" w:before="0" w:line="348"/>
        <w:jc w:val="both"/>
      </w:pPr>
      <w:r>
        <w:rPr>
          <w:rFonts w:ascii="Georgia" w:cs="Georgia" w:eastAsia="Georgia" w:hAnsi="Georgia"/>
          <w:color w:val="1C1C1C"/>
          <w:sz w:val="24"/>
          <w:szCs w:val="24"/>
        </w:rPr>
        <w:t xml:space="preserve">The family's bank and investment advisor manages the trust's marketable securities within the parameters the trust sets, provides the lending facilities that support the buy-borrow-die liquidity strategy, and, where the bank's trust department serves as the qualified trustee, provides the formal administration the asset-protection statute requires. The banking relationship is also frequently the source of referrals to counsel and to other professionals, and its coordination with the rest of the team is part of what makes the structure operate smoothly.</w:t>
      </w:r>
    </w:p>
    <w:p>
      <w:pPr>
        <w:pStyle w:val="Heading2"/>
        <w:keepNext/>
        <w:spacing w:after="100" w:before="260"/>
      </w:pPr>
      <w:r>
        <w:rPr>
          <w:rFonts w:ascii="Georgia" w:cs="Georgia" w:eastAsia="Georgia" w:hAnsi="Georgia"/>
          <w:b/>
          <w:bCs/>
          <w:color w:val="26384A"/>
          <w:sz w:val="23"/>
          <w:szCs w:val="23"/>
        </w:rPr>
        <w:t xml:space="preserve">19.3  </w:t>
      </w:r>
      <w:r>
        <w:rPr>
          <w:rFonts w:ascii="Georgia" w:cs="Georgia" w:eastAsia="Georgia" w:hAnsi="Georgia"/>
          <w:b/>
          <w:bCs/>
          <w:color w:val="26384A"/>
          <w:sz w:val="23"/>
          <w:szCs w:val="23"/>
        </w:rPr>
        <w:t xml:space="preserve">The Accountant</w:t>
      </w:r>
    </w:p>
    <w:p>
      <w:pPr>
        <w:spacing w:after="180" w:before="0" w:line="348"/>
        <w:jc w:val="both"/>
      </w:pPr>
      <w:r>
        <w:rPr>
          <w:rFonts w:ascii="Georgia" w:cs="Georgia" w:eastAsia="Georgia" w:hAnsi="Georgia"/>
          <w:color w:val="1C1C1C"/>
          <w:sz w:val="24"/>
          <w:szCs w:val="24"/>
        </w:rPr>
        <w:t xml:space="preserve">An accountant with trust and partnership experience is essential and should be engaged before funding begins. The accountant prepares the trust's informational returns during the grantor's life, advises on the entity structure and the elections that matter — including the election to adjust the inside basis of partnership property so that the step-up reaches the depreciation schedule — prepares the estate-tax return and the basis-consistency reporting at the grantor's death, and prepares the returns for the continuing trusts and, later, for the migrated dynasty trust. The accountant's coordination with counsel is particularly important at the two junctures where tax and legal structure intersect most closely: the initial funding and the administration of the estate at the grantor's death.</w:t>
      </w:r>
    </w:p>
    <w:p>
      <w:pPr>
        <w:pStyle w:val="Heading2"/>
        <w:keepNext/>
        <w:spacing w:after="100" w:before="260"/>
      </w:pPr>
      <w:r>
        <w:rPr>
          <w:rFonts w:ascii="Georgia" w:cs="Georgia" w:eastAsia="Georgia" w:hAnsi="Georgia"/>
          <w:b/>
          <w:bCs/>
          <w:color w:val="26384A"/>
          <w:sz w:val="23"/>
          <w:szCs w:val="23"/>
        </w:rPr>
        <w:t xml:space="preserve">19.4  </w:t>
      </w:r>
      <w:r>
        <w:rPr>
          <w:rFonts w:ascii="Georgia" w:cs="Georgia" w:eastAsia="Georgia" w:hAnsi="Georgia"/>
          <w:b/>
          <w:bCs/>
          <w:color w:val="26384A"/>
          <w:sz w:val="23"/>
          <w:szCs w:val="23"/>
        </w:rPr>
        <w:t xml:space="preserve">The Trust Protector</w:t>
      </w:r>
    </w:p>
    <w:p>
      <w:pPr>
        <w:spacing w:after="180" w:before="0" w:line="348"/>
        <w:jc w:val="both"/>
      </w:pPr>
      <w:r>
        <w:rPr>
          <w:rFonts w:ascii="Georgia" w:cs="Georgia" w:eastAsia="Georgia" w:hAnsi="Georgia"/>
          <w:color w:val="1C1C1C"/>
          <w:sz w:val="24"/>
          <w:szCs w:val="24"/>
        </w:rPr>
        <w:t xml:space="preserve">An independent trust protector is named in each continuing trust, with the powers Part III described — to remove and replace trustees, to modify administrative provisions, to change governing law and situs, and to address changes in law. The trust protector is neither the surviving spouse nor a child, but an independent professional who holds the role in a fiduciary capacity and is compensated for it, and the trust provides for the succession of the role so that it continues reliably across the years. The trust protector is the mechanism through which the trust adapts to circumstances that could not be foreseen at its creation, and the role is a standard feature of the sophisticated continuing trusts the architecture employs.</w:t>
      </w:r>
    </w:p>
    <w:p>
      <w:pPr>
        <w:pStyle w:val="Heading1"/>
        <w:keepNext/>
        <w:pageBreakBefore/>
        <w:pBdr>
          <w:bottom w:val="single" w:color="B7C1CD" w:sz="10" w:space="3"/>
        </w:pBdr>
        <w:spacing w:after="140" w:before="360"/>
      </w:pPr>
      <w:r>
        <w:rPr>
          <w:rFonts w:ascii="Georgia" w:cs="Georgia" w:eastAsia="Georgia" w:hAnsi="Georgia"/>
          <w:b/>
          <w:bCs/>
          <w:color w:val="162131"/>
          <w:sz w:val="28"/>
          <w:szCs w:val="28"/>
        </w:rPr>
        <w:t xml:space="preserve">20.  </w:t>
      </w:r>
      <w:r>
        <w:rPr>
          <w:rFonts w:ascii="Georgia" w:cs="Georgia" w:eastAsia="Georgia" w:hAnsi="Georgia"/>
          <w:b/>
          <w:bCs/>
          <w:color w:val="162131"/>
          <w:sz w:val="28"/>
          <w:szCs w:val="28"/>
        </w:rPr>
        <w:t xml:space="preserve">Risks and Failure Modes</w:t>
      </w:r>
    </w:p>
    <w:p>
      <w:pPr>
        <w:spacing w:after="180" w:before="0" w:line="348"/>
        <w:jc w:val="both"/>
      </w:pPr>
      <w:r>
        <w:rPr>
          <w:rFonts w:ascii="Georgia" w:cs="Georgia" w:eastAsia="Georgia" w:hAnsi="Georgia"/>
          <w:color w:val="1C1C1C"/>
          <w:sz w:val="24"/>
          <w:szCs w:val="24"/>
        </w:rPr>
        <w:t xml:space="preserve">Every structure has failure modes, and a sound plan names them and describes their mitigations rather than pretending they do not exist. This section addresses the principal risks.</w:t>
      </w:r>
    </w:p>
    <w:p>
      <w:pPr>
        <w:pStyle w:val="Heading2"/>
        <w:keepNext/>
        <w:spacing w:after="100" w:before="260"/>
      </w:pPr>
      <w:r>
        <w:rPr>
          <w:rFonts w:ascii="Georgia" w:cs="Georgia" w:eastAsia="Georgia" w:hAnsi="Georgia"/>
          <w:b/>
          <w:bCs/>
          <w:color w:val="26384A"/>
          <w:sz w:val="23"/>
          <w:szCs w:val="23"/>
        </w:rPr>
        <w:t xml:space="preserve">20.1  </w:t>
      </w:r>
      <w:r>
        <w:rPr>
          <w:rFonts w:ascii="Georgia" w:cs="Georgia" w:eastAsia="Georgia" w:hAnsi="Georgia"/>
          <w:b/>
          <w:bCs/>
          <w:color w:val="26384A"/>
          <w:sz w:val="23"/>
          <w:szCs w:val="23"/>
        </w:rPr>
        <w:t xml:space="preserve">A Creditor Challenge During the Limitations Period</w:t>
      </w:r>
    </w:p>
    <w:p>
      <w:pPr>
        <w:spacing w:after="180" w:before="0" w:line="348"/>
        <w:jc w:val="both"/>
      </w:pPr>
      <w:r>
        <w:rPr>
          <w:rFonts w:ascii="Georgia" w:cs="Georgia" w:eastAsia="Georgia" w:hAnsi="Georgia"/>
          <w:color w:val="1C1C1C"/>
          <w:sz w:val="24"/>
          <w:szCs w:val="24"/>
        </w:rPr>
        <w:t xml:space="preserve">A creditor could challenge the transfers to the asset-protection trust within the statutory limitations period, arguing that the transfers were made to hinder, delay, or defraud the creditor. The mitigation is to fund the trust while the grantor is solvent and free of known claims, to document the grantor's solvency at the time of funding, and to allow the limitations period to run, after which the statute bars such a challenge. A structure funded well in advance of any claim, with contemporaneous evidence of solvency, is on strong ground; the risk is real principally for transfers made when a claim is already anticipated, which the plan avoids by funding early and in good faith.</w:t>
      </w:r>
    </w:p>
    <w:p>
      <w:pPr>
        <w:pStyle w:val="Heading2"/>
        <w:keepNext/>
        <w:spacing w:after="100" w:before="260"/>
      </w:pPr>
      <w:r>
        <w:rPr>
          <w:rFonts w:ascii="Georgia" w:cs="Georgia" w:eastAsia="Georgia" w:hAnsi="Georgia"/>
          <w:b/>
          <w:bCs/>
          <w:color w:val="26384A"/>
          <w:sz w:val="23"/>
          <w:szCs w:val="23"/>
        </w:rPr>
        <w:t xml:space="preserve">20.2  </w:t>
      </w:r>
      <w:r>
        <w:rPr>
          <w:rFonts w:ascii="Georgia" w:cs="Georgia" w:eastAsia="Georgia" w:hAnsi="Georgia"/>
          <w:b/>
          <w:bCs/>
          <w:color w:val="26384A"/>
          <w:sz w:val="23"/>
          <w:szCs w:val="23"/>
        </w:rPr>
        <w:t xml:space="preserve">A Challenge to the Remarriage Clause</w:t>
      </w:r>
    </w:p>
    <w:p>
      <w:pPr>
        <w:spacing w:after="180" w:before="0" w:line="348"/>
        <w:jc w:val="both"/>
      </w:pPr>
      <w:r>
        <w:rPr>
          <w:rFonts w:ascii="Georgia" w:cs="Georgia" w:eastAsia="Georgia" w:hAnsi="Georgia"/>
          <w:color w:val="1C1C1C"/>
          <w:sz w:val="24"/>
          <w:szCs w:val="24"/>
        </w:rPr>
        <w:t xml:space="preserve">The surviving spouse could, in theory, challenge the remarriage clause in the life-estate sub-trust as contrary to public policy. The risk is modest, because a partial restraint on remarriage imposed through a trust that provides support during widowhood is generally enforceable as a provision for a defined period rather than as a penalty, but the clause should be drafted with care to fall clearly within the enforceable category, and counsel's judgment on the drafting in the relevant jurisdiction should be sought. The mitigation is careful drafting and, if the grantor wishes, the provision of some benefit to the spouse that survives remarriage, so that the clause is plainly a provision for widowhood rather than a naked restraint.</w:t>
      </w:r>
    </w:p>
    <w:p>
      <w:pPr>
        <w:pStyle w:val="Heading2"/>
        <w:keepNext/>
        <w:spacing w:after="100" w:before="260"/>
      </w:pPr>
      <w:r>
        <w:rPr>
          <w:rFonts w:ascii="Georgia" w:cs="Georgia" w:eastAsia="Georgia" w:hAnsi="Georgia"/>
          <w:b/>
          <w:bCs/>
          <w:color w:val="26384A"/>
          <w:sz w:val="23"/>
          <w:szCs w:val="23"/>
        </w:rPr>
        <w:t xml:space="preserve">20.3  </w:t>
      </w:r>
      <w:r>
        <w:rPr>
          <w:rFonts w:ascii="Georgia" w:cs="Georgia" w:eastAsia="Georgia" w:hAnsi="Georgia"/>
          <w:b/>
          <w:bCs/>
          <w:color w:val="26384A"/>
          <w:sz w:val="23"/>
          <w:szCs w:val="23"/>
        </w:rPr>
        <w:t xml:space="preserve">A Change in the Law</w:t>
      </w:r>
    </w:p>
    <w:p>
      <w:pPr>
        <w:spacing w:after="180" w:before="0" w:line="348"/>
        <w:jc w:val="both"/>
      </w:pPr>
      <w:r>
        <w:rPr>
          <w:rFonts w:ascii="Georgia" w:cs="Georgia" w:eastAsia="Georgia" w:hAnsi="Georgia"/>
          <w:color w:val="1C1C1C"/>
          <w:sz w:val="24"/>
          <w:szCs w:val="24"/>
        </w:rPr>
        <w:t xml:space="preserve">The law on which the plan depends could change. The federal exemption could be reduced below the family's projected estate, which would reintroduce estate-tax considerations and could alter the calculus that favors deliberate inclusion; the basis step-up could be modified or repealed, which would undermine the plan's central tax benefit; and the state statutes on which the asset protection and the perpetuity of the dynasty trust depend could be amended. The mitigation is the flexibility the plan builds in — the trust-protector powers, the decanting authority, and the modern drafting provisions that permit adaptation — together with periodic review of the plan against developments in the law. No plan can be immune to a change in the law, but a plan designed for flexibility can adapt to many changes, and the architecture is designed with that adaptability in view.</w:t>
      </w:r>
    </w:p>
    <w:p>
      <w:pPr>
        <w:pStyle w:val="Heading2"/>
        <w:keepNext/>
        <w:spacing w:after="100" w:before="260"/>
      </w:pPr>
      <w:r>
        <w:rPr>
          <w:rFonts w:ascii="Georgia" w:cs="Georgia" w:eastAsia="Georgia" w:hAnsi="Georgia"/>
          <w:b/>
          <w:bCs/>
          <w:color w:val="26384A"/>
          <w:sz w:val="23"/>
          <w:szCs w:val="23"/>
        </w:rPr>
        <w:t xml:space="preserve">20.4  </w:t>
      </w:r>
      <w:r>
        <w:rPr>
          <w:rFonts w:ascii="Georgia" w:cs="Georgia" w:eastAsia="Georgia" w:hAnsi="Georgia"/>
          <w:b/>
          <w:bCs/>
          <w:color w:val="26384A"/>
          <w:sz w:val="23"/>
          <w:szCs w:val="23"/>
        </w:rPr>
        <w:t xml:space="preserve">Untested Statutory Provisions</w:t>
      </w:r>
    </w:p>
    <w:p>
      <w:pPr>
        <w:spacing w:after="180" w:before="0" w:line="348"/>
        <w:jc w:val="both"/>
      </w:pPr>
      <w:r>
        <w:rPr>
          <w:rFonts w:ascii="Georgia" w:cs="Georgia" w:eastAsia="Georgia" w:hAnsi="Georgia"/>
          <w:color w:val="1C1C1C"/>
          <w:sz w:val="24"/>
          <w:szCs w:val="24"/>
        </w:rPr>
        <w:t xml:space="preserve">The home state's asset-protection statute is relatively new and, as of this writing, substantially untested in the state's appellate courts, so a first adverse decision could construe it less favorably than its text suggests. The mitigation is twofold: the continuing trusts' modern drafting provisions permit adaptation if the law develops unfavorably, and the availability of the Phase Two migration to a jurisdiction with a long and favorable body of law provides a route to a more settled protective regime should the home state's law prove less protective than anticipated. The maturity of the dynasty jurisdiction's law is one of the reasons that jurisdiction is attractive for the second phase, and the option to migrate is itself a mitigation of the risk that the home state's newer statute is narrowly construed.</w:t>
      </w:r>
    </w:p>
    <w:p>
      <w:pPr>
        <w:pStyle w:val="Heading1"/>
        <w:keepNext/>
        <w:pageBreakBefore/>
        <w:pBdr>
          <w:bottom w:val="single" w:color="B7C1CD" w:sz="10" w:space="3"/>
        </w:pBdr>
        <w:spacing w:after="140" w:before="360"/>
      </w:pPr>
      <w:r>
        <w:rPr>
          <w:rFonts w:ascii="Georgia" w:cs="Georgia" w:eastAsia="Georgia" w:hAnsi="Georgia"/>
          <w:b/>
          <w:bCs/>
          <w:color w:val="162131"/>
          <w:sz w:val="28"/>
          <w:szCs w:val="28"/>
        </w:rPr>
        <w:t xml:space="preserve">21.  </w:t>
      </w:r>
      <w:r>
        <w:rPr>
          <w:rFonts w:ascii="Georgia" w:cs="Georgia" w:eastAsia="Georgia" w:hAnsi="Georgia"/>
          <w:b/>
          <w:bCs/>
          <w:color w:val="162131"/>
          <w:sz w:val="28"/>
          <w:szCs w:val="28"/>
        </w:rPr>
        <w:t xml:space="preserve">Diligence Questions to Raise With Counsel</w:t>
      </w:r>
    </w:p>
    <w:p>
      <w:pPr>
        <w:spacing w:after="180" w:before="0" w:line="348"/>
        <w:jc w:val="both"/>
      </w:pPr>
      <w:r>
        <w:rPr>
          <w:rFonts w:ascii="Georgia" w:cs="Georgia" w:eastAsia="Georgia" w:hAnsi="Georgia"/>
          <w:color w:val="1C1C1C"/>
          <w:sz w:val="24"/>
          <w:szCs w:val="24"/>
        </w:rPr>
        <w:t xml:space="preserve">A family considering an architecture of this kind should raise a defined set of questions with its own counsel and tax advisors, both at the Phase One drafting stage and, later, at Phase Two execution. The questions below are offered as a general checklist, to be adapted to the family's circumstances and the advice of its own professionals; they are not a substitute for that advice.</w:t>
      </w:r>
    </w:p>
    <w:p>
      <w:pPr>
        <w:pStyle w:val="Heading2"/>
        <w:keepNext/>
        <w:spacing w:after="100" w:before="260"/>
      </w:pPr>
      <w:r>
        <w:rPr>
          <w:rFonts w:ascii="Georgia" w:cs="Georgia" w:eastAsia="Georgia" w:hAnsi="Georgia"/>
          <w:b/>
          <w:bCs/>
          <w:color w:val="26384A"/>
          <w:sz w:val="23"/>
          <w:szCs w:val="23"/>
        </w:rPr>
        <w:t xml:space="preserve">21.1  </w:t>
      </w:r>
      <w:r>
        <w:rPr>
          <w:rFonts w:ascii="Georgia" w:cs="Georgia" w:eastAsia="Georgia" w:hAnsi="Georgia"/>
          <w:b/>
          <w:bCs/>
          <w:color w:val="26384A"/>
          <w:sz w:val="23"/>
          <w:szCs w:val="23"/>
        </w:rPr>
        <w:t xml:space="preserve">Questions at the Phase One Drafting Stage</w:t>
      </w:r>
    </w:p>
    <w:p>
      <w:pPr>
        <w:spacing w:after="180" w:before="0" w:line="348"/>
        <w:jc w:val="both"/>
      </w:pPr>
      <w:r>
        <w:rPr>
          <w:rFonts w:ascii="Georgia" w:cs="Georgia" w:eastAsia="Georgia" w:hAnsi="Georgia"/>
          <w:color w:val="1C1C1C"/>
          <w:sz w:val="24"/>
          <w:szCs w:val="24"/>
        </w:rPr>
        <w:t xml:space="preserve">Does counsel concur that a home-state asset-protection trust with deliberate estate inclusion for the basis step-up is the right structure for a family below the exemption, or does counsel recommend a different approach? What is counsel's experience with the enforceability of a remarriage clause in a life estate in the relevant jurisdiction, and how should the clause be drafted? Which qualified trustee does counsel recommend, and what are the trade-offs among the available corporate and independent trustees? What is counsel's preferred structure for the beneficiary-controlled continuing trusts, and how does counsel draft the ascertainable-standard distribution provisions to avoid a general power of appointment? What specific decanting, trust-protector, directed-trustee, and beneficiary-class language does counsel recommend for the continuing trusts so that the later migration executes cleanly? Does counsel have referrals to accountants with the relevant trust and partnership experience, and to counsel in the dynasty jurisdiction for the eventual second phase? And what is counsel's engagement scope and fee structure, and does counsel offer ongoing review?</w:t>
      </w:r>
    </w:p>
    <w:p>
      <w:pPr>
        <w:pStyle w:val="Heading2"/>
        <w:keepNext/>
        <w:spacing w:after="100" w:before="260"/>
      </w:pPr>
      <w:r>
        <w:rPr>
          <w:rFonts w:ascii="Georgia" w:cs="Georgia" w:eastAsia="Georgia" w:hAnsi="Georgia"/>
          <w:b/>
          <w:bCs/>
          <w:color w:val="26384A"/>
          <w:sz w:val="23"/>
          <w:szCs w:val="23"/>
        </w:rPr>
        <w:t xml:space="preserve">21.2  </w:t>
      </w:r>
      <w:r>
        <w:rPr>
          <w:rFonts w:ascii="Georgia" w:cs="Georgia" w:eastAsia="Georgia" w:hAnsi="Georgia"/>
          <w:b/>
          <w:bCs/>
          <w:color w:val="26384A"/>
          <w:sz w:val="23"/>
          <w:szCs w:val="23"/>
        </w:rPr>
        <w:t xml:space="preserve">Questions at Phase Two Execution</w:t>
      </w:r>
    </w:p>
    <w:p>
      <w:pPr>
        <w:spacing w:after="180" w:before="0" w:line="348"/>
        <w:jc w:val="both"/>
      </w:pPr>
      <w:r>
        <w:rPr>
          <w:rFonts w:ascii="Georgia" w:cs="Georgia" w:eastAsia="Georgia" w:hAnsi="Georgia"/>
          <w:color w:val="1C1C1C"/>
          <w:sz w:val="24"/>
          <w:szCs w:val="24"/>
        </w:rPr>
        <w:t xml:space="preserve">Which corporate trustee in the dynasty jurisdiction does counsel recommend for a trust of the family's size and complexity, and why? How does counsel structure the directed-trustee roles — investment advisor, distribution advisor, and trust protector — in the receiving trust, and how does counsel provide for their succession? What confidentiality provisions does counsel recommend, and in what circumstances, and how does counsel reconcile the withholding of information with the trustee's duty to keep beneficiaries reasonably informed? How does counsel handle the interaction between the receiving dynasty trust and the ongoing holding company that owns the rental real estate in the home state, particularly the income sourced to the home state? And what are counsel's fees and expected timeline for drafting the receiving trust and coordinating the migration?</w:t>
      </w:r>
    </w:p>
    <w:p>
      <w:pPr>
        <w:pStyle w:val="Heading1"/>
        <w:keepNext/>
        <w:pageBreakBefore/>
        <w:pBdr>
          <w:bottom w:val="single" w:color="B7C1CD" w:sz="10" w:space="3"/>
        </w:pBdr>
        <w:spacing w:after="140" w:before="360"/>
      </w:pPr>
      <w:r>
        <w:rPr>
          <w:rFonts w:ascii="Georgia" w:cs="Georgia" w:eastAsia="Georgia" w:hAnsi="Georgia"/>
          <w:b/>
          <w:bCs/>
          <w:color w:val="162131"/>
          <w:sz w:val="28"/>
          <w:szCs w:val="28"/>
        </w:rPr>
        <w:t xml:space="preserve">22.  </w:t>
      </w:r>
      <w:r>
        <w:rPr>
          <w:rFonts w:ascii="Georgia" w:cs="Georgia" w:eastAsia="Georgia" w:hAnsi="Georgia"/>
          <w:b/>
          <w:bCs/>
          <w:color w:val="162131"/>
          <w:sz w:val="28"/>
          <w:szCs w:val="28"/>
        </w:rPr>
        <w:t xml:space="preserve">Conclusion</w:t>
      </w:r>
    </w:p>
    <w:p>
      <w:pPr>
        <w:spacing w:after="180" w:before="0" w:line="348"/>
        <w:jc w:val="both"/>
      </w:pPr>
      <w:r>
        <w:rPr>
          <w:rFonts w:ascii="Georgia" w:cs="Georgia" w:eastAsia="Georgia" w:hAnsi="Georgia"/>
          <w:color w:val="1C1C1C"/>
          <w:sz w:val="24"/>
          <w:szCs w:val="24"/>
        </w:rPr>
        <w:t xml:space="preserve">The architecture described in this document is a coherent, two-phase approach to holding, protecting, and transmitting family wealth for a family below the federal transfer-tax exemption. Its foundation is a single strategic insight: because such a family will not owe the estate tax, the plan should keep assets inside the taxable estate to capture the basis step-up at death, reversing the instinct of traditional asset-protection planning. From that insight the entire structure follows. Phase One forms a home-state asset-protection trust that protects the family's wealth during the grantor's life, is deliberately included in the estate for the step-up, and distributes at the grantor's death into a protected life estate for the surviving spouse and beneficiary-controlled continuing trusts for the children. Phase Two allows each child, electively and at a time of the child's choosing, to migrate a continuing trust into a perpetual dynasty trust in a specialized jurisdiction, eliminating state income tax, securing the strongest protections, and carrying the family's wealth across generations — while restoring, by the child's own choice, the family unity that the death-time division had separated.</w:t>
      </w:r>
    </w:p>
    <w:p>
      <w:pPr>
        <w:spacing w:after="180" w:before="0" w:line="348"/>
        <w:jc w:val="both"/>
      </w:pPr>
      <w:r>
        <w:rPr>
          <w:rFonts w:ascii="Georgia" w:cs="Georgia" w:eastAsia="Georgia" w:hAnsi="Georgia"/>
          <w:color w:val="1C1C1C"/>
          <w:sz w:val="24"/>
          <w:szCs w:val="24"/>
        </w:rPr>
        <w:t xml:space="preserve">The architecture's virtues are that it is complete at each stage, flexible across generations, and honest about its limits. Phase One stands on its own, delivering asset protection, income-tax efficiency, the basis step-up, and probate avoidance even if Phase Two is never undertaken. Phase Two builds on that foundation without disturbing it, and it belongs to the generation that will live with its consequences rather than being imposed by the generation that designed the plan. And the whole is designed with its risks and gaps in view, mitigated by the flexibility the modern drafting provisions supply and by the option to migrate to a more settled protective regime. What the architecture ultimately offers is a disciplined way to carry appreciated wealth through a generational transition at minimized tax and risk — protected during life, stepped up at death, and transmitted across the generations that follow — resting throughout on genuine structure and genuine purpose, and on the counsel of the professionals whose judgment the plan is designed to inform rather than to replace.</w:t>
      </w:r>
    </w:p>
    <w:p>
      <w:pPr>
        <w:spacing w:after="120" w:before="300"/>
        <w:jc w:val="center"/>
      </w:pPr>
      <w:r>
        <w:rPr>
          <w:rFonts w:ascii="Georgia" w:cs="Georgia" w:eastAsia="Georgia" w:hAnsi="Georgia"/>
          <w:color w:val="9A7B4F"/>
          <w:sz w:val="20"/>
          <w:szCs w:val="20"/>
        </w:rPr>
        <w:t xml:space="preserve">━━━━━━━━━━━━━━━━━━</w:t>
      </w:r>
    </w:p>
    <w:p>
      <w:pPr>
        <w:spacing w:after="60"/>
        <w:jc w:val="center"/>
      </w:pPr>
      <w:r>
        <w:rPr>
          <w:rFonts w:ascii="Georgia" w:cs="Georgia" w:eastAsia="Georgia" w:hAnsi="Georgia"/>
          <w:i/>
          <w:iCs/>
          <w:color w:val="4C5866"/>
          <w:sz w:val="18"/>
          <w:szCs w:val="18"/>
        </w:rPr>
        <w:t xml:space="preserve">This document is a general explanatory and template reference and is not legal or tax advice.</w:t>
      </w:r>
    </w:p>
    <w:p>
      <w:pPr>
        <w:spacing w:after="0"/>
        <w:jc w:val="center"/>
      </w:pPr>
      <w:r>
        <w:rPr>
          <w:rFonts w:ascii="Georgia" w:cs="Georgia" w:eastAsia="Georgia" w:hAnsi="Georgia"/>
          <w:b/>
          <w:bCs/>
          <w:i/>
          <w:iCs/>
          <w:color w:val="26384A"/>
          <w:sz w:val="24"/>
          <w:szCs w:val="24"/>
        </w:rPr>
        <w:t xml:space="preserve">Patience pays.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4C5866"/>
        <w:sz w:val="15"/>
        <w:szCs w:val="15"/>
      </w:rPr>
      <w:t xml:space="preserve">A general explanatory reference — not legal or tax advice.   ·   Page </w:t>
    </w:r>
    <w:r>
      <w:rPr>
        <w:rFonts w:ascii="Georgia" w:cs="Georgia" w:eastAsia="Georgia" w:hAnsi="Georgia"/>
        <w:color w:val="4C5866"/>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7C1CD" w:sz="4" w:space="2"/>
      </w:pBdr>
      <w:jc w:val="right"/>
    </w:pPr>
    <w:r>
      <w:rPr>
        <w:rFonts w:ascii="Georgia" w:cs="Georgia" w:eastAsia="Georgia" w:hAnsi="Georgia"/>
        <w:i/>
        <w:iCs/>
        <w:color w:val="4C5866"/>
        <w:sz w:val="15"/>
        <w:szCs w:val="15"/>
      </w:rPr>
      <w:t xml:space="preserve">From Arkansas to South Dakota — A Two-Phase Domestic Trust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C1C1C"/>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Georgia" w:cs="Georgia" w:eastAsia="Georgia" w:hAnsi="Georgia"/>
      <w:b/>
      <w:bCs/>
      <w:color w:val="162131"/>
      <w:sz w:val="28"/>
      <w:szCs w:val="28"/>
    </w:rPr>
  </w:style>
  <w:style w:type="paragraph" w:styleId="Heading2">
    <w:name w:val="Heading 2"/>
    <w:basedOn w:val="Normal"/>
    <w:next w:val="Normal"/>
    <w:qFormat/>
    <w:pPr>
      <w:spacing w:after="100" w:before="260"/>
      <w:outlineLvl w:val="1"/>
    </w:pPr>
    <w:rPr>
      <w:rFonts w:ascii="Georgia" w:cs="Georgia" w:eastAsia="Georgia" w:hAnsi="Georgia"/>
      <w:b/>
      <w:bCs/>
      <w:color w:val="26384A"/>
      <w:sz w:val="23"/>
      <w:szCs w:val="23"/>
    </w:rPr>
  </w:style>
  <w:style w:type="paragraph" w:styleId="Heading3">
    <w:name w:val="Heading 3"/>
    <w:basedOn w:val="Normal"/>
    <w:next w:val="Normal"/>
    <w:qFormat/>
    <w:pPr>
      <w:spacing w:after="80" w:before="180"/>
      <w:outlineLvl w:val="2"/>
    </w:pPr>
    <w:rPr>
      <w:rFonts w:ascii="Georgia" w:cs="Georgia" w:eastAsia="Georgia" w:hAnsi="Georgia"/>
      <w:b/>
      <w:bCs/>
      <w:i/>
      <w:iCs/>
      <w:color w:val="4C586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Arkansas to South Dakota: A Two-Phase Domestic Trust Architecture</dc:title>
  <dc:creator>Trust Architecture Reference</dc:creator>
  <dc:description>A general explanatory and template reference on a two-phase domestic trust strategy.</dc:description>
  <cp:lastModifiedBy>Un-named</cp:lastModifiedBy>
  <cp:revision>1</cp:revision>
  <dcterms:created xsi:type="dcterms:W3CDTF">2026-07-20T00:45:18.774Z</dcterms:created>
  <dcterms:modified xsi:type="dcterms:W3CDTF">2026-07-20T00:45:18.774Z</dcterms:modified>
</cp:coreProperties>
</file>

<file path=docProps/custom.xml><?xml version="1.0" encoding="utf-8"?>
<Properties xmlns="http://schemas.openxmlformats.org/officeDocument/2006/custom-properties" xmlns:vt="http://schemas.openxmlformats.org/officeDocument/2006/docPropsVTypes"/>
</file>