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rFonts w:ascii="Calibri" w:cs="Calibri" w:eastAsia="Calibri" w:hAnsi="Calibri"/>
          <w:b/>
          <w:bCs/>
          <w:color w:val="1F3A5F"/>
          <w:sz w:val="52"/>
          <w:szCs w:val="52"/>
        </w:rPr>
        <w:t xml:space="preserve">Insurance &amp; Financial Stacks</w:t>
      </w:r>
    </w:p>
    <w:p>
      <w:pPr>
        <w:spacing w:after="220" w:before="40"/>
        <w:jc w:val="center"/>
      </w:pPr>
      <w:r>
        <w:rPr>
          <w:rFonts w:ascii="Calibri" w:cs="Calibri" w:eastAsia="Calibri" w:hAnsi="Calibri"/>
          <w:b/>
          <w:bCs/>
          <w:color w:val="1F3A5F"/>
          <w:sz w:val="52"/>
          <w:szCs w:val="52"/>
        </w:rPr>
        <w:t xml:space="preserve">An Illustrative Analysis</w:t>
      </w:r>
    </w:p>
    <w:p>
      <w:pPr>
        <w:pBdr>
          <w:top w:val="single" w:color="6B4F2A" w:sz="8" w:space="8"/>
          <w:bottom w:val="single" w:color="6B4F2A" w:sz="8" w:space="8"/>
        </w:pBdr>
        <w:spacing w:after="40"/>
        <w:jc w:val="center"/>
      </w:pPr>
      <w:r>
        <w:rPr>
          <w:rFonts w:ascii="Calibri" w:cs="Calibri" w:eastAsia="Calibri" w:hAnsi="Calibri"/>
          <w:i/>
          <w:iCs/>
          <w:color w:val="2E5077"/>
          <w:sz w:val="24"/>
          <w:szCs w:val="24"/>
        </w:rPr>
        <w:t xml:space="preserve">How complete combinations of insurance, credit, and savings compare — by cost, coverage, and fit</w:t>
      </w:r>
    </w:p>
    <w:p>
      <w:pPr>
        <w:spacing w:after="0" w:before="260"/>
        <w:jc w:val="center"/>
      </w:pPr>
      <w:r>
        <w:rPr>
          <w:rFonts w:ascii="Calibri" w:cs="Calibri" w:eastAsia="Calibri" w:hAnsi="Calibri"/>
          <w:color w:val="1A1A1A"/>
          <w:sz w:val="22"/>
          <w:szCs w:val="22"/>
        </w:rPr>
        <w:t xml:space="preserve">A numbers-forward companion to the Insurance, Credit &amp; Loans data workbook</w:t>
      </w:r>
    </w:p>
    <w:p>
      <w:pPr>
        <w:spacing w:before="40"/>
        <w:jc w:val="center"/>
      </w:pPr>
      <w:r>
        <w:rPr>
          <w:rFonts w:ascii="Calibri" w:cs="Calibri" w:eastAsia="Calibri" w:hAnsi="Calibri"/>
          <w:color w:val="555555"/>
          <w:sz w:val="20"/>
          <w:szCs w:val="20"/>
        </w:rPr>
        <w:t xml:space="preserve">For public education and general analysis · 2026</w:t>
      </w:r>
    </w:p>
    <w:p>
      <w:pPr>
        <w:spacing w:before="520"/>
        <w:jc w:val="center"/>
      </w:pPr>
      <w:r>
        <w:rPr>
          <w:rFonts w:ascii="Calibri" w:cs="Calibri" w:eastAsia="Calibri" w:hAnsi="Calibri"/>
          <w:i/>
          <w:iCs/>
          <w:color w:val="777777"/>
          <w:sz w:val="19"/>
          <w:szCs w:val="19"/>
        </w:rPr>
        <w:t xml:space="preserve">Depersonalized: the “stacks” below are illustrative archetypes, not any individual’s plan.</w:t>
      </w:r>
    </w:p>
    <w:p>
      <w:r>
        <w:br w:type="page"/>
      </w:r>
    </w:p>
    <w:p>
      <w:pPr>
        <w:spacing w:after="140"/>
      </w:pPr>
      <w:r>
        <w:rPr>
          <w:rFonts w:ascii="Calibri" w:cs="Calibri" w:eastAsia="Calibri" w:hAnsi="Calibri"/>
          <w:b/>
          <w:bCs/>
          <w:color w:val="1F3A5F"/>
          <w:sz w:val="28"/>
          <w:szCs w:val="28"/>
        </w:rPr>
        <w:t xml:space="preserve">How to read this document</w:t>
      </w:r>
    </w:p>
    <w:tbl>
      <w:tblPr>
        <w:tblW w:type="dxa" w:w="9360"/>
        <w:tblBorders>
          <w:top w:val="single" w:color="E9EEF4" w:sz="1"/>
          <w:left w:val="single" w:color="6B4F2A" w:sz="22"/>
          <w:bottom w:val="single" w:color="E9EEF4" w:sz="1"/>
          <w:right w:val="single" w:color="E9EEF4" w:sz="1"/>
          <w:insideH w:val="single" w:color="auto" w:sz="4"/>
          <w:insideV w:val="single" w:color="auto" w:sz="4"/>
        </w:tblBorders>
      </w:tblPr>
      <w:tblGrid>
        <w:gridCol w:w="9360"/>
      </w:tblGrid>
      <w:tr>
        <w:tc>
          <w:tcPr>
            <w:tcW w:type="dxa" w:w="9360"/>
            <w:shd w:fill="E9EEF4" w:val="clear"/>
            <w:tcMar>
              <w:top w:type="dxa" w:w="130"/>
              <w:left w:type="dxa" w:w="200"/>
              <w:bottom w:type="dxa" w:w="130"/>
              <w:right w:type="dxa" w:w="170"/>
            </w:tcMar>
          </w:tcPr>
          <w:p>
            <w:pPr>
              <w:spacing w:after="70"/>
            </w:pPr>
            <w:r>
              <w:rPr>
                <w:rFonts w:ascii="Calibri" w:cs="Calibri" w:eastAsia="Calibri" w:hAnsi="Calibri"/>
                <w:b/>
                <w:bCs/>
                <w:color w:val="1F3A5F"/>
                <w:sz w:val="21"/>
                <w:szCs w:val="21"/>
              </w:rPr>
              <w:t xml:space="preserve">What a “stack” is here</w:t>
            </w:r>
          </w:p>
          <w:p>
            <w:pPr>
              <w:spacing w:after="40" w:line="284"/>
              <w:jc w:val="both"/>
            </w:pPr>
            <w:r>
              <w:rPr>
                <w:rFonts w:ascii="Calibri" w:cs="Calibri" w:eastAsia="Calibri" w:hAnsi="Calibri"/>
                <w:color w:val="1A1A1A"/>
                <w:sz w:val="20"/>
                <w:szCs w:val="20"/>
              </w:rPr>
              <w:t xml:space="preserve">A </w:t>
            </w:r>
            <w:r>
              <w:rPr>
                <w:rFonts w:ascii="Calibri" w:cs="Calibri" w:eastAsia="Calibri" w:hAnsi="Calibri"/>
                <w:b/>
                <w:bCs/>
                <w:color w:val="1A1A1A"/>
                <w:sz w:val="20"/>
                <w:szCs w:val="20"/>
              </w:rPr>
              <w:t xml:space="preserve">stack</w:t>
            </w:r>
            <w:r>
              <w:rPr>
                <w:rFonts w:ascii="Calibri" w:cs="Calibri" w:eastAsia="Calibri" w:hAnsi="Calibri"/>
                <w:color w:val="1A1A1A"/>
                <w:sz w:val="20"/>
                <w:szCs w:val="20"/>
              </w:rPr>
              <w:t xml:space="preserve"> is a complete, cross-category combination of protection and saving — health, life, disability, property, liability, business, retirement, and credit — assembled as a single portfolio rather than a series of isolated purchases. This analysis defines several illustrative stacks aimed at recognizable household situations, prices each from the figures in the companion workbook, and scores them on a common set of dimensions so they can be compared. The stacks are archetypes for public education; they describe no real person and are not advice.</w:t>
            </w:r>
          </w:p>
        </w:tc>
      </w:tr>
    </w:tbl>
    <w:p>
      <w:pPr>
        <w:spacing w:after="60"/>
      </w:pPr>
      <w:r>
        <w:rPr>
          <w:rFonts w:ascii="Calibri" w:cs="Calibri" w:eastAsia="Calibri" w:hAnsi="Calibri"/>
          <w:color w:val="1A1A1A"/>
          <w:sz w:val="21"/>
          <w:szCs w:val="21"/>
        </w:rPr>
        <w:t xml:space="preserve"/>
      </w:r>
    </w:p>
    <w:p>
      <w:pPr>
        <w:spacing w:after="130" w:line="288"/>
        <w:jc w:val="both"/>
      </w:pPr>
      <w:r>
        <w:rPr>
          <w:rFonts w:ascii="Calibri" w:cs="Calibri" w:eastAsia="Calibri" w:hAnsi="Calibri"/>
          <w:color w:val="1A1A1A"/>
          <w:sz w:val="21"/>
          <w:szCs w:val="21"/>
        </w:rPr>
        <w:t xml:space="preserve">Every dollar figure traces to the companion data workbook and its cited sources. Where a stack lists an annual cost, that figure is built from the same per-line premiums, contribution limits, and rate caps tabulated there. The workbook is the quantitative source of record; this document is the analysis layer on top of it.</w:t>
      </w:r>
    </w:p>
    <w:p>
      <w:r>
        <w:br w:type="page"/>
      </w:r>
    </w:p>
    <w:p>
      <w:pPr>
        <w:spacing w:after="150"/>
      </w:pPr>
      <w:r>
        <w:rPr>
          <w:rFonts w:ascii="Calibri" w:cs="Calibri" w:eastAsia="Calibri" w:hAnsi="Calibri"/>
          <w:b/>
          <w:bCs/>
          <w:color w:val="1F3A5F"/>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1  The Framework: Stacks, Severity, and Scoring</w:t>
      </w:r>
    </w:p>
    <w:p>
      <w:pPr>
        <w:pBdr>
          <w:bottom w:val="single" w:color="6B4F2A" w:sz="6" w:space="1"/>
        </w:pBdr>
        <w:spacing w:after="130"/>
      </w:pPr>
      <w:r>
        <w:rPr>
          <w:rFonts w:ascii="Calibri" w:cs="Calibri" w:eastAsia="Calibri" w:hAnsi="Calibri"/>
          <w:color w:val="1A1A1A"/>
          <w:sz w:val="21"/>
          <w:szCs w:val="21"/>
        </w:rPr>
        <w:t xml:space="preserve"/>
      </w:r>
    </w:p>
    <w:p>
      <w:pPr>
        <w:spacing w:after="130" w:line="288"/>
        <w:jc w:val="both"/>
      </w:pPr>
      <w:r>
        <w:rPr>
          <w:rFonts w:ascii="Calibri" w:cs="Calibri" w:eastAsia="Calibri" w:hAnsi="Calibri"/>
          <w:color w:val="1A1A1A"/>
          <w:sz w:val="21"/>
          <w:szCs w:val="21"/>
        </w:rPr>
        <w:t xml:space="preserve">Households rarely hold a single insurance product; once auto, renters or homeowners, health, and at least one supplemental or savings line are counted, most carry several coverages at once. The right unit of analysis is therefore not a company or a policy but a portfolio — a stack — chosen so that nothing overlaps and no catastrophic exposure is left uncovered. This section sets out the principle that orders a good stack and the dimensions on which the stacks in Part 3 are scored.</w:t>
      </w:r>
    </w:p>
    <w:p>
      <w:pPr>
        <w:pStyle w:val="Heading2"/>
        <w:spacing w:after="120" w:before="240"/>
      </w:pPr>
      <w:r>
        <w:t xml:space="preserve">1.1  The ordering principle: severity first</w:t>
      </w:r>
    </w:p>
    <w:p>
      <w:pPr>
        <w:spacing w:after="130" w:line="288"/>
        <w:jc w:val="both"/>
      </w:pPr>
      <w:r>
        <w:rPr>
          <w:rFonts w:ascii="Calibri" w:cs="Calibri" w:eastAsia="Calibri" w:hAnsi="Calibri"/>
          <w:color w:val="1A1A1A"/>
          <w:sz w:val="21"/>
          <w:szCs w:val="21"/>
        </w:rPr>
        <w:t xml:space="preserve">The single most important rule in assembling a stack is to sequence protection by the severity of the risk — the size of the potential loss relative to the household’s resources — rather than by how familiar, frequent, or salient the hazard feels. Insurance is worth most when it transfers a loss too large to absorb; insuring small, affordable losses simply converts an uncertain small cost into a certain larger one, because every premium carries a loading for the insurer’s expenses. Scarce dollars should therefore flow first to low-probability, high-consequence risks (a disability, a liability judgment, a breach, a death with dependents), and only afterward to smaller, self-fundable exposures.</w:t>
      </w:r>
    </w:p>
    <w:tbl>
      <w:tblPr>
        <w:tblW w:type="dxa" w:w="9360"/>
        <w:tblBorders>
          <w:top w:val="single" w:color="F6E4C8" w:sz="1"/>
          <w:left w:val="single" w:color="6B4F2A" w:sz="22"/>
          <w:bottom w:val="single" w:color="F6E4C8" w:sz="1"/>
          <w:right w:val="single" w:color="F6E4C8" w:sz="1"/>
          <w:insideH w:val="single" w:color="auto" w:sz="4"/>
          <w:insideV w:val="single" w:color="auto" w:sz="4"/>
        </w:tblBorders>
      </w:tblPr>
      <w:tblGrid>
        <w:gridCol w:w="9360"/>
      </w:tblGrid>
      <w:tr>
        <w:tc>
          <w:tcPr>
            <w:tcW w:type="dxa" w:w="9360"/>
            <w:shd w:fill="F6E4C8" w:val="clear"/>
            <w:tcMar>
              <w:top w:type="dxa" w:w="130"/>
              <w:left w:type="dxa" w:w="200"/>
              <w:bottom w:type="dxa" w:w="130"/>
              <w:right w:type="dxa" w:w="170"/>
            </w:tcMar>
          </w:tcPr>
          <w:p>
            <w:pPr>
              <w:spacing w:after="70"/>
            </w:pPr>
            <w:r>
              <w:rPr>
                <w:rFonts w:ascii="Calibri" w:cs="Calibri" w:eastAsia="Calibri" w:hAnsi="Calibri"/>
                <w:b/>
                <w:bCs/>
                <w:color w:val="1F3A5F"/>
                <w:sz w:val="21"/>
                <w:szCs w:val="21"/>
              </w:rPr>
              <w:t xml:space="preserve">Why this matters</w:t>
            </w:r>
          </w:p>
          <w:p>
            <w:pPr>
              <w:spacing w:after="40" w:line="284"/>
              <w:jc w:val="both"/>
            </w:pPr>
            <w:r>
              <w:rPr>
                <w:rFonts w:ascii="Calibri" w:cs="Calibri" w:eastAsia="Calibri" w:hAnsi="Calibri"/>
                <w:color w:val="1A1A1A"/>
                <w:sz w:val="20"/>
                <w:szCs w:val="20"/>
              </w:rPr>
              <w:t xml:space="preserve">The common instinct is the reverse of the correct one: households tend to over-insure small, high-frequency risks (through low deductibles and narrow supplemental policies) while under-insuring the catastrophic. Every stack in this analysis is built to correct that ordering — catastrophic coverage first, optimization second.</w:t>
            </w:r>
          </w:p>
        </w:tc>
      </w:tr>
    </w:tbl>
    <w:p>
      <w:pPr>
        <w:pStyle w:val="Heading2"/>
        <w:spacing w:after="120" w:before="240"/>
      </w:pPr>
      <w:r>
        <w:t xml:space="preserve">1.2  The role of pooled and subsidized coverage</w:t>
      </w:r>
    </w:p>
    <w:p>
      <w:pPr>
        <w:spacing w:after="130" w:line="288"/>
        <w:jc w:val="both"/>
      </w:pPr>
      <w:r>
        <w:rPr>
          <w:rFonts w:ascii="Calibri" w:cs="Calibri" w:eastAsia="Calibri" w:hAnsi="Calibri"/>
          <w:color w:val="1A1A1A"/>
          <w:sz w:val="21"/>
          <w:szCs w:val="21"/>
        </w:rPr>
        <w:t xml:space="preserve">A second principle shapes several of the stacks: where a household can obtain coverage on a group, community-rated, or subsidized basis — through an employer or a public program — that coverage typically delivers more protection per dollar than anything the individual market offers, because it combines risk pooling with subsidy and prices without regard to individual risk. The workbook’s “Benefits Comparison” tab quantifies the gap; the stacks that can draw on pooled coverage (Part 3) are correspondingly cheaper and stronger.</w:t>
      </w:r>
    </w:p>
    <w:p>
      <w:pPr>
        <w:pStyle w:val="Heading2"/>
        <w:spacing w:after="120" w:before="240"/>
      </w:pPr>
      <w:r>
        <w:t xml:space="preserve">1.3  The scoring dimensions</w:t>
      </w:r>
    </w:p>
    <w:p>
      <w:pPr>
        <w:spacing w:after="130" w:line="288"/>
        <w:jc w:val="both"/>
      </w:pPr>
      <w:r>
        <w:rPr>
          <w:rFonts w:ascii="Calibri" w:cs="Calibri" w:eastAsia="Calibri" w:hAnsi="Calibri"/>
          <w:color w:val="1A1A1A"/>
          <w:sz w:val="21"/>
          <w:szCs w:val="21"/>
        </w:rPr>
        <w:t xml:space="preserve">Each stack is scored on a 1–10 scale across seven weighted dimensions. The weights reflect what most determines a household’s financial resilience: value for money, efficiency, breadth, and the ability to grow into future needs.</w:t>
      </w:r>
    </w:p>
    <w:p>
      <w:pPr>
        <w:spacing w:after="30"/>
      </w:pPr>
      <w:r>
        <w:rPr>
          <w:rFonts w:ascii="Calibri" w:cs="Calibri" w:eastAsia="Calibri" w:hAnsi="Calibri"/>
          <w:color w:val="1A1A1A"/>
          <w:sz w:val="21"/>
          <w:szCs w:val="21"/>
        </w:rPr>
        <w:t xml:space="preserve"/>
      </w:r>
    </w:p>
    <w:p>
      <w:pPr>
        <w:spacing w:after="60" w:before="60"/>
      </w:pPr>
      <w:r>
        <w:rPr>
          <w:rFonts w:ascii="Calibri" w:cs="Calibri" w:eastAsia="Calibri" w:hAnsi="Calibri"/>
          <w:b/>
          <w:bCs/>
          <w:color w:val="1F3A5F"/>
          <w:sz w:val="18"/>
          <w:szCs w:val="18"/>
        </w:rPr>
        <w:t xml:space="preserve">Table 1.1  Scoring dimensions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560"/>
      </w:tblGrid>
      <w:tr>
        <w:trPr>
          <w:tblHeader/>
        </w:trPr>
        <w:tc>
          <w:tcPr>
            <w:tcW w:type="dxa" w:w="27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Dimension</w:t>
            </w:r>
          </w:p>
        </w:tc>
        <w:tc>
          <w:tcPr>
            <w:tcW w:type="dxa" w:w="11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Weight</w:t>
            </w:r>
          </w:p>
        </w:tc>
        <w:tc>
          <w:tcPr>
            <w:tcW w:type="dxa" w:w="55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What it measures</w:t>
            </w:r>
          </w:p>
        </w:tc>
      </w:tr>
      <w:tr>
        <w:tc>
          <w:tcPr>
            <w:tcW w:type="dxa" w:w="27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Overall value</w:t>
            </w:r>
          </w:p>
        </w:tc>
        <w:tc>
          <w:tcPr>
            <w:tcW w:type="dxa" w:w="11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8"/>
                <w:szCs w:val="18"/>
              </w:rPr>
              <w:t xml:space="preserve">20%</w:t>
            </w:r>
          </w:p>
        </w:tc>
        <w:tc>
          <w:tcPr>
            <w:tcW w:type="dxa" w:w="5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Total protection delivered per dollar of annual cost</w:t>
            </w:r>
          </w:p>
        </w:tc>
      </w:tr>
      <w:tr>
        <w:tc>
          <w:tcPr>
            <w:tcW w:type="dxa" w:w="27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Cost-to-protection</w:t>
            </w:r>
          </w:p>
        </w:tc>
        <w:tc>
          <w:tcPr>
            <w:tcW w:type="dxa" w:w="11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8"/>
                <w:szCs w:val="18"/>
              </w:rPr>
              <w:t xml:space="preserve">16%</w:t>
            </w:r>
          </w:p>
        </w:tc>
        <w:tc>
          <w:tcPr>
            <w:tcW w:type="dxa" w:w="5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Efficiency — absence of overlap, gaps, and wasted premium</w:t>
            </w:r>
          </w:p>
        </w:tc>
      </w:tr>
      <w:tr>
        <w:tc>
          <w:tcPr>
            <w:tcW w:type="dxa" w:w="27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Catastrophic coverage</w:t>
            </w:r>
          </w:p>
        </w:tc>
        <w:tc>
          <w:tcPr>
            <w:tcW w:type="dxa" w:w="11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8"/>
                <w:szCs w:val="18"/>
              </w:rPr>
              <w:t xml:space="preserve">18%</w:t>
            </w:r>
          </w:p>
        </w:tc>
        <w:tc>
          <w:tcPr>
            <w:tcW w:type="dxa" w:w="5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How fully the largest, most ruinous risks are covered</w:t>
            </w:r>
          </w:p>
        </w:tc>
      </w:tr>
      <w:tr>
        <w:tc>
          <w:tcPr>
            <w:tcW w:type="dxa" w:w="27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Wealth &amp; liquidity</w:t>
            </w:r>
          </w:p>
        </w:tc>
        <w:tc>
          <w:tcPr>
            <w:tcW w:type="dxa" w:w="11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8"/>
                <w:szCs w:val="18"/>
              </w:rPr>
              <w:t xml:space="preserve">14%</w:t>
            </w:r>
          </w:p>
        </w:tc>
        <w:tc>
          <w:tcPr>
            <w:tcW w:type="dxa" w:w="5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Retirement compounding and access to capital</w:t>
            </w:r>
          </w:p>
        </w:tc>
      </w:tr>
      <w:tr>
        <w:tc>
          <w:tcPr>
            <w:tcW w:type="dxa" w:w="27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Business fit</w:t>
            </w:r>
          </w:p>
        </w:tc>
        <w:tc>
          <w:tcPr>
            <w:tcW w:type="dxa" w:w="11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8"/>
                <w:szCs w:val="18"/>
              </w:rPr>
              <w:t xml:space="preserve">12%</w:t>
            </w:r>
          </w:p>
        </w:tc>
        <w:tc>
          <w:tcPr>
            <w:tcW w:type="dxa" w:w="5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Coverage of commercial, cyber, and governance risk</w:t>
            </w:r>
          </w:p>
        </w:tc>
      </w:tr>
      <w:tr>
        <w:tc>
          <w:tcPr>
            <w:tcW w:type="dxa" w:w="27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Comprehensiveness</w:t>
            </w:r>
          </w:p>
        </w:tc>
        <w:tc>
          <w:tcPr>
            <w:tcW w:type="dxa" w:w="11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8"/>
                <w:szCs w:val="18"/>
              </w:rPr>
              <w:t xml:space="preserve">12%</w:t>
            </w:r>
          </w:p>
        </w:tc>
        <w:tc>
          <w:tcPr>
            <w:tcW w:type="dxa" w:w="5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Breadth across all major insurance categories</w:t>
            </w:r>
          </w:p>
        </w:tc>
      </w:tr>
      <w:tr>
        <w:tc>
          <w:tcPr>
            <w:tcW w:type="dxa" w:w="27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Scalability</w:t>
            </w:r>
          </w:p>
        </w:tc>
        <w:tc>
          <w:tcPr>
            <w:tcW w:type="dxa" w:w="11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8"/>
                <w:szCs w:val="18"/>
              </w:rPr>
              <w:t xml:space="preserve">8%</w:t>
            </w:r>
          </w:p>
        </w:tc>
        <w:tc>
          <w:tcPr>
            <w:tcW w:type="dxa" w:w="5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Ease of adding coverage as the household grows</w:t>
            </w:r>
          </w:p>
        </w:tc>
      </w:tr>
    </w:tbl>
    <w:p>
      <w:pPr>
        <w:spacing w:after="130" w:before="36"/>
      </w:pPr>
      <w:r>
        <w:rPr>
          <w:rFonts w:ascii="Calibri" w:cs="Calibri" w:eastAsia="Calibri" w:hAnsi="Calibri"/>
          <w:i/>
          <w:iCs/>
          <w:color w:val="555555"/>
          <w:sz w:val="16"/>
          <w:szCs w:val="16"/>
        </w:rPr>
        <w:t xml:space="preserve">Scores are a decision aid, not a grade. A low score often reflects a deliberately minimal stack carrying high residual risk, not poor construction.</w:t>
      </w:r>
    </w:p>
    <w:p>
      <w:r>
        <w:br w:type="page"/>
      </w:r>
    </w:p>
    <w:p>
      <w:pPr>
        <w:pStyle w:val="Heading1"/>
        <w:spacing w:after="160" w:before="320"/>
      </w:pPr>
      <w:r>
        <w:t xml:space="preserve">2  The Building Blocks: What Each Layer Costs</w:t>
      </w:r>
    </w:p>
    <w:p>
      <w:pPr>
        <w:pBdr>
          <w:bottom w:val="single" w:color="6B4F2A" w:sz="6" w:space="1"/>
        </w:pBdr>
        <w:spacing w:after="130"/>
      </w:pPr>
      <w:r>
        <w:rPr>
          <w:rFonts w:ascii="Calibri" w:cs="Calibri" w:eastAsia="Calibri" w:hAnsi="Calibri"/>
          <w:color w:val="1A1A1A"/>
          <w:sz w:val="21"/>
          <w:szCs w:val="21"/>
        </w:rPr>
        <w:t xml:space="preserve"/>
      </w:r>
    </w:p>
    <w:p>
      <w:pPr>
        <w:spacing w:after="130" w:line="288"/>
        <w:jc w:val="both"/>
      </w:pPr>
      <w:r>
        <w:rPr>
          <w:rFonts w:ascii="Calibri" w:cs="Calibri" w:eastAsia="Calibri" w:hAnsi="Calibri"/>
          <w:color w:val="1A1A1A"/>
          <w:sz w:val="21"/>
          <w:szCs w:val="21"/>
        </w:rPr>
        <w:t xml:space="preserve">Before assembling stacks, it helps to see the menu. The table below consolidates the representative annual cost of each protection and saving layer, drawn from the companion workbook. Ranges are national illustrations, not quotes; individual pricing varies with age, health, location, and risk. Retirement contributions are shown separately because they build wealth rather than transfer risk.</w:t>
      </w:r>
    </w:p>
    <w:p>
      <w:pPr>
        <w:spacing w:after="30"/>
      </w:pPr>
      <w:r>
        <w:rPr>
          <w:rFonts w:ascii="Calibri" w:cs="Calibri" w:eastAsia="Calibri" w:hAnsi="Calibri"/>
          <w:color w:val="1A1A1A"/>
          <w:sz w:val="21"/>
          <w:szCs w:val="21"/>
        </w:rPr>
        <w:t xml:space="preserve"/>
      </w:r>
    </w:p>
    <w:p>
      <w:pPr>
        <w:spacing w:after="60" w:before="60"/>
      </w:pPr>
      <w:r>
        <w:rPr>
          <w:rFonts w:ascii="Calibri" w:cs="Calibri" w:eastAsia="Calibri" w:hAnsi="Calibri"/>
          <w:b/>
          <w:bCs/>
          <w:color w:val="1F3A5F"/>
          <w:sz w:val="18"/>
          <w:szCs w:val="18"/>
        </w:rPr>
        <w:t xml:space="preserve">Table 2.1  Representative annual cost by layer (U.S.,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560"/>
        <w:gridCol w:w="2500"/>
      </w:tblGrid>
      <w:tr>
        <w:trPr>
          <w:tblHeader/>
        </w:trPr>
        <w:tc>
          <w:tcPr>
            <w:tcW w:type="dxa" w:w="43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Layer</w:t>
            </w:r>
          </w:p>
        </w:tc>
        <w:tc>
          <w:tcPr>
            <w:tcW w:type="dxa" w:w="25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Representative annual cost</w:t>
            </w:r>
          </w:p>
        </w:tc>
        <w:tc>
          <w:tcPr>
            <w:tcW w:type="dxa" w:w="25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Notes</w:t>
            </w:r>
          </w:p>
        </w:tc>
      </w:tr>
      <w:tr>
        <w:tc>
          <w:tcPr>
            <w:tcW w:type="dxa" w:w="4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Health — pooled/subsidized (reserve-component plan, self)</w:t>
            </w:r>
          </w:p>
        </w:tc>
        <w:tc>
          <w:tcPr>
            <w:tcW w:type="dxa" w:w="2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bCs/>
                <w:color w:val="1A1A1A"/>
                <w:sz w:val="17"/>
                <w:szCs w:val="17"/>
              </w:rPr>
              <w:t xml:space="preserve">$695</w:t>
            </w:r>
          </w:p>
        </w:tc>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$57.88/mo; family tier ≈ $3,440/yr</w:t>
            </w:r>
          </w:p>
        </w:tc>
      </w:tr>
      <w:tr>
        <w:tc>
          <w:tcPr>
            <w:tcW w:type="dxa" w:w="4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Health — individual market (subsidized net average)</w:t>
            </w:r>
          </w:p>
        </w:tc>
        <w:tc>
          <w:tcPr>
            <w:tcW w:type="dxa" w:w="2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$1,904</w:t>
            </w:r>
          </w:p>
        </w:tc>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Post-2025 subsidy change; varies by income</w:t>
            </w:r>
          </w:p>
        </w:tc>
      </w:tr>
      <w:tr>
        <w:tc>
          <w:tcPr>
            <w:tcW w:type="dxa" w:w="4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Life — group term $500k (where available)</w:t>
            </w:r>
          </w:p>
        </w:tc>
        <w:tc>
          <w:tcPr>
            <w:tcW w:type="dxa" w:w="2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bCs/>
                <w:color w:val="1A1A1A"/>
                <w:sz w:val="17"/>
                <w:szCs w:val="17"/>
              </w:rPr>
              <w:t xml:space="preserve">$312</w:t>
            </w:r>
          </w:p>
        </w:tc>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$26/mo, flat, no underwriting</w:t>
            </w:r>
          </w:p>
        </w:tc>
      </w:tr>
      <w:tr>
        <w:tc>
          <w:tcPr>
            <w:tcW w:type="dxa" w:w="4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Life — private term $500k / 20-yr (age ~30)</w:t>
            </w:r>
          </w:p>
        </w:tc>
        <w:tc>
          <w:tcPr>
            <w:tcW w:type="dxa" w:w="2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$360–$470</w:t>
            </w:r>
          </w:p>
        </w:tc>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Healthy nonsmoker</w:t>
            </w:r>
          </w:p>
        </w:tc>
      </w:tr>
      <w:tr>
        <w:tc>
          <w:tcPr>
            <w:tcW w:type="dxa" w:w="4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Disability — individual long-term, own-occupation</w:t>
            </w:r>
          </w:p>
        </w:tc>
        <w:tc>
          <w:tcPr>
            <w:tcW w:type="dxa" w:w="2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$1,200–$1,800</w:t>
            </w:r>
          </w:p>
        </w:tc>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≈1–3% of income; $5k/mo benefit</w:t>
            </w:r>
          </w:p>
        </w:tc>
      </w:tr>
      <w:tr>
        <w:tc>
          <w:tcPr>
            <w:tcW w:type="dxa" w:w="4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Renters insurance</w:t>
            </w:r>
          </w:p>
        </w:tc>
        <w:tc>
          <w:tcPr>
            <w:tcW w:type="dxa" w:w="2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$180–$240</w:t>
            </w:r>
          </w:p>
        </w:tc>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Property + liability</w:t>
            </w:r>
          </w:p>
        </w:tc>
      </w:tr>
      <w:tr>
        <w:tc>
          <w:tcPr>
            <w:tcW w:type="dxa" w:w="4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Auto — full coverage (representative)</w:t>
            </w:r>
          </w:p>
        </w:tc>
        <w:tc>
          <w:tcPr>
            <w:tcW w:type="dxa" w:w="2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$780–$1,400</w:t>
            </w:r>
          </w:p>
        </w:tc>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Largest variable; shop this</w:t>
            </w:r>
          </w:p>
        </w:tc>
      </w:tr>
      <w:tr>
        <w:tc>
          <w:tcPr>
            <w:tcW w:type="dxa" w:w="4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Umbrella — $1M excess liability</w:t>
            </w:r>
          </w:p>
        </w:tc>
        <w:tc>
          <w:tcPr>
            <w:tcW w:type="dxa" w:w="2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$383</w:t>
            </w:r>
          </w:p>
        </w:tc>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First $1M; +$75–100 per added $1M</w:t>
            </w:r>
          </w:p>
        </w:tc>
      </w:tr>
      <w:tr>
        <w:tc>
          <w:tcPr>
            <w:tcW w:type="dxa" w:w="4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Flood (where exposed)</w:t>
            </w:r>
          </w:p>
        </w:tc>
        <w:tc>
          <w:tcPr>
            <w:tcW w:type="dxa" w:w="2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Varies by zone</w:t>
            </w:r>
          </w:p>
        </w:tc>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Separate from homeowners; 30-day wait</w:t>
            </w:r>
          </w:p>
        </w:tc>
      </w:tr>
      <w:tr>
        <w:tc>
          <w:tcPr>
            <w:tcW w:type="dxa" w:w="4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Business — technology E&amp;O</w:t>
            </w:r>
          </w:p>
        </w:tc>
        <w:tc>
          <w:tcPr>
            <w:tcW w:type="dxa" w:w="2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$800–$1,320</w:t>
            </w:r>
          </w:p>
        </w:tc>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Often required to sign customers</w:t>
            </w:r>
          </w:p>
        </w:tc>
      </w:tr>
      <w:tr>
        <w:tc>
          <w:tcPr>
            <w:tcW w:type="dxa" w:w="4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Business — general liability</w:t>
            </w:r>
          </w:p>
        </w:tc>
        <w:tc>
          <w:tcPr>
            <w:tcW w:type="dxa" w:w="2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$363</w:t>
            </w:r>
          </w:p>
        </w:tc>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Cheap third-party baseline</w:t>
            </w:r>
          </w:p>
        </w:tc>
      </w:tr>
      <w:tr>
        <w:tc>
          <w:tcPr>
            <w:tcW w:type="dxa" w:w="4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Business — owner’s policy (GL + property)</w:t>
            </w:r>
          </w:p>
        </w:tc>
        <w:tc>
          <w:tcPr>
            <w:tcW w:type="dxa" w:w="2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$550</w:t>
            </w:r>
          </w:p>
        </w:tc>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Bundle</w:t>
            </w:r>
          </w:p>
        </w:tc>
      </w:tr>
      <w:tr>
        <w:tc>
          <w:tcPr>
            <w:tcW w:type="dxa" w:w="4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Business — cyber &amp; D&amp;O</w:t>
            </w:r>
          </w:p>
        </w:tc>
        <w:tc>
          <w:tcPr>
            <w:tcW w:type="dxa" w:w="2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Bundled / at raise</w:t>
            </w:r>
          </w:p>
        </w:tc>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Program total $1,500–$5,000/yr</w:t>
            </w:r>
          </w:p>
        </w:tc>
      </w:tr>
      <w:tr>
        <w:tc>
          <w:tcPr>
            <w:tcW w:type="dxa" w:w="4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Landlord (per rental property)</w:t>
            </w:r>
          </w:p>
        </w:tc>
        <w:tc>
          <w:tcPr>
            <w:tcW w:type="dxa" w:w="2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≈15–25% over homeowners</w:t>
            </w:r>
          </w:p>
        </w:tc>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Building + liability + loss of rents</w:t>
            </w:r>
          </w:p>
        </w:tc>
      </w:tr>
    </w:tbl>
    <w:p>
      <w:pPr>
        <w:spacing w:after="130" w:before="36"/>
      </w:pPr>
      <w:r>
        <w:rPr>
          <w:rFonts w:ascii="Calibri" w:cs="Calibri" w:eastAsia="Calibri" w:hAnsi="Calibri"/>
          <w:i/>
          <w:iCs/>
          <w:color w:val="555555"/>
          <w:sz w:val="16"/>
          <w:szCs w:val="16"/>
        </w:rPr>
        <w:t xml:space="preserve">Source: companion workbook, tabs 1–3 and 8 (Defense Health Agency 2026; VA 2025; Insureon/TechInsurance; III/NAIC; industry). Retirement accounts appear in Part 4.</w:t>
      </w:r>
    </w:p>
    <w:p>
      <w:r>
        <w:br w:type="page"/>
      </w:r>
    </w:p>
    <w:p>
      <w:pPr>
        <w:pStyle w:val="Heading1"/>
        <w:spacing w:after="160" w:before="320"/>
      </w:pPr>
      <w:r>
        <w:t xml:space="preserve">3  The Illustrative Stacks</w:t>
      </w:r>
    </w:p>
    <w:p>
      <w:pPr>
        <w:pBdr>
          <w:bottom w:val="single" w:color="6B4F2A" w:sz="6" w:space="1"/>
        </w:pBdr>
        <w:spacing w:after="130"/>
      </w:pPr>
      <w:r>
        <w:rPr>
          <w:rFonts w:ascii="Calibri" w:cs="Calibri" w:eastAsia="Calibri" w:hAnsi="Calibri"/>
          <w:color w:val="1A1A1A"/>
          <w:sz w:val="21"/>
          <w:szCs w:val="21"/>
        </w:rPr>
        <w:t xml:space="preserve"/>
      </w:r>
    </w:p>
    <w:p>
      <w:pPr>
        <w:spacing w:after="130" w:line="288"/>
        <w:jc w:val="both"/>
      </w:pPr>
      <w:r>
        <w:rPr>
          <w:rFonts w:ascii="Calibri" w:cs="Calibri" w:eastAsia="Calibri" w:hAnsi="Calibri"/>
          <w:color w:val="1A1A1A"/>
          <w:sz w:val="21"/>
          <w:szCs w:val="21"/>
        </w:rPr>
        <w:t xml:space="preserve">The stacks below run from the bare legal minimum to a fully pooled, comprehensive configuration. Each lists its layers, an approximate annual cost built from the building-block figures, and its scores. Annual totals exclude retirement contributions (which build wealth) and one-time costs (such as title insurance), and they use the mid-point of each layer’s range; real figures vary. The stacks are illustrative archetypes, not recommendations for any individual.</w:t>
      </w:r>
    </w:p>
    <w:p>
      <w:pPr>
        <w:spacing w:after="30"/>
      </w:pPr>
      <w:r>
        <w:rPr>
          <w:rFonts w:ascii="Calibri" w:cs="Calibri" w:eastAsia="Calibri" w:hAnsi="Calibri"/>
          <w:color w:val="1A1A1A"/>
          <w:sz w:val="21"/>
          <w:szCs w:val="21"/>
        </w:rPr>
        <w:t xml:space="preserve"/>
      </w:r>
    </w:p>
    <w:p>
      <w:pPr>
        <w:pStyle w:val="Heading2"/>
        <w:spacing w:after="120" w:before="240"/>
      </w:pPr>
      <w:r>
        <w:t xml:space="preserve">3.1  Stack A — The Legal-Floor Baseline</w:t>
      </w:r>
    </w:p>
    <w:p>
      <w:pPr>
        <w:spacing w:after="130" w:line="288"/>
        <w:jc w:val="both"/>
      </w:pPr>
      <w:r>
        <w:rPr>
          <w:rFonts w:ascii="Calibri" w:cs="Calibri" w:eastAsia="Calibri" w:hAnsi="Calibri"/>
          <w:color w:val="1A1A1A"/>
          <w:sz w:val="21"/>
          <w:szCs w:val="21"/>
        </w:rPr>
        <w:t xml:space="preserve">The bare minimum required to drive and rent, included as the baseline against which every other stack is measured. It satisfies legal and landlord requirements and captures any free group life benefit, but it deliberately leaves large exposures — health, disability, liability beyond auto limits, and all business risk — uncovered. Its low score reflects high residual risk, not poor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rPr>
          <w:tblHeader/>
        </w:trPr>
        <w:tc>
          <w:tcPr>
            <w:tcW w:type="dxa" w:w="25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Layer</w:t>
            </w:r>
          </w:p>
        </w:tc>
        <w:tc>
          <w:tcPr>
            <w:tcW w:type="dxa" w:w="45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Choice in this stack</w:t>
            </w:r>
          </w:p>
        </w:tc>
        <w:tc>
          <w:tcPr>
            <w:tcW w:type="dxa" w:w="23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Approx. annual</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Auto</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State-minimum liability only</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$600–$900</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Renters</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Basic policy (often landlord-required)</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$180–$240</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Health</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Catastrophic / high-deductible only</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varies</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Life</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Group term only if available (else none)</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$0–$312</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Everything else</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Uncovered</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w:t>
            </w:r>
          </w:p>
        </w:tc>
      </w:tr>
    </w:tbl>
    <w:p>
      <w:pPr>
        <w:spacing w:after="20"/>
      </w:pPr>
      <w:r>
        <w:rPr>
          <w:rFonts w:ascii="Calibri" w:cs="Calibri" w:eastAsia="Calibri" w:hAnsi="Calibri"/>
          <w:color w:val="1A1A1A"/>
          <w:sz w:val="21"/>
          <w:szCs w:val="21"/>
        </w:rPr>
        <w:t xml:space="preserve"/>
      </w:r>
    </w:p>
    <w:p>
      <w:pPr>
        <w:spacing w:after="130" w:line="288"/>
        <w:jc w:val="both"/>
      </w:pPr>
      <w:r>
        <w:rPr>
          <w:rFonts w:ascii="Calibri" w:cs="Calibri" w:eastAsia="Calibri" w:hAnsi="Calibri"/>
          <w:b/>
          <w:bCs/>
          <w:color w:val="1A1A1A"/>
          <w:sz w:val="21"/>
          <w:szCs w:val="21"/>
        </w:rPr>
        <w:t xml:space="preserve">Approximate annual cost: </w:t>
      </w:r>
      <w:r>
        <w:rPr>
          <w:rFonts w:ascii="Calibri" w:cs="Calibri" w:eastAsia="Calibri" w:hAnsi="Calibri"/>
          <w:color w:val="1A1A1A"/>
          <w:sz w:val="21"/>
          <w:szCs w:val="21"/>
        </w:rPr>
        <w:t xml:space="preserve">$800–$1,500 plus health. </w:t>
      </w:r>
      <w:r>
        <w:rPr>
          <w:rFonts w:ascii="Calibri" w:cs="Calibri" w:eastAsia="Calibri" w:hAnsi="Calibri"/>
          <w:b/>
          <w:bCs/>
          <w:color w:val="9C4A2F"/>
          <w:sz w:val="21"/>
          <w:szCs w:val="21"/>
        </w:rPr>
        <w:t xml:space="preserve">Residual risk: very high.</w:t>
      </w:r>
    </w:p>
    <w:p>
      <w:pPr>
        <w:spacing w:after="20"/>
      </w:pPr>
      <w:r>
        <w:rPr>
          <w:rFonts w:ascii="Calibri" w:cs="Calibri" w:eastAsia="Calibri" w:hAnsi="Calibri"/>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Dimension</w:t>
            </w:r>
          </w:p>
        </w:tc>
        <w:tc>
          <w:tcPr>
            <w:tcW w:type="dxa" w:w="24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Score</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Overall value</w:t>
            </w:r>
          </w:p>
        </w:tc>
        <w:tc>
          <w:tcPr>
            <w:tcW w:type="dxa" w:w="2400"/>
            <w:tcBorders>
              <w:top w:val="single" w:color="C4CFD9" w:sz="1"/>
              <w:left w:val="single" w:color="C4CFD9" w:sz="1"/>
              <w:bottom w:val="single" w:color="C4CFD9" w:sz="1"/>
              <w:right w:val="single" w:color="C4CFD9" w:sz="1"/>
            </w:tcBorders>
            <w:shd w:fill="F2F2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6.8</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Cost-to-protection</w:t>
            </w:r>
          </w:p>
        </w:tc>
        <w:tc>
          <w:tcPr>
            <w:tcW w:type="dxa" w:w="2400"/>
            <w:tcBorders>
              <w:top w:val="single" w:color="C4CFD9" w:sz="1"/>
              <w:left w:val="single" w:color="C4CFD9" w:sz="1"/>
              <w:bottom w:val="single" w:color="C4CFD9" w:sz="1"/>
              <w:right w:val="single" w:color="C4CFD9" w:sz="1"/>
            </w:tcBorders>
            <w:shd w:fill="E9EEF4"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7.4</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Catastrophic coverage</w:t>
            </w:r>
          </w:p>
        </w:tc>
        <w:tc>
          <w:tcPr>
            <w:tcW w:type="dxa" w:w="2400"/>
            <w:tcBorders>
              <w:top w:val="single" w:color="C4CFD9" w:sz="1"/>
              <w:left w:val="single" w:color="C4CFD9" w:sz="1"/>
              <w:bottom w:val="single" w:color="C4CFD9" w:sz="1"/>
              <w:right w:val="single" w:color="C4CFD9" w:sz="1"/>
            </w:tcBorders>
            <w:shd w:fill="F2F2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4.5</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Wealth &amp; liquidity</w:t>
            </w:r>
          </w:p>
        </w:tc>
        <w:tc>
          <w:tcPr>
            <w:tcW w:type="dxa" w:w="2400"/>
            <w:tcBorders>
              <w:top w:val="single" w:color="C4CFD9" w:sz="1"/>
              <w:left w:val="single" w:color="C4CFD9" w:sz="1"/>
              <w:bottom w:val="single" w:color="C4CFD9" w:sz="1"/>
              <w:right w:val="single" w:color="C4CFD9" w:sz="1"/>
            </w:tcBorders>
            <w:shd w:fill="F2F2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6</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Business fit</w:t>
            </w:r>
          </w:p>
        </w:tc>
        <w:tc>
          <w:tcPr>
            <w:tcW w:type="dxa" w:w="2400"/>
            <w:tcBorders>
              <w:top w:val="single" w:color="C4CFD9" w:sz="1"/>
              <w:left w:val="single" w:color="C4CFD9" w:sz="1"/>
              <w:bottom w:val="single" w:color="C4CFD9" w:sz="1"/>
              <w:right w:val="single" w:color="C4CFD9" w:sz="1"/>
            </w:tcBorders>
            <w:shd w:fill="F2F2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3</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Comprehensiveness</w:t>
            </w:r>
          </w:p>
        </w:tc>
        <w:tc>
          <w:tcPr>
            <w:tcW w:type="dxa" w:w="2400"/>
            <w:tcBorders>
              <w:top w:val="single" w:color="C4CFD9" w:sz="1"/>
              <w:left w:val="single" w:color="C4CFD9" w:sz="1"/>
              <w:bottom w:val="single" w:color="C4CFD9" w:sz="1"/>
              <w:right w:val="single" w:color="C4CFD9" w:sz="1"/>
            </w:tcBorders>
            <w:shd w:fill="F2F2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4</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Scalability</w:t>
            </w:r>
          </w:p>
        </w:tc>
        <w:tc>
          <w:tcPr>
            <w:tcW w:type="dxa" w:w="2400"/>
            <w:tcBorders>
              <w:top w:val="single" w:color="C4CFD9" w:sz="1"/>
              <w:left w:val="single" w:color="C4CFD9" w:sz="1"/>
              <w:bottom w:val="single" w:color="C4CFD9" w:sz="1"/>
              <w:right w:val="single" w:color="C4CFD9" w:sz="1"/>
            </w:tcBorders>
            <w:shd w:fill="F2F2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6</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Weighted total</w:t>
            </w:r>
          </w:p>
        </w:tc>
        <w:tc>
          <w:tcPr>
            <w:tcW w:type="dxa" w:w="2400"/>
            <w:tcBorders>
              <w:top w:val="single" w:color="C4CFD9" w:sz="1"/>
              <w:left w:val="single" w:color="C4CFD9" w:sz="1"/>
              <w:bottom w:val="single" w:color="C4CFD9" w:sz="1"/>
              <w:right w:val="single" w:color="C4CFD9" w:sz="1"/>
            </w:tcBorders>
            <w:shd w:fill="F2F2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5.6</w:t>
            </w:r>
          </w:p>
        </w:tc>
      </w:tr>
    </w:tbl>
    <w:p>
      <w:r>
        <w:br w:type="page"/>
      </w:r>
    </w:p>
    <w:p>
      <w:pPr>
        <w:pStyle w:val="Heading2"/>
        <w:spacing w:after="120" w:before="240"/>
      </w:pPr>
      <w:r>
        <w:t xml:space="preserve">3.2  Stack B — The Lean Essentials</w:t>
      </w:r>
    </w:p>
    <w:p>
      <w:pPr>
        <w:spacing w:after="130" w:line="288"/>
        <w:jc w:val="both"/>
      </w:pPr>
      <w:r>
        <w:rPr>
          <w:rFonts w:ascii="Calibri" w:cs="Calibri" w:eastAsia="Calibri" w:hAnsi="Calibri"/>
          <w:color w:val="1A1A1A"/>
          <w:sz w:val="21"/>
          <w:szCs w:val="21"/>
        </w:rPr>
        <w:t xml:space="preserve">The lowest-cost configuration that still covers the catastrophic risks a young single household actually faces. It adds real health coverage and the cheap, high-leverage protections — renters liability and, where dependents or co-signed debt exist, a small term policy — while keeping everything else minimal. This is the sensible floor for most households without significant assets or a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rPr>
          <w:tblHeader/>
        </w:trPr>
        <w:tc>
          <w:tcPr>
            <w:tcW w:type="dxa" w:w="25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Layer</w:t>
            </w:r>
          </w:p>
        </w:tc>
        <w:tc>
          <w:tcPr>
            <w:tcW w:type="dxa" w:w="45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Choice in this stack</w:t>
            </w:r>
          </w:p>
        </w:tc>
        <w:tc>
          <w:tcPr>
            <w:tcW w:type="dxa" w:w="23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Approx. annual</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Health</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Individual-market or pooled plan</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$695–$1,904</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Life</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Group term $500k, or small private term</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$312–$470</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Auto + Renters</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Full-coverage auto + renters, bundled</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$960–$1,640</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Retirement</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Roth IRA funded to the match/limit</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(wealth)</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Disability</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Deferred until income stabilizes</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Business</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None</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w:t>
            </w:r>
          </w:p>
        </w:tc>
      </w:tr>
    </w:tbl>
    <w:p>
      <w:pPr>
        <w:spacing w:after="20"/>
      </w:pPr>
      <w:r>
        <w:rPr>
          <w:rFonts w:ascii="Calibri" w:cs="Calibri" w:eastAsia="Calibri" w:hAnsi="Calibri"/>
          <w:color w:val="1A1A1A"/>
          <w:sz w:val="21"/>
          <w:szCs w:val="21"/>
        </w:rPr>
        <w:t xml:space="preserve"/>
      </w:r>
    </w:p>
    <w:p>
      <w:pPr>
        <w:spacing w:after="130" w:line="288"/>
        <w:jc w:val="both"/>
      </w:pPr>
      <w:r>
        <w:rPr>
          <w:rFonts w:ascii="Calibri" w:cs="Calibri" w:eastAsia="Calibri" w:hAnsi="Calibri"/>
          <w:b/>
          <w:bCs/>
          <w:color w:val="1A1A1A"/>
          <w:sz w:val="21"/>
          <w:szCs w:val="21"/>
        </w:rPr>
        <w:t xml:space="preserve">Approximate annual cost: </w:t>
      </w:r>
      <w:r>
        <w:rPr>
          <w:rFonts w:ascii="Calibri" w:cs="Calibri" w:eastAsia="Calibri" w:hAnsi="Calibri"/>
          <w:color w:val="1A1A1A"/>
          <w:sz w:val="21"/>
          <w:szCs w:val="21"/>
        </w:rPr>
        <w:t xml:space="preserve">$2,000–$4,000. </w:t>
      </w:r>
      <w:r>
        <w:rPr>
          <w:rFonts w:ascii="Calibri" w:cs="Calibri" w:eastAsia="Calibri" w:hAnsi="Calibri"/>
          <w:b/>
          <w:bCs/>
          <w:color w:val="8A6D1F"/>
          <w:sz w:val="21"/>
          <w:szCs w:val="21"/>
        </w:rPr>
        <w:t xml:space="preserve">Residual risk: moderate (disability and liability gaps).</w:t>
      </w:r>
    </w:p>
    <w:p>
      <w:pPr>
        <w:spacing w:after="20"/>
      </w:pPr>
      <w:r>
        <w:rPr>
          <w:rFonts w:ascii="Calibri" w:cs="Calibri" w:eastAsia="Calibri" w:hAnsi="Calibri"/>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Dimension</w:t>
            </w:r>
          </w:p>
        </w:tc>
        <w:tc>
          <w:tcPr>
            <w:tcW w:type="dxa" w:w="24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Score</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Overall value</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8.6</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Cost-to-protection</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8.9</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Catastrophic coverage</w:t>
            </w:r>
          </w:p>
        </w:tc>
        <w:tc>
          <w:tcPr>
            <w:tcW w:type="dxa" w:w="2400"/>
            <w:tcBorders>
              <w:top w:val="single" w:color="C4CFD9" w:sz="1"/>
              <w:left w:val="single" w:color="C4CFD9" w:sz="1"/>
              <w:bottom w:val="single" w:color="C4CFD9" w:sz="1"/>
              <w:right w:val="single" w:color="C4CFD9" w:sz="1"/>
            </w:tcBorders>
            <w:shd w:fill="E9EEF4"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7.5</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Wealth &amp; liquidity</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8.2</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Business fit</w:t>
            </w:r>
          </w:p>
        </w:tc>
        <w:tc>
          <w:tcPr>
            <w:tcW w:type="dxa" w:w="2400"/>
            <w:tcBorders>
              <w:top w:val="single" w:color="C4CFD9" w:sz="1"/>
              <w:left w:val="single" w:color="C4CFD9" w:sz="1"/>
              <w:bottom w:val="single" w:color="C4CFD9" w:sz="1"/>
              <w:right w:val="single" w:color="C4CFD9" w:sz="1"/>
            </w:tcBorders>
            <w:shd w:fill="F2F2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5</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Comprehensiveness</w:t>
            </w:r>
          </w:p>
        </w:tc>
        <w:tc>
          <w:tcPr>
            <w:tcW w:type="dxa" w:w="2400"/>
            <w:tcBorders>
              <w:top w:val="single" w:color="C4CFD9" w:sz="1"/>
              <w:left w:val="single" w:color="C4CFD9" w:sz="1"/>
              <w:bottom w:val="single" w:color="C4CFD9" w:sz="1"/>
              <w:right w:val="single" w:color="C4CFD9" w:sz="1"/>
            </w:tcBorders>
            <w:shd w:fill="E9EEF4"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7</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Scalability</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Weighted total</w:t>
            </w:r>
          </w:p>
        </w:tc>
        <w:tc>
          <w:tcPr>
            <w:tcW w:type="dxa" w:w="2400"/>
            <w:tcBorders>
              <w:top w:val="single" w:color="C4CFD9" w:sz="1"/>
              <w:left w:val="single" w:color="C4CFD9" w:sz="1"/>
              <w:bottom w:val="single" w:color="C4CFD9" w:sz="1"/>
              <w:right w:val="single" w:color="C4CFD9" w:sz="1"/>
            </w:tcBorders>
            <w:shd w:fill="E9EEF4"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7.9</w:t>
            </w:r>
          </w:p>
        </w:tc>
      </w:tr>
    </w:tbl>
    <w:p>
      <w:r>
        <w:br w:type="page"/>
      </w:r>
    </w:p>
    <w:p>
      <w:pPr>
        <w:pStyle w:val="Heading2"/>
        <w:spacing w:after="120" w:before="240"/>
      </w:pPr>
      <w:r>
        <w:t xml:space="preserve">3.3  Stack C — The Comprehensive Household</w:t>
      </w:r>
    </w:p>
    <w:p>
      <w:pPr>
        <w:spacing w:after="130" w:line="288"/>
        <w:jc w:val="both"/>
      </w:pPr>
      <w:r>
        <w:rPr>
          <w:rFonts w:ascii="Calibri" w:cs="Calibri" w:eastAsia="Calibri" w:hAnsi="Calibri"/>
          <w:color w:val="1A1A1A"/>
          <w:sz w:val="21"/>
          <w:szCs w:val="21"/>
        </w:rPr>
        <w:t xml:space="preserve">The full personal-lines configuration for a household with income and assets worth protecting. It closes the disability and liability gaps that the lean stack leaves open, adds an umbrella once assets exceed underlying limits, and funds retirement systematically. This is the target architecture for most established households without a business or rental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rPr>
          <w:tblHeader/>
        </w:trPr>
        <w:tc>
          <w:tcPr>
            <w:tcW w:type="dxa" w:w="25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Layer</w:t>
            </w:r>
          </w:p>
        </w:tc>
        <w:tc>
          <w:tcPr>
            <w:tcW w:type="dxa" w:w="45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Choice in this stack</w:t>
            </w:r>
          </w:p>
        </w:tc>
        <w:tc>
          <w:tcPr>
            <w:tcW w:type="dxa" w:w="23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Approx. annual</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Health</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Comprehensive plan (pooled if available)</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$695–$1,904</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Life</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Term sized to income replacement (if dependents)</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$360–$470</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Disability</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Individual long-term, own-occupation</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$1,200–$1,800</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Auto + Home/Renters</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Full coverage, bundled</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$1,200–$2,200</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Umbrella</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$1M excess liability</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$383</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Retirement</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Match → Roth IRA → index funds</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(wealth)</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Business</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None</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w:t>
            </w:r>
          </w:p>
        </w:tc>
      </w:tr>
    </w:tbl>
    <w:p>
      <w:pPr>
        <w:spacing w:after="20"/>
      </w:pPr>
      <w:r>
        <w:rPr>
          <w:rFonts w:ascii="Calibri" w:cs="Calibri" w:eastAsia="Calibri" w:hAnsi="Calibri"/>
          <w:color w:val="1A1A1A"/>
          <w:sz w:val="21"/>
          <w:szCs w:val="21"/>
        </w:rPr>
        <w:t xml:space="preserve"/>
      </w:r>
    </w:p>
    <w:p>
      <w:pPr>
        <w:spacing w:after="130" w:line="288"/>
        <w:jc w:val="both"/>
      </w:pPr>
      <w:r>
        <w:rPr>
          <w:rFonts w:ascii="Calibri" w:cs="Calibri" w:eastAsia="Calibri" w:hAnsi="Calibri"/>
          <w:b/>
          <w:bCs/>
          <w:color w:val="1A1A1A"/>
          <w:sz w:val="21"/>
          <w:szCs w:val="21"/>
        </w:rPr>
        <w:t xml:space="preserve">Approximate annual cost: </w:t>
      </w:r>
      <w:r>
        <w:rPr>
          <w:rFonts w:ascii="Calibri" w:cs="Calibri" w:eastAsia="Calibri" w:hAnsi="Calibri"/>
          <w:color w:val="1A1A1A"/>
          <w:sz w:val="21"/>
          <w:szCs w:val="21"/>
        </w:rPr>
        <w:t xml:space="preserve">$4,000–$7,000. </w:t>
      </w:r>
      <w:r>
        <w:rPr>
          <w:rFonts w:ascii="Calibri" w:cs="Calibri" w:eastAsia="Calibri" w:hAnsi="Calibri"/>
          <w:b/>
          <w:bCs/>
          <w:color w:val="3E6B34"/>
          <w:sz w:val="21"/>
          <w:szCs w:val="21"/>
        </w:rPr>
        <w:t xml:space="preserve">Residual risk: low.</w:t>
      </w:r>
    </w:p>
    <w:p>
      <w:pPr>
        <w:spacing w:after="20"/>
      </w:pPr>
      <w:r>
        <w:rPr>
          <w:rFonts w:ascii="Calibri" w:cs="Calibri" w:eastAsia="Calibri" w:hAnsi="Calibri"/>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Dimension</w:t>
            </w:r>
          </w:p>
        </w:tc>
        <w:tc>
          <w:tcPr>
            <w:tcW w:type="dxa" w:w="24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Score</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Overall value</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8.7</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Cost-to-protection</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8.4</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Catastrophic coverage</w:t>
            </w:r>
          </w:p>
        </w:tc>
        <w:tc>
          <w:tcPr>
            <w:tcW w:type="dxa" w:w="24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9.2</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Wealth &amp; liquidity</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8.8</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Business fit</w:t>
            </w:r>
          </w:p>
        </w:tc>
        <w:tc>
          <w:tcPr>
            <w:tcW w:type="dxa" w:w="2400"/>
            <w:tcBorders>
              <w:top w:val="single" w:color="C4CFD9" w:sz="1"/>
              <w:left w:val="single" w:color="C4CFD9" w:sz="1"/>
              <w:bottom w:val="single" w:color="C4CFD9" w:sz="1"/>
              <w:right w:val="single" w:color="C4CFD9" w:sz="1"/>
            </w:tcBorders>
            <w:shd w:fill="F2F2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5.5</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Comprehensiveness</w:t>
            </w:r>
          </w:p>
        </w:tc>
        <w:tc>
          <w:tcPr>
            <w:tcW w:type="dxa" w:w="24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9.2</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Scalability</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8.9</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Weighted total</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8.6</w:t>
            </w:r>
          </w:p>
        </w:tc>
      </w:tr>
    </w:tbl>
    <w:p>
      <w:r>
        <w:br w:type="page"/>
      </w:r>
    </w:p>
    <w:p>
      <w:pPr>
        <w:pStyle w:val="Heading2"/>
        <w:spacing w:after="120" w:before="240"/>
      </w:pPr>
      <w:r>
        <w:t xml:space="preserve">3.4  Stack D — The Founder’s Program</w:t>
      </w:r>
    </w:p>
    <w:p>
      <w:pPr>
        <w:spacing w:after="130" w:line="288"/>
        <w:jc w:val="both"/>
      </w:pPr>
      <w:r>
        <w:rPr>
          <w:rFonts w:ascii="Calibri" w:cs="Calibri" w:eastAsia="Calibri" w:hAnsi="Calibri"/>
          <w:color w:val="1A1A1A"/>
          <w:sz w:val="21"/>
          <w:szCs w:val="21"/>
        </w:rPr>
        <w:t xml:space="preserve">The comprehensive household stack extended with the commercial coverages a technology venture requires. Professional-liability and cyber coverage come first — the former often a precondition of signing enterprise customers, the latter justified by an average data-breach cost approaching five million dollars — with governance and statutory coverages attaching as the firm raises capital and hires. Self-employed retirement vehicles let business profit be sheltered before it is taxed.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rPr>
          <w:tblHeader/>
        </w:trPr>
        <w:tc>
          <w:tcPr>
            <w:tcW w:type="dxa" w:w="25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Layer</w:t>
            </w:r>
          </w:p>
        </w:tc>
        <w:tc>
          <w:tcPr>
            <w:tcW w:type="dxa" w:w="45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Choice in this stack</w:t>
            </w:r>
          </w:p>
        </w:tc>
        <w:tc>
          <w:tcPr>
            <w:tcW w:type="dxa" w:w="23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Approx. annual</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Personal core</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Comprehensive household stack (Stack C)</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$4,000–$7,000</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Technology E&amp;O</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Professional liability, $1M limits</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$800–$1,320</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Cyber</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Breach response &amp; liability</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(bundled)</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General liability / BOP</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Third-party &amp; property baseline</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$363–$550</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D&amp;O</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Added before a funding round</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at raise</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Retirement</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Solo 401(k)/SEP on business profit</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(wealth)</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Credit</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Business card, separate from personal</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(see Part 6)</w:t>
            </w:r>
          </w:p>
        </w:tc>
      </w:tr>
    </w:tbl>
    <w:p>
      <w:pPr>
        <w:spacing w:after="20"/>
      </w:pPr>
      <w:r>
        <w:rPr>
          <w:rFonts w:ascii="Calibri" w:cs="Calibri" w:eastAsia="Calibri" w:hAnsi="Calibri"/>
          <w:color w:val="1A1A1A"/>
          <w:sz w:val="21"/>
          <w:szCs w:val="21"/>
        </w:rPr>
        <w:t xml:space="preserve"/>
      </w:r>
    </w:p>
    <w:p>
      <w:pPr>
        <w:spacing w:after="130" w:line="288"/>
        <w:jc w:val="both"/>
      </w:pPr>
      <w:r>
        <w:rPr>
          <w:rFonts w:ascii="Calibri" w:cs="Calibri" w:eastAsia="Calibri" w:hAnsi="Calibri"/>
          <w:b/>
          <w:bCs/>
          <w:color w:val="1A1A1A"/>
          <w:sz w:val="21"/>
          <w:szCs w:val="21"/>
        </w:rPr>
        <w:t xml:space="preserve">Approximate annual cost: </w:t>
      </w:r>
      <w:r>
        <w:rPr>
          <w:rFonts w:ascii="Calibri" w:cs="Calibri" w:eastAsia="Calibri" w:hAnsi="Calibri"/>
          <w:color w:val="1A1A1A"/>
          <w:sz w:val="21"/>
          <w:szCs w:val="21"/>
        </w:rPr>
        <w:t xml:space="preserve">$6,000–$12,000 all-in (personal + business program $1,500–$5,000). </w:t>
      </w:r>
      <w:r>
        <w:rPr>
          <w:rFonts w:ascii="Calibri" w:cs="Calibri" w:eastAsia="Calibri" w:hAnsi="Calibri"/>
          <w:b/>
          <w:bCs/>
          <w:color w:val="3E6B34"/>
          <w:sz w:val="21"/>
          <w:szCs w:val="21"/>
        </w:rPr>
        <w:t xml:space="preserve">Residual risk: low.</w:t>
      </w:r>
    </w:p>
    <w:p>
      <w:pPr>
        <w:spacing w:after="20"/>
      </w:pPr>
      <w:r>
        <w:rPr>
          <w:rFonts w:ascii="Calibri" w:cs="Calibri" w:eastAsia="Calibri" w:hAnsi="Calibri"/>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Dimension</w:t>
            </w:r>
          </w:p>
        </w:tc>
        <w:tc>
          <w:tcPr>
            <w:tcW w:type="dxa" w:w="24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Score</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Overall value</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8.6</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Cost-to-protection</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8.3</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Catastrophic coverage</w:t>
            </w:r>
          </w:p>
        </w:tc>
        <w:tc>
          <w:tcPr>
            <w:tcW w:type="dxa" w:w="24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9</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Wealth &amp; liquidity</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8.9</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Business fit</w:t>
            </w:r>
          </w:p>
        </w:tc>
        <w:tc>
          <w:tcPr>
            <w:tcW w:type="dxa" w:w="24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9.8</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Comprehensiveness</w:t>
            </w:r>
          </w:p>
        </w:tc>
        <w:tc>
          <w:tcPr>
            <w:tcW w:type="dxa" w:w="24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9.3</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Scalability</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8.8</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Weighted total</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8.9</w:t>
            </w:r>
          </w:p>
        </w:tc>
      </w:tr>
    </w:tbl>
    <w:p>
      <w:r>
        <w:br w:type="page"/>
      </w:r>
    </w:p>
    <w:p>
      <w:pPr>
        <w:pStyle w:val="Heading2"/>
        <w:spacing w:after="120" w:before="240"/>
      </w:pPr>
      <w:r>
        <w:t xml:space="preserve">3.5  Stack E — The Property-Investor Overlay</w:t>
      </w:r>
    </w:p>
    <w:p>
      <w:pPr>
        <w:spacing w:after="130" w:line="288"/>
        <w:jc w:val="both"/>
      </w:pPr>
      <w:r>
        <w:rPr>
          <w:rFonts w:ascii="Calibri" w:cs="Calibri" w:eastAsia="Calibri" w:hAnsi="Calibri"/>
          <w:color w:val="1A1A1A"/>
          <w:sz w:val="21"/>
          <w:szCs w:val="21"/>
        </w:rPr>
        <w:t xml:space="preserve">A module that bolts onto any personal stack when a household begins to hold rental property. A rental is not covered by a homeowners policy; each property needs a landlord (dwelling) policy covering the building, liability for tenant injuries, and lost rents, and each purchase warrants title insurance and a flood-zone check. Umbrella coverage is layered up across the portfolio, since tenant and premises liability can exceed a landlord policy’s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rPr>
          <w:tblHeader/>
        </w:trPr>
        <w:tc>
          <w:tcPr>
            <w:tcW w:type="dxa" w:w="25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Layer</w:t>
            </w:r>
          </w:p>
        </w:tc>
        <w:tc>
          <w:tcPr>
            <w:tcW w:type="dxa" w:w="45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Choice in this stack</w:t>
            </w:r>
          </w:p>
        </w:tc>
        <w:tc>
          <w:tcPr>
            <w:tcW w:type="dxa" w:w="23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Approx. annual</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Base</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Any personal stack (B or C)</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see above</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Landlord policy (per property)</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Building + liability + loss of rents</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+15–25% vs. homeowners</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Title insurance (per purchase)</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Owner’s policy at closing</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one-time</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Flood (where exposed)</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NFIP or private; check the map first</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varies by zone</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Umbrella</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Raised to $2M–$5M across the portfolio</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$474–$800+</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Financing</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Owner-occupied loan preserves conventional capacity</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(see Part 6)</w:t>
            </w:r>
          </w:p>
        </w:tc>
      </w:tr>
    </w:tbl>
    <w:p>
      <w:pPr>
        <w:spacing w:after="20"/>
      </w:pPr>
      <w:r>
        <w:rPr>
          <w:rFonts w:ascii="Calibri" w:cs="Calibri" w:eastAsia="Calibri" w:hAnsi="Calibri"/>
          <w:color w:val="1A1A1A"/>
          <w:sz w:val="21"/>
          <w:szCs w:val="21"/>
        </w:rPr>
        <w:t xml:space="preserve"/>
      </w:r>
    </w:p>
    <w:p>
      <w:pPr>
        <w:spacing w:after="130" w:line="288"/>
        <w:jc w:val="both"/>
      </w:pPr>
      <w:r>
        <w:rPr>
          <w:rFonts w:ascii="Calibri" w:cs="Calibri" w:eastAsia="Calibri" w:hAnsi="Calibri"/>
          <w:b/>
          <w:bCs/>
          <w:color w:val="1A1A1A"/>
          <w:sz w:val="21"/>
          <w:szCs w:val="21"/>
        </w:rPr>
        <w:t xml:space="preserve">Approximate annual cost: </w:t>
      </w:r>
      <w:r>
        <w:rPr>
          <w:rFonts w:ascii="Calibri" w:cs="Calibri" w:eastAsia="Calibri" w:hAnsi="Calibri"/>
          <w:color w:val="1A1A1A"/>
          <w:sz w:val="21"/>
          <w:szCs w:val="21"/>
        </w:rPr>
        <w:t xml:space="preserve">base stack + roughly $1,500–$3,000 per property plus a higher umbrella. </w:t>
      </w:r>
      <w:r>
        <w:rPr>
          <w:rFonts w:ascii="Calibri" w:cs="Calibri" w:eastAsia="Calibri" w:hAnsi="Calibri"/>
          <w:b/>
          <w:bCs/>
          <w:color w:val="3E6B34"/>
          <w:sz w:val="21"/>
          <w:szCs w:val="21"/>
        </w:rPr>
        <w:t xml:space="preserve">Residual risk: low with adequate limits.</w:t>
      </w:r>
    </w:p>
    <w:p>
      <w:pPr>
        <w:spacing w:after="20"/>
      </w:pPr>
      <w:r>
        <w:rPr>
          <w:rFonts w:ascii="Calibri" w:cs="Calibri" w:eastAsia="Calibri" w:hAnsi="Calibri"/>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Dimension</w:t>
            </w:r>
          </w:p>
        </w:tc>
        <w:tc>
          <w:tcPr>
            <w:tcW w:type="dxa" w:w="24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Score</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Overall value</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8.4</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Cost-to-protection</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8.2</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Catastrophic coverage</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8.8</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Wealth &amp; liquidity</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8.4</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Business fit</w:t>
            </w:r>
          </w:p>
        </w:tc>
        <w:tc>
          <w:tcPr>
            <w:tcW w:type="dxa" w:w="2400"/>
            <w:tcBorders>
              <w:top w:val="single" w:color="C4CFD9" w:sz="1"/>
              <w:left w:val="single" w:color="C4CFD9" w:sz="1"/>
              <w:bottom w:val="single" w:color="C4CFD9" w:sz="1"/>
              <w:right w:val="single" w:color="C4CFD9" w:sz="1"/>
            </w:tcBorders>
            <w:shd w:fill="E9EEF4"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7.5</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Comprehensiveness</w:t>
            </w:r>
          </w:p>
        </w:tc>
        <w:tc>
          <w:tcPr>
            <w:tcW w:type="dxa" w:w="24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9</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Scalability</w:t>
            </w:r>
          </w:p>
        </w:tc>
        <w:tc>
          <w:tcPr>
            <w:tcW w:type="dxa" w:w="24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9.2</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Weighted total</w:t>
            </w:r>
          </w:p>
        </w:tc>
        <w:tc>
          <w:tcPr>
            <w:tcW w:type="dxa" w:w="24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8.5</w:t>
            </w:r>
          </w:p>
        </w:tc>
      </w:tr>
    </w:tbl>
    <w:p>
      <w:r>
        <w:br w:type="page"/>
      </w:r>
    </w:p>
    <w:p>
      <w:pPr>
        <w:pStyle w:val="Heading2"/>
        <w:spacing w:after="120" w:before="240"/>
      </w:pPr>
      <w:r>
        <w:t xml:space="preserve">3.6  Stack F — The Pooled-Benefit Maximizer</w:t>
      </w:r>
    </w:p>
    <w:p>
      <w:pPr>
        <w:spacing w:after="130" w:line="288"/>
        <w:jc w:val="both"/>
      </w:pPr>
      <w:r>
        <w:rPr>
          <w:rFonts w:ascii="Calibri" w:cs="Calibri" w:eastAsia="Calibri" w:hAnsi="Calibri"/>
          <w:color w:val="1A1A1A"/>
          <w:sz w:val="21"/>
          <w:szCs w:val="21"/>
        </w:rPr>
        <w:t xml:space="preserve">Where a household can access group or subsidized coverage — through an employer or a public program — this stack captures it in full, layering the strongest civilian pieces only where the pooled option has no equivalent. It is the cheapest and strongest configuration available, precisely because community-rated group coverage prices without regard to individual risk and is often subsidized. The workbook’s Benefits Comparison tab quantifies the advantage: pooled health and group life routinely undercut individual-market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rPr>
          <w:tblHeader/>
        </w:trPr>
        <w:tc>
          <w:tcPr>
            <w:tcW w:type="dxa" w:w="25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Layer</w:t>
            </w:r>
          </w:p>
        </w:tc>
        <w:tc>
          <w:tcPr>
            <w:tcW w:type="dxa" w:w="45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Choice in this stack</w:t>
            </w:r>
          </w:p>
        </w:tc>
        <w:tc>
          <w:tcPr>
            <w:tcW w:type="dxa" w:w="23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Approx. annual</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Health</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Group/subsidized plan (e.g., reserve-component, self)</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$695</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Life</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Group term $500k, flat rate</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$312</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Retirement</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Matched plan to the full match → Roth → index</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(wealth; match is free)</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Auto + Renters</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Full coverage, bundled</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$960–$1,640</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Disability</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Own-occupation long-term</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$1,200–$1,800</w:t>
            </w:r>
          </w:p>
        </w:tc>
      </w:tr>
      <w:tr>
        <w:tc>
          <w:tcPr>
            <w:tcW w:type="dxa" w:w="25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Umbrella</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$1M excess liability</w:t>
            </w:r>
          </w:p>
        </w:tc>
        <w:tc>
          <w:tcPr>
            <w:tcW w:type="dxa" w:w="23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$383</w:t>
            </w:r>
          </w:p>
        </w:tc>
      </w:tr>
      <w:tr>
        <w:tc>
          <w:tcPr>
            <w:tcW w:type="dxa" w:w="25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Credit / lending</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Fee-waived cards; rate-cap protections; guaranteed mortgage</w:t>
            </w:r>
          </w:p>
        </w:tc>
        <w:tc>
          <w:tcPr>
            <w:tcW w:type="dxa" w:w="23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right"/>
            </w:pPr>
            <w:r>
              <w:rPr>
                <w:rFonts w:ascii="Calibri" w:cs="Calibri" w:eastAsia="Calibri" w:hAnsi="Calibri"/>
                <w:b w:val="false"/>
                <w:bCs w:val="false"/>
                <w:color w:val="1A1A1A"/>
                <w:sz w:val="17"/>
                <w:szCs w:val="17"/>
              </w:rPr>
              <w:t xml:space="preserve">(see Part 6)</w:t>
            </w:r>
          </w:p>
        </w:tc>
      </w:tr>
    </w:tbl>
    <w:p>
      <w:pPr>
        <w:spacing w:after="20"/>
      </w:pPr>
      <w:r>
        <w:rPr>
          <w:rFonts w:ascii="Calibri" w:cs="Calibri" w:eastAsia="Calibri" w:hAnsi="Calibri"/>
          <w:color w:val="1A1A1A"/>
          <w:sz w:val="21"/>
          <w:szCs w:val="21"/>
        </w:rPr>
        <w:t xml:space="preserve"/>
      </w:r>
    </w:p>
    <w:p>
      <w:pPr>
        <w:spacing w:after="130" w:line="288"/>
        <w:jc w:val="both"/>
      </w:pPr>
      <w:r>
        <w:rPr>
          <w:rFonts w:ascii="Calibri" w:cs="Calibri" w:eastAsia="Calibri" w:hAnsi="Calibri"/>
          <w:b/>
          <w:bCs/>
          <w:color w:val="1A1A1A"/>
          <w:sz w:val="21"/>
          <w:szCs w:val="21"/>
        </w:rPr>
        <w:t xml:space="preserve">Approximate annual cost: </w:t>
      </w:r>
      <w:r>
        <w:rPr>
          <w:rFonts w:ascii="Calibri" w:cs="Calibri" w:eastAsia="Calibri" w:hAnsi="Calibri"/>
          <w:color w:val="1A1A1A"/>
          <w:sz w:val="21"/>
          <w:szCs w:val="21"/>
        </w:rPr>
        <w:t xml:space="preserve">$3,500–$6,000, materially below an all-individual-market equivalent. </w:t>
      </w:r>
      <w:r>
        <w:rPr>
          <w:rFonts w:ascii="Calibri" w:cs="Calibri" w:eastAsia="Calibri" w:hAnsi="Calibri"/>
          <w:b/>
          <w:bCs/>
          <w:color w:val="3E6B34"/>
          <w:sz w:val="21"/>
          <w:szCs w:val="21"/>
        </w:rPr>
        <w:t xml:space="preserve">Residual risk: low.</w:t>
      </w:r>
    </w:p>
    <w:p>
      <w:pPr>
        <w:spacing w:after="20"/>
      </w:pPr>
      <w:r>
        <w:rPr>
          <w:rFonts w:ascii="Calibri" w:cs="Calibri" w:eastAsia="Calibri" w:hAnsi="Calibri"/>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Dimension</w:t>
            </w:r>
          </w:p>
        </w:tc>
        <w:tc>
          <w:tcPr>
            <w:tcW w:type="dxa" w:w="24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Score</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Overall value</w:t>
            </w:r>
          </w:p>
        </w:tc>
        <w:tc>
          <w:tcPr>
            <w:tcW w:type="dxa" w:w="24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9.6</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Cost-to-protection</w:t>
            </w:r>
          </w:p>
        </w:tc>
        <w:tc>
          <w:tcPr>
            <w:tcW w:type="dxa" w:w="24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9.5</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Catastrophic coverage</w:t>
            </w:r>
          </w:p>
        </w:tc>
        <w:tc>
          <w:tcPr>
            <w:tcW w:type="dxa" w:w="24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9.3</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Wealth &amp; liquidity</w:t>
            </w:r>
          </w:p>
        </w:tc>
        <w:tc>
          <w:tcPr>
            <w:tcW w:type="dxa" w:w="24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9.2</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Business fit</w:t>
            </w:r>
          </w:p>
        </w:tc>
        <w:tc>
          <w:tcPr>
            <w:tcW w:type="dxa" w:w="2400"/>
            <w:tcBorders>
              <w:top w:val="single" w:color="C4CFD9" w:sz="1"/>
              <w:left w:val="single" w:color="C4CFD9" w:sz="1"/>
              <w:bottom w:val="single" w:color="C4CFD9" w:sz="1"/>
              <w:right w:val="single" w:color="C4CFD9" w:sz="1"/>
            </w:tcBorders>
            <w:shd w:fill="F2F2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6.5</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Comprehensiveness</w:t>
            </w:r>
          </w:p>
        </w:tc>
        <w:tc>
          <w:tcPr>
            <w:tcW w:type="dxa" w:w="24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9</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Scalability</w:t>
            </w:r>
          </w:p>
        </w:tc>
        <w:tc>
          <w:tcPr>
            <w:tcW w:type="dxa" w:w="24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9</w:t>
            </w:r>
          </w:p>
        </w:tc>
      </w:tr>
      <w:tr>
        <w:tc>
          <w:tcPr>
            <w:tcW w:type="dxa" w:w="69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8"/>
                <w:szCs w:val="18"/>
              </w:rPr>
              <w:t xml:space="preserve">Weighted total</w:t>
            </w:r>
          </w:p>
        </w:tc>
        <w:tc>
          <w:tcPr>
            <w:tcW w:type="dxa" w:w="24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8"/>
                <w:szCs w:val="18"/>
              </w:rPr>
              <w:t xml:space="preserve">9.1</w:t>
            </w:r>
          </w:p>
        </w:tc>
      </w:tr>
    </w:tbl>
    <w:p>
      <w:r>
        <w:br w:type="page"/>
      </w:r>
    </w:p>
    <w:p>
      <w:pPr>
        <w:pStyle w:val="Heading2"/>
        <w:spacing w:after="120" w:before="240"/>
      </w:pPr>
      <w:r>
        <w:t xml:space="preserve">3.7  Master comparison</w:t>
      </w:r>
    </w:p>
    <w:p>
      <w:pPr>
        <w:spacing w:after="130" w:line="288"/>
        <w:jc w:val="both"/>
      </w:pPr>
      <w:r>
        <w:rPr>
          <w:rFonts w:ascii="Calibri" w:cs="Calibri" w:eastAsia="Calibri" w:hAnsi="Calibri"/>
          <w:color w:val="1A1A1A"/>
          <w:sz w:val="21"/>
          <w:szCs w:val="21"/>
        </w:rPr>
        <w:t xml:space="preserve">The full scoring matrix. Reading down a column shows which stack best serves a given priority; reading across a row shows a stack’s balance of strengths. Weighted totals use the weights in Table 1.1.</w:t>
      </w:r>
    </w:p>
    <w:p>
      <w:pPr>
        <w:spacing w:after="30"/>
      </w:pPr>
      <w:r>
        <w:rPr>
          <w:rFonts w:ascii="Calibri" w:cs="Calibri" w:eastAsia="Calibri" w:hAnsi="Calibri"/>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760"/>
        <w:gridCol w:w="760"/>
        <w:gridCol w:w="760"/>
        <w:gridCol w:w="760"/>
        <w:gridCol w:w="720"/>
        <w:gridCol w:w="780"/>
        <w:gridCol w:w="760"/>
        <w:gridCol w:w="900"/>
      </w:tblGrid>
      <w:tr>
        <w:trPr>
          <w:tblHeader/>
        </w:trPr>
        <w:tc>
          <w:tcPr>
            <w:tcW w:type="dxa" w:w="31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6"/>
                <w:szCs w:val="16"/>
              </w:rPr>
              <w:t xml:space="preserve">Stack</w:t>
            </w:r>
          </w:p>
        </w:tc>
        <w:tc>
          <w:tcPr>
            <w:tcW w:type="dxa" w:w="7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6"/>
                <w:szCs w:val="16"/>
              </w:rPr>
              <w:t xml:space="preserve">Val</w:t>
            </w:r>
          </w:p>
        </w:tc>
        <w:tc>
          <w:tcPr>
            <w:tcW w:type="dxa" w:w="7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6"/>
                <w:szCs w:val="16"/>
              </w:rPr>
              <w:t xml:space="preserve">C2P</w:t>
            </w:r>
          </w:p>
        </w:tc>
        <w:tc>
          <w:tcPr>
            <w:tcW w:type="dxa" w:w="7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6"/>
                <w:szCs w:val="16"/>
              </w:rPr>
              <w:t xml:space="preserve">Cat</w:t>
            </w:r>
          </w:p>
        </w:tc>
        <w:tc>
          <w:tcPr>
            <w:tcW w:type="dxa" w:w="7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6"/>
                <w:szCs w:val="16"/>
              </w:rPr>
              <w:t xml:space="preserve">Wlth</w:t>
            </w:r>
          </w:p>
        </w:tc>
        <w:tc>
          <w:tcPr>
            <w:tcW w:type="dxa" w:w="72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6"/>
                <w:szCs w:val="16"/>
              </w:rPr>
              <w:t xml:space="preserve">Biz</w:t>
            </w:r>
          </w:p>
        </w:tc>
        <w:tc>
          <w:tcPr>
            <w:tcW w:type="dxa" w:w="78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6"/>
                <w:szCs w:val="16"/>
              </w:rPr>
              <w:t xml:space="preserve">Comp</w:t>
            </w:r>
          </w:p>
        </w:tc>
        <w:tc>
          <w:tcPr>
            <w:tcW w:type="dxa" w:w="7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6"/>
                <w:szCs w:val="16"/>
              </w:rPr>
              <w:t xml:space="preserve">Scal</w:t>
            </w:r>
          </w:p>
        </w:tc>
        <w:tc>
          <w:tcPr>
            <w:tcW w:type="dxa" w:w="9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6"/>
                <w:szCs w:val="16"/>
              </w:rPr>
              <w:t xml:space="preserve">TOTAL</w:t>
            </w:r>
          </w:p>
        </w:tc>
      </w:tr>
      <w:tr>
        <w:tc>
          <w:tcPr>
            <w:tcW w:type="dxa" w:w="31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6"/>
                <w:szCs w:val="16"/>
              </w:rPr>
              <w:t xml:space="preserve">A — Legal-Floor Baseline</w:t>
            </w:r>
          </w:p>
        </w:tc>
        <w:tc>
          <w:tcPr>
            <w:tcW w:type="dxa" w:w="7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6.8</w:t>
            </w:r>
          </w:p>
        </w:tc>
        <w:tc>
          <w:tcPr>
            <w:tcW w:type="dxa" w:w="7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7.4</w:t>
            </w:r>
          </w:p>
        </w:tc>
        <w:tc>
          <w:tcPr>
            <w:tcW w:type="dxa" w:w="7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4.5</w:t>
            </w:r>
          </w:p>
        </w:tc>
        <w:tc>
          <w:tcPr>
            <w:tcW w:type="dxa" w:w="7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6.0</w:t>
            </w:r>
          </w:p>
        </w:tc>
        <w:tc>
          <w:tcPr>
            <w:tcW w:type="dxa" w:w="72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3.0</w:t>
            </w:r>
          </w:p>
        </w:tc>
        <w:tc>
          <w:tcPr>
            <w:tcW w:type="dxa" w:w="78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4.0</w:t>
            </w:r>
          </w:p>
        </w:tc>
        <w:tc>
          <w:tcPr>
            <w:tcW w:type="dxa" w:w="7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6.0</w:t>
            </w:r>
          </w:p>
        </w:tc>
        <w:tc>
          <w:tcPr>
            <w:tcW w:type="dxa" w:w="900"/>
            <w:tcBorders>
              <w:top w:val="single" w:color="C4CFD9" w:sz="1"/>
              <w:left w:val="single" w:color="C4CFD9" w:sz="1"/>
              <w:bottom w:val="single" w:color="C4CFD9" w:sz="1"/>
              <w:right w:val="single" w:color="C4CFD9" w:sz="1"/>
            </w:tcBorders>
            <w:shd w:fill="F2F2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6"/>
                <w:szCs w:val="16"/>
              </w:rPr>
              <w:t xml:space="preserve">5.6</w:t>
            </w:r>
          </w:p>
        </w:tc>
      </w:tr>
      <w:tr>
        <w:tc>
          <w:tcPr>
            <w:tcW w:type="dxa" w:w="31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6"/>
                <w:szCs w:val="16"/>
              </w:rPr>
              <w:t xml:space="preserve">B — Lean Essentials</w:t>
            </w:r>
          </w:p>
        </w:tc>
        <w:tc>
          <w:tcPr>
            <w:tcW w:type="dxa" w:w="7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8.6</w:t>
            </w:r>
          </w:p>
        </w:tc>
        <w:tc>
          <w:tcPr>
            <w:tcW w:type="dxa" w:w="7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8.9</w:t>
            </w:r>
          </w:p>
        </w:tc>
        <w:tc>
          <w:tcPr>
            <w:tcW w:type="dxa" w:w="7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7.5</w:t>
            </w:r>
          </w:p>
        </w:tc>
        <w:tc>
          <w:tcPr>
            <w:tcW w:type="dxa" w:w="7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8.2</w:t>
            </w:r>
          </w:p>
        </w:tc>
        <w:tc>
          <w:tcPr>
            <w:tcW w:type="dxa" w:w="72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5.0</w:t>
            </w:r>
          </w:p>
        </w:tc>
        <w:tc>
          <w:tcPr>
            <w:tcW w:type="dxa" w:w="78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7.0</w:t>
            </w:r>
          </w:p>
        </w:tc>
        <w:tc>
          <w:tcPr>
            <w:tcW w:type="dxa" w:w="7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8.0</w:t>
            </w:r>
          </w:p>
        </w:tc>
        <w:tc>
          <w:tcPr>
            <w:tcW w:type="dxa" w:w="900"/>
            <w:tcBorders>
              <w:top w:val="single" w:color="C4CFD9" w:sz="1"/>
              <w:left w:val="single" w:color="C4CFD9" w:sz="1"/>
              <w:bottom w:val="single" w:color="C4CFD9" w:sz="1"/>
              <w:right w:val="single" w:color="C4CFD9" w:sz="1"/>
            </w:tcBorders>
            <w:shd w:fill="E9EEF4"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6"/>
                <w:szCs w:val="16"/>
              </w:rPr>
              <w:t xml:space="preserve">7.9</w:t>
            </w:r>
          </w:p>
        </w:tc>
      </w:tr>
      <w:tr>
        <w:tc>
          <w:tcPr>
            <w:tcW w:type="dxa" w:w="31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6"/>
                <w:szCs w:val="16"/>
              </w:rPr>
              <w:t xml:space="preserve">C — Comprehensive Household</w:t>
            </w:r>
          </w:p>
        </w:tc>
        <w:tc>
          <w:tcPr>
            <w:tcW w:type="dxa" w:w="7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8.7</w:t>
            </w:r>
          </w:p>
        </w:tc>
        <w:tc>
          <w:tcPr>
            <w:tcW w:type="dxa" w:w="7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8.4</w:t>
            </w:r>
          </w:p>
        </w:tc>
        <w:tc>
          <w:tcPr>
            <w:tcW w:type="dxa" w:w="7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9.2</w:t>
            </w:r>
          </w:p>
        </w:tc>
        <w:tc>
          <w:tcPr>
            <w:tcW w:type="dxa" w:w="7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8.8</w:t>
            </w:r>
          </w:p>
        </w:tc>
        <w:tc>
          <w:tcPr>
            <w:tcW w:type="dxa" w:w="72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5.5</w:t>
            </w:r>
          </w:p>
        </w:tc>
        <w:tc>
          <w:tcPr>
            <w:tcW w:type="dxa" w:w="78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9.2</w:t>
            </w:r>
          </w:p>
        </w:tc>
        <w:tc>
          <w:tcPr>
            <w:tcW w:type="dxa" w:w="7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8.9</w:t>
            </w:r>
          </w:p>
        </w:tc>
        <w:tc>
          <w:tcPr>
            <w:tcW w:type="dxa" w:w="9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6"/>
                <w:szCs w:val="16"/>
              </w:rPr>
              <w:t xml:space="preserve">8.6</w:t>
            </w:r>
          </w:p>
        </w:tc>
      </w:tr>
      <w:tr>
        <w:tc>
          <w:tcPr>
            <w:tcW w:type="dxa" w:w="31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6"/>
                <w:szCs w:val="16"/>
              </w:rPr>
              <w:t xml:space="preserve">D — Founder’s Program</w:t>
            </w:r>
          </w:p>
        </w:tc>
        <w:tc>
          <w:tcPr>
            <w:tcW w:type="dxa" w:w="7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8.6</w:t>
            </w:r>
          </w:p>
        </w:tc>
        <w:tc>
          <w:tcPr>
            <w:tcW w:type="dxa" w:w="7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8.3</w:t>
            </w:r>
          </w:p>
        </w:tc>
        <w:tc>
          <w:tcPr>
            <w:tcW w:type="dxa" w:w="7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9.0</w:t>
            </w:r>
          </w:p>
        </w:tc>
        <w:tc>
          <w:tcPr>
            <w:tcW w:type="dxa" w:w="7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8.9</w:t>
            </w:r>
          </w:p>
        </w:tc>
        <w:tc>
          <w:tcPr>
            <w:tcW w:type="dxa" w:w="72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9.8</w:t>
            </w:r>
          </w:p>
        </w:tc>
        <w:tc>
          <w:tcPr>
            <w:tcW w:type="dxa" w:w="78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9.3</w:t>
            </w:r>
          </w:p>
        </w:tc>
        <w:tc>
          <w:tcPr>
            <w:tcW w:type="dxa" w:w="7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8.8</w:t>
            </w:r>
          </w:p>
        </w:tc>
        <w:tc>
          <w:tcPr>
            <w:tcW w:type="dxa" w:w="9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6"/>
                <w:szCs w:val="16"/>
              </w:rPr>
              <w:t xml:space="preserve">8.9</w:t>
            </w:r>
          </w:p>
        </w:tc>
      </w:tr>
      <w:tr>
        <w:tc>
          <w:tcPr>
            <w:tcW w:type="dxa" w:w="31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6"/>
                <w:szCs w:val="16"/>
              </w:rPr>
              <w:t xml:space="preserve">E — Property-Investor Overlay</w:t>
            </w:r>
          </w:p>
        </w:tc>
        <w:tc>
          <w:tcPr>
            <w:tcW w:type="dxa" w:w="7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8.4</w:t>
            </w:r>
          </w:p>
        </w:tc>
        <w:tc>
          <w:tcPr>
            <w:tcW w:type="dxa" w:w="7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8.2</w:t>
            </w:r>
          </w:p>
        </w:tc>
        <w:tc>
          <w:tcPr>
            <w:tcW w:type="dxa" w:w="7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8.8</w:t>
            </w:r>
          </w:p>
        </w:tc>
        <w:tc>
          <w:tcPr>
            <w:tcW w:type="dxa" w:w="7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8.4</w:t>
            </w:r>
          </w:p>
        </w:tc>
        <w:tc>
          <w:tcPr>
            <w:tcW w:type="dxa" w:w="72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7.5</w:t>
            </w:r>
          </w:p>
        </w:tc>
        <w:tc>
          <w:tcPr>
            <w:tcW w:type="dxa" w:w="78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9.0</w:t>
            </w:r>
          </w:p>
        </w:tc>
        <w:tc>
          <w:tcPr>
            <w:tcW w:type="dxa" w:w="7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9.2</w:t>
            </w:r>
          </w:p>
        </w:tc>
        <w:tc>
          <w:tcPr>
            <w:tcW w:type="dxa" w:w="900"/>
            <w:tcBorders>
              <w:top w:val="single" w:color="C4CFD9" w:sz="1"/>
              <w:left w:val="single" w:color="C4CFD9" w:sz="1"/>
              <w:bottom w:val="single" w:color="C4CFD9" w:sz="1"/>
              <w:right w:val="single" w:color="C4CFD9" w:sz="1"/>
            </w:tcBorders>
            <w:shd w:fill="DCE6F2"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6"/>
                <w:szCs w:val="16"/>
              </w:rPr>
              <w:t xml:space="preserve">8.5</w:t>
            </w:r>
          </w:p>
        </w:tc>
      </w:tr>
      <w:tr>
        <w:tc>
          <w:tcPr>
            <w:tcW w:type="dxa" w:w="31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6"/>
                <w:szCs w:val="16"/>
              </w:rPr>
              <w:t xml:space="preserve">F — Pooled-Benefit Maximizer</w:t>
            </w:r>
          </w:p>
        </w:tc>
        <w:tc>
          <w:tcPr>
            <w:tcW w:type="dxa" w:w="7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9.6</w:t>
            </w:r>
          </w:p>
        </w:tc>
        <w:tc>
          <w:tcPr>
            <w:tcW w:type="dxa" w:w="7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9.5</w:t>
            </w:r>
          </w:p>
        </w:tc>
        <w:tc>
          <w:tcPr>
            <w:tcW w:type="dxa" w:w="7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9.3</w:t>
            </w:r>
          </w:p>
        </w:tc>
        <w:tc>
          <w:tcPr>
            <w:tcW w:type="dxa" w:w="7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9.2</w:t>
            </w:r>
          </w:p>
        </w:tc>
        <w:tc>
          <w:tcPr>
            <w:tcW w:type="dxa" w:w="72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6.5</w:t>
            </w:r>
          </w:p>
        </w:tc>
        <w:tc>
          <w:tcPr>
            <w:tcW w:type="dxa" w:w="78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9.0</w:t>
            </w:r>
          </w:p>
        </w:tc>
        <w:tc>
          <w:tcPr>
            <w:tcW w:type="dxa" w:w="7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1A1A1A"/>
                <w:sz w:val="16"/>
                <w:szCs w:val="16"/>
              </w:rPr>
              <w:t xml:space="preserve">9.0</w:t>
            </w:r>
          </w:p>
        </w:tc>
        <w:tc>
          <w:tcPr>
            <w:tcW w:type="dxa" w:w="900"/>
            <w:tcBorders>
              <w:top w:val="single" w:color="C4CFD9" w:sz="1"/>
              <w:left w:val="single" w:color="C4CFD9" w:sz="1"/>
              <w:bottom w:val="single" w:color="C4CFD9" w:sz="1"/>
              <w:right w:val="single" w:color="C4CFD9" w:sz="1"/>
            </w:tcBorders>
            <w:shd w:fill="D6E7C8" w:val="clear"/>
            <w:tcMar>
              <w:top w:type="dxa" w:w="50"/>
              <w:left w:type="dxa" w:w="85"/>
              <w:bottom w:type="dxa" w:w="50"/>
              <w:right w:type="dxa" w:w="85"/>
            </w:tcMar>
            <w:vAlign w:val="center"/>
          </w:tcPr>
          <w:p>
            <w:pPr>
              <w:spacing w:after="0" w:line="256"/>
              <w:jc w:val="center"/>
            </w:pPr>
            <w:r>
              <w:rPr>
                <w:rFonts w:ascii="Calibri" w:cs="Calibri" w:eastAsia="Calibri" w:hAnsi="Calibri"/>
                <w:b/>
                <w:bCs/>
                <w:color w:val="1A1A1A"/>
                <w:sz w:val="16"/>
                <w:szCs w:val="16"/>
              </w:rPr>
              <w:t xml:space="preserve">9.1</w:t>
            </w:r>
          </w:p>
        </w:tc>
      </w:tr>
    </w:tbl>
    <w:p>
      <w:pPr>
        <w:spacing w:after="130" w:before="36"/>
      </w:pPr>
      <w:r>
        <w:rPr>
          <w:rFonts w:ascii="Calibri" w:cs="Calibri" w:eastAsia="Calibri" w:hAnsi="Calibri"/>
          <w:i/>
          <w:iCs/>
          <w:color w:val="555555"/>
          <w:sz w:val="16"/>
          <w:szCs w:val="16"/>
        </w:rPr>
        <w:t xml:space="preserve">Column key: Val = overall value · C2P = cost-to-protection · Cat = catastrophic coverage · Wlth = wealth &amp; liquidity · Biz = business fit · Comp = comprehensiveness · Scal = scalability.</w:t>
      </w:r>
    </w:p>
    <w:p>
      <w:pPr>
        <w:spacing w:after="40"/>
      </w:pPr>
      <w:r>
        <w:rPr>
          <w:rFonts w:ascii="Calibri" w:cs="Calibri" w:eastAsia="Calibri" w:hAnsi="Calibri"/>
          <w:color w:val="1A1A1A"/>
          <w:sz w:val="21"/>
          <w:szCs w:val="21"/>
        </w:rPr>
        <w:t xml:space="preserve"/>
      </w:r>
    </w:p>
    <w:p>
      <w:pPr>
        <w:spacing w:after="130" w:line="288"/>
        <w:jc w:val="both"/>
      </w:pPr>
      <w:r>
        <w:rPr>
          <w:rFonts w:ascii="Calibri" w:cs="Calibri" w:eastAsia="Calibri" w:hAnsi="Calibri"/>
          <w:color w:val="1A1A1A"/>
          <w:sz w:val="21"/>
          <w:szCs w:val="21"/>
        </w:rPr>
        <w:t xml:space="preserve">The pattern is consistent with the framework of Part 1. The pooled-benefit stack scores highest overall because group and subsidized coverage dominates on price; the founder’s stack scores highest on business fit; and the legal-floor baseline scores lowest not because it is badly built but because it leaves the catastrophic risks — the ones that matter most — largely uncovered.</w:t>
      </w:r>
    </w:p>
    <w:p>
      <w:r>
        <w:br w:type="page"/>
      </w:r>
    </w:p>
    <w:p>
      <w:pPr>
        <w:pStyle w:val="Heading1"/>
        <w:spacing w:after="160" w:before="320"/>
      </w:pPr>
      <w:r>
        <w:t xml:space="preserve">4  The Numbers Behind the Stacks</w:t>
      </w:r>
    </w:p>
    <w:p>
      <w:pPr>
        <w:pBdr>
          <w:bottom w:val="single" w:color="6B4F2A" w:sz="6" w:space="1"/>
        </w:pBdr>
        <w:spacing w:after="130"/>
      </w:pPr>
      <w:r>
        <w:rPr>
          <w:rFonts w:ascii="Calibri" w:cs="Calibri" w:eastAsia="Calibri" w:hAnsi="Calibri"/>
          <w:color w:val="1A1A1A"/>
          <w:sz w:val="21"/>
          <w:szCs w:val="21"/>
        </w:rPr>
        <w:t xml:space="preserve"/>
      </w:r>
    </w:p>
    <w:p>
      <w:pPr>
        <w:spacing w:after="130" w:line="288"/>
        <w:jc w:val="both"/>
      </w:pPr>
      <w:r>
        <w:rPr>
          <w:rFonts w:ascii="Calibri" w:cs="Calibri" w:eastAsia="Calibri" w:hAnsi="Calibri"/>
          <w:color w:val="1A1A1A"/>
          <w:sz w:val="21"/>
          <w:szCs w:val="21"/>
        </w:rPr>
        <w:t xml:space="preserve">The scores in Part 3 rest on figures from the companion workbook. This section surfaces the four calculations that most shape a stack’s economics: its total annual cost, the compounding of the savings it frees up, the value of an employer match, and the financing advantage a guaranteed mortgage provides. Each mirrors a live calculator in the workbook, where the inputs can be changed.</w:t>
      </w:r>
    </w:p>
    <w:p>
      <w:pPr>
        <w:pStyle w:val="Heading2"/>
        <w:spacing w:after="120" w:before="240"/>
      </w:pPr>
      <w:r>
        <w:t xml:space="preserve">4.1  Annual cost of ownership</w:t>
      </w:r>
    </w:p>
    <w:p>
      <w:pPr>
        <w:spacing w:after="130" w:line="288"/>
        <w:jc w:val="both"/>
      </w:pPr>
      <w:r>
        <w:rPr>
          <w:rFonts w:ascii="Calibri" w:cs="Calibri" w:eastAsia="Calibri" w:hAnsi="Calibri"/>
          <w:color w:val="1A1A1A"/>
          <w:sz w:val="21"/>
          <w:szCs w:val="21"/>
        </w:rPr>
        <w:t xml:space="preserve">Placed side by side, the stacks show how protection cost rises with coverage. The figures below exclude retirement contributions (which build wealth) and use range mid-points; the health line assumes a pooled plan where the stack allows one.</w:t>
      </w:r>
    </w:p>
    <w:p>
      <w:pPr>
        <w:spacing w:after="30"/>
      </w:pPr>
      <w:r>
        <w:rPr>
          <w:rFonts w:ascii="Calibri" w:cs="Calibri" w:eastAsia="Calibri" w:hAnsi="Calibri"/>
          <w:color w:val="1A1A1A"/>
          <w:sz w:val="21"/>
          <w:szCs w:val="21"/>
        </w:rPr>
        <w:t xml:space="preserve"/>
      </w:r>
    </w:p>
    <w:p>
      <w:pPr>
        <w:spacing w:after="60" w:before="60"/>
      </w:pPr>
      <w:r>
        <w:rPr>
          <w:rFonts w:ascii="Calibri" w:cs="Calibri" w:eastAsia="Calibri" w:hAnsi="Calibri"/>
          <w:b/>
          <w:bCs/>
          <w:color w:val="1F3A5F"/>
          <w:sz w:val="18"/>
          <w:szCs w:val="18"/>
        </w:rPr>
        <w:t xml:space="preserve">Table 4.1  Approximate annual cost by stack (excluding retirement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rPr>
          <w:tblHeader/>
        </w:trPr>
        <w:tc>
          <w:tcPr>
            <w:tcW w:type="dxa" w:w="34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Stack</w:t>
            </w:r>
          </w:p>
        </w:tc>
        <w:tc>
          <w:tcPr>
            <w:tcW w:type="dxa" w:w="35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Approx. annual cost</w:t>
            </w:r>
          </w:p>
        </w:tc>
        <w:tc>
          <w:tcPr>
            <w:tcW w:type="dxa" w:w="24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Residual risk</w:t>
            </w:r>
          </w:p>
        </w:tc>
      </w:tr>
      <w:tr>
        <w:tc>
          <w:tcPr>
            <w:tcW w:type="dxa" w:w="34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A — Legal-Floor Baseline</w:t>
            </w:r>
          </w:p>
        </w:tc>
        <w:tc>
          <w:tcPr>
            <w:tcW w:type="dxa" w:w="3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bCs/>
                <w:color w:val="1A1A1A"/>
                <w:sz w:val="17"/>
                <w:szCs w:val="17"/>
              </w:rPr>
              <w:t xml:space="preserve">$800–$1,500 + health</w:t>
            </w:r>
          </w:p>
        </w:tc>
        <w:tc>
          <w:tcPr>
            <w:tcW w:type="dxa" w:w="24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9C4A2F"/>
                <w:sz w:val="17"/>
                <w:szCs w:val="17"/>
              </w:rPr>
              <w:t xml:space="preserve">Very high</w:t>
            </w:r>
          </w:p>
        </w:tc>
      </w:tr>
      <w:tr>
        <w:tc>
          <w:tcPr>
            <w:tcW w:type="dxa" w:w="34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 — Lean Essentials</w:t>
            </w:r>
          </w:p>
        </w:tc>
        <w:tc>
          <w:tcPr>
            <w:tcW w:type="dxa" w:w="3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$2,000–$4,000</w:t>
            </w:r>
          </w:p>
        </w:tc>
        <w:tc>
          <w:tcPr>
            <w:tcW w:type="dxa" w:w="24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8A6D1F"/>
                <w:sz w:val="17"/>
                <w:szCs w:val="17"/>
              </w:rPr>
              <w:t xml:space="preserve">Moderate</w:t>
            </w:r>
          </w:p>
        </w:tc>
      </w:tr>
      <w:tr>
        <w:tc>
          <w:tcPr>
            <w:tcW w:type="dxa" w:w="34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C — Comprehensive Household</w:t>
            </w:r>
          </w:p>
        </w:tc>
        <w:tc>
          <w:tcPr>
            <w:tcW w:type="dxa" w:w="3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$4,000–$7,000</w:t>
            </w:r>
          </w:p>
        </w:tc>
        <w:tc>
          <w:tcPr>
            <w:tcW w:type="dxa" w:w="24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3E6B34"/>
                <w:sz w:val="17"/>
                <w:szCs w:val="17"/>
              </w:rPr>
              <w:t xml:space="preserve">Low</w:t>
            </w:r>
          </w:p>
        </w:tc>
      </w:tr>
      <w:tr>
        <w:tc>
          <w:tcPr>
            <w:tcW w:type="dxa" w:w="34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D — Founder’s Program</w:t>
            </w:r>
          </w:p>
        </w:tc>
        <w:tc>
          <w:tcPr>
            <w:tcW w:type="dxa" w:w="3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$6,000–$12,000</w:t>
            </w:r>
          </w:p>
        </w:tc>
        <w:tc>
          <w:tcPr>
            <w:tcW w:type="dxa" w:w="24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3E6B34"/>
                <w:sz w:val="17"/>
                <w:szCs w:val="17"/>
              </w:rPr>
              <w:t xml:space="preserve">Low</w:t>
            </w:r>
          </w:p>
        </w:tc>
      </w:tr>
      <w:tr>
        <w:tc>
          <w:tcPr>
            <w:tcW w:type="dxa" w:w="34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E — Property-Investor Overlay</w:t>
            </w:r>
          </w:p>
        </w:tc>
        <w:tc>
          <w:tcPr>
            <w:tcW w:type="dxa" w:w="3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Base + $1,500–$3,000 / property</w:t>
            </w:r>
          </w:p>
        </w:tc>
        <w:tc>
          <w:tcPr>
            <w:tcW w:type="dxa" w:w="24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3E6B34"/>
                <w:sz w:val="17"/>
                <w:szCs w:val="17"/>
              </w:rPr>
              <w:t xml:space="preserve">Low</w:t>
            </w:r>
          </w:p>
        </w:tc>
      </w:tr>
      <w:tr>
        <w:tc>
          <w:tcPr>
            <w:tcW w:type="dxa" w:w="34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F — Pooled-Benefit Maximizer</w:t>
            </w:r>
          </w:p>
        </w:tc>
        <w:tc>
          <w:tcPr>
            <w:tcW w:type="dxa" w:w="3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$3,500–$6,000</w:t>
            </w:r>
          </w:p>
        </w:tc>
        <w:tc>
          <w:tcPr>
            <w:tcW w:type="dxa" w:w="24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center"/>
            </w:pPr>
            <w:r>
              <w:rPr>
                <w:rFonts w:ascii="Calibri" w:cs="Calibri" w:eastAsia="Calibri" w:hAnsi="Calibri"/>
                <w:b w:val="false"/>
                <w:bCs w:val="false"/>
                <w:color w:val="3E6B34"/>
                <w:sz w:val="17"/>
                <w:szCs w:val="17"/>
              </w:rPr>
              <w:t xml:space="preserve">Low</w:t>
            </w:r>
          </w:p>
        </w:tc>
      </w:tr>
    </w:tbl>
    <w:p>
      <w:pPr>
        <w:spacing w:after="130" w:before="36"/>
      </w:pPr>
      <w:r>
        <w:rPr>
          <w:rFonts w:ascii="Calibri" w:cs="Calibri" w:eastAsia="Calibri" w:hAnsi="Calibri"/>
          <w:i/>
          <w:iCs/>
          <w:color w:val="555555"/>
          <w:sz w:val="16"/>
          <w:szCs w:val="16"/>
        </w:rPr>
        <w:t xml:space="preserve">The single most expensive layers are disability and (for founders) the business program — exactly the coverages households most often neglect. Health, which people fixate on, is a comparatively small line where a pooled plan is available.</w:t>
      </w:r>
    </w:p>
    <w:p>
      <w:pPr>
        <w:pStyle w:val="Heading2"/>
        <w:spacing w:after="120" w:before="240"/>
      </w:pPr>
      <w:r>
        <w:t xml:space="preserve">4.2  The compounding engine</w:t>
      </w:r>
    </w:p>
    <w:p>
      <w:pPr>
        <w:spacing w:after="130" w:line="288"/>
        <w:jc w:val="both"/>
      </w:pPr>
      <w:r>
        <w:rPr>
          <w:rFonts w:ascii="Calibri" w:cs="Calibri" w:eastAsia="Calibri" w:hAnsi="Calibri"/>
          <w:color w:val="1A1A1A"/>
          <w:sz w:val="21"/>
          <w:szCs w:val="21"/>
        </w:rPr>
        <w:t xml:space="preserve">Every dollar not spent on coverage a household does not need is a dollar that can compound. The scale is easy to underestimate. Funding a retirement account at $7,000 a year for forty years at a 7% return produces an end balance on the order of $1.40 million, of which roughly $280,000 is contributions and the remainder growth. Waiting ten years to start, at the same contribution and return, forgoes several hundred thousand dollars of terminal wealth — the “cost of waiting” the workbook’s calculator makes explicit.</w:t>
      </w:r>
    </w:p>
    <w:tbl>
      <w:tblPr>
        <w:tblW w:type="dxa" w:w="9360"/>
        <w:tblBorders>
          <w:top w:val="single" w:color="DCE6F2" w:sz="1"/>
          <w:left w:val="single" w:color="2E75B6" w:sz="22"/>
          <w:bottom w:val="single" w:color="DCE6F2" w:sz="1"/>
          <w:right w:val="single" w:color="DCE6F2" w:sz="1"/>
          <w:insideH w:val="single" w:color="auto" w:sz="4"/>
          <w:insideV w:val="single" w:color="auto" w:sz="4"/>
        </w:tblBorders>
      </w:tblPr>
      <w:tblGrid>
        <w:gridCol w:w="9360"/>
      </w:tblGrid>
      <w:tr>
        <w:tc>
          <w:tcPr>
            <w:tcW w:type="dxa" w:w="9360"/>
            <w:shd w:fill="DCE6F2" w:val="clear"/>
            <w:tcMar>
              <w:top w:type="dxa" w:w="130"/>
              <w:left w:type="dxa" w:w="200"/>
              <w:bottom w:type="dxa" w:w="130"/>
              <w:right w:type="dxa" w:w="170"/>
            </w:tcMar>
          </w:tcPr>
          <w:p>
            <w:pPr>
              <w:spacing w:after="70"/>
            </w:pPr>
            <w:r>
              <w:rPr>
                <w:rFonts w:ascii="Calibri" w:cs="Calibri" w:eastAsia="Calibri" w:hAnsi="Calibri"/>
                <w:b/>
                <w:bCs/>
                <w:color w:val="1F3A5F"/>
                <w:sz w:val="21"/>
                <w:szCs w:val="21"/>
              </w:rPr>
              <w:t xml:space="preserve">Why an early start dominates</w:t>
            </w:r>
          </w:p>
          <w:p>
            <w:pPr>
              <w:spacing w:after="40" w:line="284"/>
              <w:jc w:val="both"/>
            </w:pPr>
            <w:r>
              <w:rPr>
                <w:rFonts w:ascii="Calibri" w:cs="Calibri" w:eastAsia="Calibri" w:hAnsi="Calibri"/>
                <w:color w:val="1A1A1A"/>
                <w:sz w:val="20"/>
                <w:szCs w:val="20"/>
              </w:rPr>
              <w:t xml:space="preserve">Because returns compound, a contribution made in one’s twenties produces far more terminal wealth than the same contribution made later. For a young household this long horizon is the single most valuable structural advantage available, and it reframes even modest early contributions as high-value commitments rather than trivial ones.</w:t>
            </w:r>
          </w:p>
        </w:tc>
      </w:tr>
    </w:tbl>
    <w:p>
      <w:pPr>
        <w:pStyle w:val="Heading2"/>
        <w:spacing w:after="120" w:before="240"/>
      </w:pPr>
      <w:r>
        <w:t xml:space="preserve">4.3  The employer match: a guaranteed return</w:t>
      </w:r>
    </w:p>
    <w:p>
      <w:pPr>
        <w:spacing w:after="130" w:line="288"/>
        <w:jc w:val="both"/>
      </w:pPr>
      <w:r>
        <w:rPr>
          <w:rFonts w:ascii="Calibri" w:cs="Calibri" w:eastAsia="Calibri" w:hAnsi="Calibri"/>
          <w:color w:val="1A1A1A"/>
          <w:sz w:val="21"/>
          <w:szCs w:val="21"/>
        </w:rPr>
        <w:t xml:space="preserve">Where an employer or plan matches contributions, capturing that match is the highest-return action in the entire wealth problem: a dollar-for-dollar match is an immediate 100% return that no market investment can promise. On a $60,000 salary, a 5% match is worth $3,000 a year in free contributions — before any investment growth, and repeated annually. No stack should leave an available match uncaptured.</w:t>
      </w:r>
    </w:p>
    <w:p>
      <w:pPr>
        <w:pStyle w:val="Heading2"/>
        <w:spacing w:after="120" w:before="240"/>
      </w:pPr>
      <w:r>
        <w:t xml:space="preserve">4.4  The financing advantage</w:t>
      </w:r>
    </w:p>
    <w:p>
      <w:pPr>
        <w:spacing w:after="130" w:line="288"/>
        <w:jc w:val="both"/>
      </w:pPr>
      <w:r>
        <w:rPr>
          <w:rFonts w:ascii="Calibri" w:cs="Calibri" w:eastAsia="Calibri" w:hAnsi="Calibri"/>
          <w:color w:val="1A1A1A"/>
          <w:sz w:val="21"/>
          <w:szCs w:val="21"/>
        </w:rPr>
        <w:t xml:space="preserve">For households eligible for a government-guaranteed mortgage, the financing advantage is concrete. Such loans permit purchase with no down payment and without the private mortgage insurance that conventional low-down-payment loans require, in exchange for a one-time funding fee (waived for certain disabled veterans). On a $400,000 loan, avoiding private mortgage insurance at a representative rate saves roughly $250 a month — about $3,000 a year, or $30,000 over ten years — against a one-time funding fee of roughly $8,600. Deployed on an owner-occupied property, the guaranty also preserves conventional financing capacity for later investment purchases (Stack E).</w:t>
      </w:r>
    </w:p>
    <w:p>
      <w:r>
        <w:br w:type="page"/>
      </w:r>
    </w:p>
    <w:p>
      <w:pPr>
        <w:pStyle w:val="Heading1"/>
        <w:spacing w:after="160" w:before="320"/>
      </w:pPr>
      <w:r>
        <w:t xml:space="preserve">5  The Credit &amp; Lending Layer</w:t>
      </w:r>
    </w:p>
    <w:p>
      <w:pPr>
        <w:pBdr>
          <w:bottom w:val="single" w:color="6B4F2A" w:sz="6" w:space="1"/>
        </w:pBdr>
        <w:spacing w:after="130"/>
      </w:pPr>
      <w:r>
        <w:rPr>
          <w:rFonts w:ascii="Calibri" w:cs="Calibri" w:eastAsia="Calibri" w:hAnsi="Calibri"/>
          <w:color w:val="1A1A1A"/>
          <w:sz w:val="21"/>
          <w:szCs w:val="21"/>
        </w:rPr>
        <w:t xml:space="preserve"/>
      </w:r>
    </w:p>
    <w:p>
      <w:pPr>
        <w:spacing w:after="130" w:line="288"/>
        <w:jc w:val="both"/>
      </w:pPr>
      <w:r>
        <w:rPr>
          <w:rFonts w:ascii="Calibri" w:cs="Calibri" w:eastAsia="Calibri" w:hAnsi="Calibri"/>
          <w:color w:val="1A1A1A"/>
          <w:sz w:val="21"/>
          <w:szCs w:val="21"/>
        </w:rPr>
        <w:t xml:space="preserve">Credit is the mirror image of insurance and saving: it moves resources across time to smooth consumption. It belongs in every stack, but its economics are widely misunderstood — both in who ultimately pays for rewards and in the protections available to particular borrowers.</w:t>
      </w:r>
    </w:p>
    <w:p>
      <w:pPr>
        <w:pStyle w:val="Heading2"/>
        <w:spacing w:after="120" w:before="240"/>
      </w:pPr>
      <w:r>
        <w:t xml:space="preserve">5.1  Rewards are a regressive transfer</w:t>
      </w:r>
    </w:p>
    <w:p>
      <w:pPr>
        <w:spacing w:after="130" w:line="288"/>
        <w:jc w:val="both"/>
      </w:pPr>
      <w:r>
        <w:rPr>
          <w:rFonts w:ascii="Calibri" w:cs="Calibri" w:eastAsia="Calibri" w:hAnsi="Calibri"/>
          <w:color w:val="1A1A1A"/>
          <w:sz w:val="21"/>
          <w:szCs w:val="21"/>
        </w:rPr>
        <w:t xml:space="preserve">Credit-card rewards are commonly seen as a consumer benefit, but in aggregate they operate as a transfer from lower- to higher-income households. The mechanism is merchant fees: because merchants tend to set uniform prices, the interchange fees that fund rewards are embedded in retail prices paid by everyone, while the rewards flow disproportionately to affluent, financially sophisticated cardholders who pay no interest. Research using large account datasets estimates an annualized redistribution on the order of $15 billion induced by card rewards, and interchange transfers on the order of $30 billion a year from cash and debit users to credit users; Americans paid well over $160 billion in card interest in 2024.</w:t>
      </w:r>
    </w:p>
    <w:tbl>
      <w:tblPr>
        <w:tblW w:type="dxa" w:w="9360"/>
        <w:tblBorders>
          <w:top w:val="single" w:color="F6E4C8" w:sz="1"/>
          <w:left w:val="single" w:color="6B4F2A" w:sz="22"/>
          <w:bottom w:val="single" w:color="F6E4C8" w:sz="1"/>
          <w:right w:val="single" w:color="F6E4C8" w:sz="1"/>
          <w:insideH w:val="single" w:color="auto" w:sz="4"/>
          <w:insideV w:val="single" w:color="auto" w:sz="4"/>
        </w:tblBorders>
      </w:tblPr>
      <w:tblGrid>
        <w:gridCol w:w="9360"/>
      </w:tblGrid>
      <w:tr>
        <w:tc>
          <w:tcPr>
            <w:tcW w:type="dxa" w:w="9360"/>
            <w:shd w:fill="F6E4C8" w:val="clear"/>
            <w:tcMar>
              <w:top w:type="dxa" w:w="130"/>
              <w:left w:type="dxa" w:w="200"/>
              <w:bottom w:type="dxa" w:w="130"/>
              <w:right w:type="dxa" w:w="170"/>
            </w:tcMar>
          </w:tcPr>
          <w:p>
            <w:pPr>
              <w:spacing w:after="70"/>
            </w:pPr>
            <w:r>
              <w:rPr>
                <w:rFonts w:ascii="Calibri" w:cs="Calibri" w:eastAsia="Calibri" w:hAnsi="Calibri"/>
                <w:b/>
                <w:bCs/>
                <w:color w:val="1F3A5F"/>
                <w:sz w:val="21"/>
                <w:szCs w:val="21"/>
              </w:rPr>
              <w:t xml:space="preserve">The practical implication</w:t>
            </w:r>
          </w:p>
          <w:p>
            <w:pPr>
              <w:spacing w:after="40" w:line="284"/>
              <w:jc w:val="both"/>
            </w:pPr>
            <w:r>
              <w:rPr>
                <w:rFonts w:ascii="Calibri" w:cs="Calibri" w:eastAsia="Calibri" w:hAnsi="Calibri"/>
                <w:color w:val="1A1A1A"/>
                <w:sz w:val="20"/>
                <w:szCs w:val="20"/>
              </w:rPr>
              <w:t xml:space="preserve">An individual gains nothing by declining rewards — doing so simply forfeits one’s share of a transfer that persists regardless. But the dominant cost for any household that carries a balance is interest, which dwarfs the value of any rewards earned. The first rule of the credit layer is therefore to avoid revolving a balance; only then does reward optimization matter.</w:t>
            </w:r>
          </w:p>
        </w:tc>
      </w:tr>
    </w:tbl>
    <w:p>
      <w:pPr>
        <w:pStyle w:val="Heading2"/>
        <w:spacing w:after="120" w:before="240"/>
      </w:pPr>
      <w:r>
        <w:t xml:space="preserve">5.2  Optimal use</w:t>
      </w:r>
    </w:p>
    <w:p>
      <w:pPr>
        <w:spacing w:after="130" w:line="288"/>
        <w:jc w:val="both"/>
      </w:pPr>
      <w:r>
        <w:rPr>
          <w:rFonts w:ascii="Calibri" w:cs="Calibri" w:eastAsia="Calibri" w:hAnsi="Calibri"/>
          <w:color w:val="1A1A1A"/>
          <w:sz w:val="21"/>
          <w:szCs w:val="21"/>
        </w:rPr>
        <w:t xml:space="preserve">For a household that pays in full each month, rewards are effectively free, and the choice among cash-back and transferable-point cards turns on spending patterns and redemption discipline. The workbook’s calculator makes the trade-off concrete: on a given annual spend, a flat 2% card, a transferable-points card whose points are worth about two cents each via transfer, and a category card each produce a different effective annual value. Transferable points reward discipline (they are worth most through airline and hotel partners, not cash-out); a flat-rate card rewards simplicity.</w:t>
      </w:r>
    </w:p>
    <w:p>
      <w:pPr>
        <w:pStyle w:val="Heading2"/>
        <w:spacing w:after="120" w:before="240"/>
      </w:pPr>
      <w:r>
        <w:t xml:space="preserve">5.3  Protective rate caps</w:t>
      </w:r>
    </w:p>
    <w:p>
      <w:pPr>
        <w:spacing w:after="130" w:line="288"/>
        <w:jc w:val="both"/>
      </w:pPr>
      <w:r>
        <w:rPr>
          <w:rFonts w:ascii="Calibri" w:cs="Calibri" w:eastAsia="Calibri" w:hAnsi="Calibri"/>
          <w:color w:val="1A1A1A"/>
          <w:sz w:val="21"/>
          <w:szCs w:val="21"/>
        </w:rPr>
        <w:t xml:space="preserve">Certain borrowers benefit from statutory rate protection that materially changes the credit layer. A cap of six percent applies to pre-service debt for military service members — with the excess forgiven rather than merely deferred — and an all-in cap of thirty-six percent (the “military annual percentage rate”) applies to most consumer credit taken during service. Because annual fees count toward the capped rate, major issuers waive the annual fees on premium cards for covered service members, an incidental effect that converts otherwise-expensive products into no-fee ones for the protected population — the mechanism behind the fee-waived cards in Stack F.</w:t>
      </w:r>
    </w:p>
    <w:p>
      <w:pPr>
        <w:pStyle w:val="Heading2"/>
        <w:spacing w:after="120" w:before="240"/>
      </w:pPr>
      <w:r>
        <w:t xml:space="preserve">5.4  Secured lending</w:t>
      </w:r>
    </w:p>
    <w:p>
      <w:pPr>
        <w:spacing w:after="130" w:line="288"/>
        <w:jc w:val="both"/>
      </w:pPr>
      <w:r>
        <w:rPr>
          <w:rFonts w:ascii="Calibri" w:cs="Calibri" w:eastAsia="Calibri" w:hAnsi="Calibri"/>
          <w:color w:val="1A1A1A"/>
          <w:sz w:val="21"/>
          <w:szCs w:val="21"/>
        </w:rPr>
        <w:t xml:space="preserve">In secured lending, the government-guaranteed mortgage discussed in Section 4.4 is the most consequential instrument, removing the down payment and mortgage-insurance cost for eligible borrowers. More broadly, the ordering principle applies to debt as it does to insurance: retire high-interest debt — whose guaranteed “return” equals its interest rate — before discretionary investing, while invoking any applicable rate caps.</w:t>
      </w:r>
    </w:p>
    <w:p>
      <w:r>
        <w:br w:type="page"/>
      </w:r>
    </w:p>
    <w:p>
      <w:pPr>
        <w:pStyle w:val="Heading1"/>
        <w:spacing w:after="160" w:before="320"/>
      </w:pPr>
      <w:r>
        <w:t xml:space="preserve">6  Sequencing and Trigger Events</w:t>
      </w:r>
    </w:p>
    <w:p>
      <w:pPr>
        <w:pBdr>
          <w:bottom w:val="single" w:color="6B4F2A" w:sz="6" w:space="1"/>
        </w:pBdr>
        <w:spacing w:after="130"/>
      </w:pPr>
      <w:r>
        <w:rPr>
          <w:rFonts w:ascii="Calibri" w:cs="Calibri" w:eastAsia="Calibri" w:hAnsi="Calibri"/>
          <w:color w:val="1A1A1A"/>
          <w:sz w:val="21"/>
          <w:szCs w:val="21"/>
        </w:rPr>
        <w:t xml:space="preserve"/>
      </w:r>
    </w:p>
    <w:p>
      <w:pPr>
        <w:spacing w:after="130" w:line="288"/>
        <w:jc w:val="both"/>
      </w:pPr>
      <w:r>
        <w:rPr>
          <w:rFonts w:ascii="Calibri" w:cs="Calibri" w:eastAsia="Calibri" w:hAnsi="Calibri"/>
          <w:color w:val="1A1A1A"/>
          <w:sz w:val="21"/>
          <w:szCs w:val="21"/>
        </w:rPr>
        <w:t xml:space="preserve">A stack is assembled over time, not all at once, and the order matters as much as the contents. The sequence below applies the severity-ordering principle of Part 1, integrating protection and wealth because the two compete for the same household resources. Each stage is substantially addressed before the next.</w:t>
      </w:r>
    </w:p>
    <w:p>
      <w:pPr>
        <w:pStyle w:val="ListParagraph"/>
        <w:numPr>
          <w:ilvl w:val="0"/>
          <w:numId w:val="2"/>
        </w:numPr>
        <w:spacing w:after="90" w:line="280"/>
        <w:jc w:val="both"/>
      </w:pPr>
      <w:r>
        <w:rPr>
          <w:rFonts w:ascii="Calibri" w:cs="Calibri" w:eastAsia="Calibri" w:hAnsi="Calibri"/>
          <w:b/>
          <w:bCs/>
          <w:color w:val="1A1A1A"/>
          <w:sz w:val="21"/>
          <w:szCs w:val="21"/>
        </w:rPr>
        <w:t xml:space="preserve">Establish a liquid reserve. </w:t>
      </w:r>
      <w:r>
        <w:rPr>
          <w:rFonts w:ascii="Calibri" w:cs="Calibri" w:eastAsia="Calibri" w:hAnsi="Calibri"/>
          <w:color w:val="1A1A1A"/>
          <w:sz w:val="21"/>
          <w:szCs w:val="21"/>
        </w:rPr>
        <w:t xml:space="preserve">A cash emergency fund of several months’ essential expenses is the foundation that lets every riskier position stay undisturbed through a shock.</w:t>
      </w:r>
    </w:p>
    <w:p>
      <w:pPr>
        <w:pStyle w:val="ListParagraph"/>
        <w:numPr>
          <w:ilvl w:val="0"/>
          <w:numId w:val="2"/>
        </w:numPr>
        <w:spacing w:after="90" w:line="280"/>
        <w:jc w:val="both"/>
      </w:pPr>
      <w:r>
        <w:rPr>
          <w:rFonts w:ascii="Calibri" w:cs="Calibri" w:eastAsia="Calibri" w:hAnsi="Calibri"/>
          <w:b/>
          <w:bCs/>
          <w:color w:val="1A1A1A"/>
          <w:sz w:val="21"/>
          <w:szCs w:val="21"/>
        </w:rPr>
        <w:t xml:space="preserve">Secure catastrophic personal coverage. </w:t>
      </w:r>
      <w:r>
        <w:rPr>
          <w:rFonts w:ascii="Calibri" w:cs="Calibri" w:eastAsia="Calibri" w:hAnsi="Calibri"/>
          <w:color w:val="1A1A1A"/>
          <w:sz w:val="21"/>
          <w:szCs w:val="21"/>
        </w:rPr>
        <w:t xml:space="preserve">Health, disability, adequate liability (including umbrella), and — only where dependents exist — term life, before optimizing smaller risks.</w:t>
      </w:r>
    </w:p>
    <w:p>
      <w:pPr>
        <w:pStyle w:val="ListParagraph"/>
        <w:numPr>
          <w:ilvl w:val="0"/>
          <w:numId w:val="2"/>
        </w:numPr>
        <w:spacing w:after="90" w:line="280"/>
        <w:jc w:val="both"/>
      </w:pPr>
      <w:r>
        <w:rPr>
          <w:rFonts w:ascii="Calibri" w:cs="Calibri" w:eastAsia="Calibri" w:hAnsi="Calibri"/>
          <w:b/>
          <w:bCs/>
          <w:color w:val="1A1A1A"/>
          <w:sz w:val="21"/>
          <w:szCs w:val="21"/>
        </w:rPr>
        <w:t xml:space="preserve">Capture guaranteed returns. </w:t>
      </w:r>
      <w:r>
        <w:rPr>
          <w:rFonts w:ascii="Calibri" w:cs="Calibri" w:eastAsia="Calibri" w:hAnsi="Calibri"/>
          <w:color w:val="1A1A1A"/>
          <w:sz w:val="21"/>
          <w:szCs w:val="21"/>
        </w:rPr>
        <w:t xml:space="preserve">Any employer match is a riskless 100% return and precedes discretionary investing; retire high-interest debt in parallel, invoking applicable rate caps.</w:t>
      </w:r>
    </w:p>
    <w:p>
      <w:pPr>
        <w:pStyle w:val="ListParagraph"/>
        <w:numPr>
          <w:ilvl w:val="0"/>
          <w:numId w:val="2"/>
        </w:numPr>
        <w:spacing w:after="90" w:line="280"/>
        <w:jc w:val="both"/>
      </w:pPr>
      <w:r>
        <w:rPr>
          <w:rFonts w:ascii="Calibri" w:cs="Calibri" w:eastAsia="Calibri" w:hAnsi="Calibri"/>
          <w:b/>
          <w:bCs/>
          <w:color w:val="1A1A1A"/>
          <w:sz w:val="21"/>
          <w:szCs w:val="21"/>
        </w:rPr>
        <w:t xml:space="preserve">Fund tax-advantaged accumulation. </w:t>
      </w:r>
      <w:r>
        <w:rPr>
          <w:rFonts w:ascii="Calibri" w:cs="Calibri" w:eastAsia="Calibri" w:hAnsi="Calibri"/>
          <w:color w:val="1A1A1A"/>
          <w:sz w:val="21"/>
          <w:szCs w:val="21"/>
        </w:rPr>
        <w:t xml:space="preserve">Individual retirement accounts, health savings accounts where eligible, and self-employed plans, invested in low-cost index funds, as early as possible.</w:t>
      </w:r>
    </w:p>
    <w:p>
      <w:pPr>
        <w:pStyle w:val="ListParagraph"/>
        <w:numPr>
          <w:ilvl w:val="0"/>
          <w:numId w:val="2"/>
        </w:numPr>
        <w:spacing w:after="90" w:line="280"/>
        <w:jc w:val="both"/>
      </w:pPr>
      <w:r>
        <w:rPr>
          <w:rFonts w:ascii="Calibri" w:cs="Calibri" w:eastAsia="Calibri" w:hAnsi="Calibri"/>
          <w:b/>
          <w:bCs/>
          <w:color w:val="1A1A1A"/>
          <w:sz w:val="21"/>
          <w:szCs w:val="21"/>
        </w:rPr>
        <w:t xml:space="preserve">Add commercial coverage as ventures require. </w:t>
      </w:r>
      <w:r>
        <w:rPr>
          <w:rFonts w:ascii="Calibri" w:cs="Calibri" w:eastAsia="Calibri" w:hAnsi="Calibri"/>
          <w:color w:val="1A1A1A"/>
          <w:sz w:val="21"/>
          <w:szCs w:val="21"/>
        </w:rPr>
        <w:t xml:space="preserve">Professional-liability and cyber first, then governance and statutory coverages as the firm raises capital and hires (Stack D).</w:t>
      </w:r>
    </w:p>
    <w:p>
      <w:pPr>
        <w:pStyle w:val="ListParagraph"/>
        <w:numPr>
          <w:ilvl w:val="0"/>
          <w:numId w:val="2"/>
        </w:numPr>
        <w:spacing w:after="90" w:line="280"/>
        <w:jc w:val="both"/>
      </w:pPr>
      <w:r>
        <w:rPr>
          <w:rFonts w:ascii="Calibri" w:cs="Calibri" w:eastAsia="Calibri" w:hAnsi="Calibri"/>
          <w:b/>
          <w:bCs/>
          <w:color w:val="1A1A1A"/>
          <w:sz w:val="21"/>
          <w:szCs w:val="21"/>
        </w:rPr>
        <w:t xml:space="preserve">Add property-specific coverage as assets are acquired. </w:t>
      </w:r>
      <w:r>
        <w:rPr>
          <w:rFonts w:ascii="Calibri" w:cs="Calibri" w:eastAsia="Calibri" w:hAnsi="Calibri"/>
          <w:color w:val="1A1A1A"/>
          <w:sz w:val="21"/>
          <w:szCs w:val="21"/>
        </w:rPr>
        <w:t xml:space="preserve">Landlord, title, and flood coverage at acquisition, with umbrella layered across the portfolio (Stack E).</w:t>
      </w:r>
    </w:p>
    <w:p>
      <w:pPr>
        <w:pStyle w:val="ListParagraph"/>
        <w:numPr>
          <w:ilvl w:val="0"/>
          <w:numId w:val="2"/>
        </w:numPr>
        <w:spacing w:after="90" w:line="280"/>
        <w:jc w:val="both"/>
      </w:pPr>
      <w:r>
        <w:rPr>
          <w:rFonts w:ascii="Calibri" w:cs="Calibri" w:eastAsia="Calibri" w:hAnsi="Calibri"/>
          <w:b/>
          <w:bCs/>
          <w:color w:val="1A1A1A"/>
          <w:sz w:val="21"/>
          <w:szCs w:val="21"/>
        </w:rPr>
        <w:t xml:space="preserve">Optimize the remainder. </w:t>
      </w:r>
      <w:r>
        <w:rPr>
          <w:rFonts w:ascii="Calibri" w:cs="Calibri" w:eastAsia="Calibri" w:hAnsi="Calibri"/>
          <w:color w:val="1A1A1A"/>
          <w:sz w:val="21"/>
          <w:szCs w:val="21"/>
        </w:rPr>
        <w:t xml:space="preserve">Only after the catastrophic layers are in place do supplemental lines, reward-optimized credit, and taxable investing beyond the tax-advantaged ceilings warrant attention.</w:t>
      </w:r>
    </w:p>
    <w:p>
      <w:pPr>
        <w:spacing w:after="20"/>
      </w:pPr>
      <w:r>
        <w:rPr>
          <w:rFonts w:ascii="Calibri" w:cs="Calibri" w:eastAsia="Calibri" w:hAnsi="Calibri"/>
          <w:color w:val="1A1A1A"/>
          <w:sz w:val="21"/>
          <w:szCs w:val="21"/>
        </w:rPr>
        <w:t xml:space="preserve"/>
      </w:r>
    </w:p>
    <w:p>
      <w:pPr>
        <w:spacing w:after="130" w:line="288"/>
        <w:jc w:val="both"/>
      </w:pPr>
      <w:r>
        <w:rPr>
          <w:rFonts w:ascii="Calibri" w:cs="Calibri" w:eastAsia="Calibri" w:hAnsi="Calibri"/>
          <w:color w:val="1A1A1A"/>
          <w:sz w:val="21"/>
          <w:szCs w:val="21"/>
        </w:rPr>
        <w:t xml:space="preserve">Annuities and any permanent insurance appear, if at all, far later — the former as decumulation instruments in retirement, the latter only where a lifelong need genuinely exists. Their placement at the end, rather than the beginning, is one of the clearest departures from the order in which such products are typically marketed.</w:t>
      </w:r>
    </w:p>
    <w:p>
      <w:pPr>
        <w:pStyle w:val="Heading2"/>
        <w:spacing w:after="120" w:before="240"/>
      </w:pPr>
      <w:r>
        <w:t xml:space="preserve">6.1  Trigger events that revise the stack</w:t>
      </w:r>
    </w:p>
    <w:p>
      <w:pPr>
        <w:spacing w:after="130" w:line="288"/>
        <w:jc w:val="both"/>
      </w:pPr>
      <w:r>
        <w:rPr>
          <w:rFonts w:ascii="Calibri" w:cs="Calibri" w:eastAsia="Calibri" w:hAnsi="Calibri"/>
          <w:color w:val="1A1A1A"/>
          <w:sz w:val="21"/>
          <w:szCs w:val="21"/>
        </w:rPr>
        <w:t xml:space="preserve">A stack is not static; specific life events change the risk profile and should prompt revision.</w:t>
      </w:r>
    </w:p>
    <w:p>
      <w:pPr>
        <w:spacing w:after="30"/>
      </w:pPr>
      <w:r>
        <w:rPr>
          <w:rFonts w:ascii="Calibri" w:cs="Calibri" w:eastAsia="Calibri" w:hAnsi="Calibri"/>
          <w:color w:val="1A1A1A"/>
          <w:sz w:val="21"/>
          <w:szCs w:val="21"/>
        </w:rPr>
        <w:t xml:space="preserve"/>
      </w:r>
    </w:p>
    <w:p>
      <w:pPr>
        <w:spacing w:after="60" w:before="60"/>
      </w:pPr>
      <w:r>
        <w:rPr>
          <w:rFonts w:ascii="Calibri" w:cs="Calibri" w:eastAsia="Calibri" w:hAnsi="Calibri"/>
          <w:b/>
          <w:bCs/>
          <w:color w:val="1F3A5F"/>
          <w:sz w:val="18"/>
          <w:szCs w:val="18"/>
        </w:rPr>
        <w:t xml:space="preserve">Table 6.1  Life events and the revisions they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Trigger event</w:t>
            </w:r>
          </w:p>
        </w:tc>
        <w:tc>
          <w:tcPr>
            <w:tcW w:type="dxa" w:w="456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Revision indicated</w:t>
            </w:r>
          </w:p>
        </w:tc>
        <w:tc>
          <w:tcPr>
            <w:tcW w:type="dxa" w:w="1800"/>
            <w:tcBorders>
              <w:top w:val="single" w:color="C4CFD9" w:sz="1"/>
              <w:left w:val="single" w:color="C4CFD9" w:sz="1"/>
              <w:bottom w:val="single" w:color="C4CFD9" w:sz="1"/>
              <w:right w:val="single" w:color="C4CFD9" w:sz="1"/>
            </w:tcBorders>
            <w:shd w:fill="1F3A5F" w:val="clear"/>
            <w:tcMar>
              <w:top w:type="dxa" w:w="60"/>
              <w:left w:type="dxa" w:w="85"/>
              <w:bottom w:type="dxa" w:w="60"/>
              <w:right w:type="dxa" w:w="85"/>
            </w:tcMar>
            <w:vAlign w:val="center"/>
          </w:tcPr>
          <w:p>
            <w:pPr>
              <w:spacing w:after="0"/>
              <w:jc w:val="left"/>
            </w:pPr>
            <w:r>
              <w:rPr>
                <w:rFonts w:ascii="Calibri" w:cs="Calibri" w:eastAsia="Calibri" w:hAnsi="Calibri"/>
                <w:b/>
                <w:bCs/>
                <w:color w:val="FFFFFF"/>
                <w:sz w:val="18"/>
                <w:szCs w:val="18"/>
              </w:rPr>
              <w:t xml:space="preserve">Moves toward</w:t>
            </w:r>
          </w:p>
        </w:tc>
      </w:tr>
      <w:tr>
        <w:tc>
          <w:tcPr>
            <w:tcW w:type="dxa" w:w="30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Acquiring a dependent</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Add term life; revisit health and disability; begin education saving</w:t>
            </w:r>
          </w:p>
        </w:tc>
        <w:tc>
          <w:tcPr>
            <w:tcW w:type="dxa" w:w="18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Stack C</w:t>
            </w:r>
          </w:p>
        </w:tc>
      </w:tr>
      <w:tr>
        <w:tc>
          <w:tcPr>
            <w:tcW w:type="dxa" w:w="30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Becoming self-employed</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Add individual disability, professional-liability, and cyber; open a self-employed plan</w:t>
            </w:r>
          </w:p>
        </w:tc>
        <w:tc>
          <w:tcPr>
            <w:tcW w:type="dxa" w:w="18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Stack D</w:t>
            </w:r>
          </w:p>
        </w:tc>
      </w:tr>
      <w:tr>
        <w:tc>
          <w:tcPr>
            <w:tcW w:type="dxa" w:w="30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Rising net worth</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Add or increase umbrella once assets exceed underlying limits</w:t>
            </w:r>
          </w:p>
        </w:tc>
        <w:tc>
          <w:tcPr>
            <w:tcW w:type="dxa" w:w="18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Stack C/E</w:t>
            </w:r>
          </w:p>
        </w:tc>
      </w:tr>
      <w:tr>
        <w:tc>
          <w:tcPr>
            <w:tcW w:type="dxa" w:w="30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Acquiring rental property</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Add landlord, title, and (where exposed) flood; raise umbrella</w:t>
            </w:r>
          </w:p>
        </w:tc>
        <w:tc>
          <w:tcPr>
            <w:tcW w:type="dxa" w:w="18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Stack E</w:t>
            </w:r>
          </w:p>
        </w:tc>
      </w:tr>
      <w:tr>
        <w:tc>
          <w:tcPr>
            <w:tcW w:type="dxa" w:w="30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Gaining access to a group/subsidized plan</w:t>
            </w:r>
          </w:p>
        </w:tc>
        <w:tc>
          <w:tcPr>
            <w:tcW w:type="dxa" w:w="456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Shift health, life, and retirement into the pooled option</w:t>
            </w:r>
          </w:p>
        </w:tc>
        <w:tc>
          <w:tcPr>
            <w:tcW w:type="dxa" w:w="1800"/>
            <w:tcBorders>
              <w:top w:val="single" w:color="C4CFD9" w:sz="1"/>
              <w:left w:val="single" w:color="C4CFD9" w:sz="1"/>
              <w:bottom w:val="single" w:color="C4CFD9" w:sz="1"/>
              <w:right w:val="single" w:color="C4CFD9" w:sz="1"/>
            </w:tcBorders>
            <w:shd w:fill="FFFFFF"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Stack F</w:t>
            </w:r>
          </w:p>
        </w:tc>
      </w:tr>
      <w:tr>
        <w:tc>
          <w:tcPr>
            <w:tcW w:type="dxa" w:w="30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Approaching retirement</w:t>
            </w:r>
          </w:p>
        </w:tc>
        <w:tc>
          <w:tcPr>
            <w:tcW w:type="dxa" w:w="456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Shift from accumulation toward partial annuitization for longevity risk</w:t>
            </w:r>
          </w:p>
        </w:tc>
        <w:tc>
          <w:tcPr>
            <w:tcW w:type="dxa" w:w="1800"/>
            <w:tcBorders>
              <w:top w:val="single" w:color="C4CFD9" w:sz="1"/>
              <w:left w:val="single" w:color="C4CFD9" w:sz="1"/>
              <w:bottom w:val="single" w:color="C4CFD9" w:sz="1"/>
              <w:right w:val="single" w:color="C4CFD9" w:sz="1"/>
            </w:tcBorders>
            <w:shd w:fill="F4F6F9" w:val="clear"/>
            <w:tcMar>
              <w:top w:type="dxa" w:w="50"/>
              <w:left w:type="dxa" w:w="85"/>
              <w:bottom w:type="dxa" w:w="50"/>
              <w:right w:type="dxa" w:w="85"/>
            </w:tcMar>
            <w:vAlign w:val="center"/>
          </w:tcPr>
          <w:p>
            <w:pPr>
              <w:spacing w:after="0" w:line="256"/>
              <w:jc w:val="left"/>
            </w:pPr>
            <w:r>
              <w:rPr>
                <w:rFonts w:ascii="Calibri" w:cs="Calibri" w:eastAsia="Calibri" w:hAnsi="Calibri"/>
                <w:b w:val="false"/>
                <w:bCs w:val="false"/>
                <w:color w:val="1A1A1A"/>
                <w:sz w:val="17"/>
                <w:szCs w:val="17"/>
              </w:rPr>
              <w:t xml:space="preserve">(decumulation)</w:t>
            </w:r>
          </w:p>
        </w:tc>
      </w:tr>
    </w:tbl>
    <w:p>
      <w:pPr>
        <w:spacing w:after="130" w:before="36"/>
      </w:pPr>
      <w:r>
        <w:rPr>
          <w:rFonts w:ascii="Calibri" w:cs="Calibri" w:eastAsia="Calibri" w:hAnsi="Calibri"/>
          <w:i/>
          <w:iCs/>
          <w:color w:val="555555"/>
          <w:sz w:val="16"/>
          <w:szCs w:val="16"/>
        </w:rPr>
        <w:t xml:space="preserve">The triggers are general; the appropriate response depends on circumstances and, for consequential decisions, on qualified professional advice.</w:t>
      </w:r>
    </w:p>
    <w:p>
      <w:r>
        <w:br w:type="page"/>
      </w:r>
    </w:p>
    <w:p>
      <w:pPr>
        <w:pStyle w:val="Heading1"/>
        <w:spacing w:after="160" w:before="320"/>
      </w:pPr>
      <w:r>
        <w:t xml:space="preserve">7  Caveats and Limitations</w:t>
      </w:r>
    </w:p>
    <w:p>
      <w:pPr>
        <w:pBdr>
          <w:bottom w:val="single" w:color="6B4F2A" w:sz="6" w:space="1"/>
        </w:pBdr>
        <w:spacing w:after="130"/>
      </w:pPr>
      <w:r>
        <w:rPr>
          <w:rFonts w:ascii="Calibri" w:cs="Calibri" w:eastAsia="Calibri" w:hAnsi="Calibri"/>
          <w:color w:val="1A1A1A"/>
          <w:sz w:val="21"/>
          <w:szCs w:val="21"/>
        </w:rPr>
        <w:t xml:space="preserve"/>
      </w:r>
    </w:p>
    <w:p>
      <w:pPr>
        <w:spacing w:after="130" w:line="288"/>
        <w:jc w:val="both"/>
      </w:pPr>
      <w:r>
        <w:rPr>
          <w:rFonts w:ascii="Calibri" w:cs="Calibri" w:eastAsia="Calibri" w:hAnsi="Calibri"/>
          <w:color w:val="1A1A1A"/>
          <w:sz w:val="21"/>
          <w:szCs w:val="21"/>
        </w:rPr>
        <w:t xml:space="preserve">This analysis is general and educational, and several limitations bear emphasis.</w:t>
      </w:r>
    </w:p>
    <w:p>
      <w:pPr>
        <w:pStyle w:val="ListParagraph"/>
        <w:numPr>
          <w:ilvl w:val="0"/>
          <w:numId w:val="3"/>
        </w:numPr>
        <w:spacing w:after="90" w:line="280"/>
        <w:jc w:val="both"/>
      </w:pPr>
      <w:r>
        <w:rPr>
          <w:rFonts w:ascii="Calibri" w:cs="Calibri" w:eastAsia="Calibri" w:hAnsi="Calibri"/>
          <w:b/>
          <w:bCs/>
          <w:color w:val="1A1A1A"/>
          <w:sz w:val="21"/>
          <w:szCs w:val="21"/>
        </w:rPr>
        <w:t xml:space="preserve">The stacks are illustrative archetypes. </w:t>
      </w:r>
      <w:r>
        <w:rPr>
          <w:rFonts w:ascii="Calibri" w:cs="Calibri" w:eastAsia="Calibri" w:hAnsi="Calibri"/>
          <w:color w:val="1A1A1A"/>
          <w:sz w:val="21"/>
          <w:szCs w:val="21"/>
        </w:rPr>
        <w:t xml:space="preserve">They describe no individual and are not recommendations; a real household’s optimal configuration depends on its specific circumstances.</w:t>
      </w:r>
    </w:p>
    <w:p>
      <w:pPr>
        <w:pStyle w:val="ListParagraph"/>
        <w:numPr>
          <w:ilvl w:val="0"/>
          <w:numId w:val="3"/>
        </w:numPr>
        <w:spacing w:after="90" w:line="280"/>
        <w:jc w:val="both"/>
      </w:pPr>
      <w:r>
        <w:rPr>
          <w:rFonts w:ascii="Calibri" w:cs="Calibri" w:eastAsia="Calibri" w:hAnsi="Calibri"/>
          <w:b/>
          <w:bCs/>
          <w:color w:val="1A1A1A"/>
          <w:sz w:val="21"/>
          <w:szCs w:val="21"/>
        </w:rPr>
        <w:t xml:space="preserve">Figures are representative ranges, not quotes. </w:t>
      </w:r>
      <w:r>
        <w:rPr>
          <w:rFonts w:ascii="Calibri" w:cs="Calibri" w:eastAsia="Calibri" w:hAnsi="Calibri"/>
          <w:color w:val="1A1A1A"/>
          <w:sz w:val="21"/>
          <w:szCs w:val="21"/>
        </w:rPr>
        <w:t xml:space="preserve">Insurance pricing varies widely with age, health, location, driving and claims history, and risk exposure; the annual totals use range mid-points and will differ from real premiums.</w:t>
      </w:r>
    </w:p>
    <w:p>
      <w:pPr>
        <w:pStyle w:val="ListParagraph"/>
        <w:numPr>
          <w:ilvl w:val="0"/>
          <w:numId w:val="3"/>
        </w:numPr>
        <w:spacing w:after="90" w:line="280"/>
        <w:jc w:val="both"/>
      </w:pPr>
      <w:r>
        <w:rPr>
          <w:rFonts w:ascii="Calibri" w:cs="Calibri" w:eastAsia="Calibri" w:hAnsi="Calibri"/>
          <w:b/>
          <w:bCs/>
          <w:color w:val="1A1A1A"/>
          <w:sz w:val="21"/>
          <w:szCs w:val="21"/>
        </w:rPr>
        <w:t xml:space="preserve">Figures are 2024–2026 vintage and change over time. </w:t>
      </w:r>
      <w:r>
        <w:rPr>
          <w:rFonts w:ascii="Calibri" w:cs="Calibri" w:eastAsia="Calibri" w:hAnsi="Calibri"/>
          <w:color w:val="1A1A1A"/>
          <w:sz w:val="21"/>
          <w:szCs w:val="21"/>
        </w:rPr>
        <w:t xml:space="preserve">Premiums, contribution limits, and rate caps are periodically adjusted; confirm current values against the companion workbook’s sources.</w:t>
      </w:r>
    </w:p>
    <w:p>
      <w:pPr>
        <w:pStyle w:val="ListParagraph"/>
        <w:numPr>
          <w:ilvl w:val="0"/>
          <w:numId w:val="3"/>
        </w:numPr>
        <w:spacing w:after="90" w:line="280"/>
        <w:jc w:val="both"/>
      </w:pPr>
      <w:r>
        <w:rPr>
          <w:rFonts w:ascii="Calibri" w:cs="Calibri" w:eastAsia="Calibri" w:hAnsi="Calibri"/>
          <w:b/>
          <w:bCs/>
          <w:color w:val="1A1A1A"/>
          <w:sz w:val="21"/>
          <w:szCs w:val="21"/>
        </w:rPr>
        <w:t xml:space="preserve">Pooled-coverage availability is uneven. </w:t>
      </w:r>
      <w:r>
        <w:rPr>
          <w:rFonts w:ascii="Calibri" w:cs="Calibri" w:eastAsia="Calibri" w:hAnsi="Calibri"/>
          <w:color w:val="1A1A1A"/>
          <w:sz w:val="21"/>
          <w:szCs w:val="21"/>
        </w:rPr>
        <w:t xml:space="preserve">The strongest stack depends on access to group or subsidized coverage, which is not universally available — a matter of equity as well as of individual planning.</w:t>
      </w:r>
    </w:p>
    <w:p>
      <w:pPr>
        <w:pStyle w:val="ListParagraph"/>
        <w:numPr>
          <w:ilvl w:val="0"/>
          <w:numId w:val="3"/>
        </w:numPr>
        <w:spacing w:after="90" w:line="280"/>
        <w:jc w:val="both"/>
      </w:pPr>
      <w:r>
        <w:rPr>
          <w:rFonts w:ascii="Calibri" w:cs="Calibri" w:eastAsia="Calibri" w:hAnsi="Calibri"/>
          <w:b/>
          <w:bCs/>
          <w:color w:val="1A1A1A"/>
          <w:sz w:val="21"/>
          <w:szCs w:val="21"/>
        </w:rPr>
        <w:t xml:space="preserve">Scores are a decision aid, not a grade. </w:t>
      </w:r>
      <w:r>
        <w:rPr>
          <w:rFonts w:ascii="Calibri" w:cs="Calibri" w:eastAsia="Calibri" w:hAnsi="Calibri"/>
          <w:color w:val="1A1A1A"/>
          <w:sz w:val="21"/>
          <w:szCs w:val="21"/>
        </w:rPr>
        <w:t xml:space="preserve">They summarize trade-offs on a common scale; a low score frequently reflects deliberately minimal coverage and high residual risk rather than poor construction.</w:t>
      </w:r>
    </w:p>
    <w:p>
      <w:pPr>
        <w:pStyle w:val="ListParagraph"/>
        <w:numPr>
          <w:ilvl w:val="0"/>
          <w:numId w:val="3"/>
        </w:numPr>
        <w:spacing w:after="90" w:line="280"/>
        <w:jc w:val="both"/>
      </w:pPr>
      <w:r>
        <w:rPr>
          <w:rFonts w:ascii="Calibri" w:cs="Calibri" w:eastAsia="Calibri" w:hAnsi="Calibri"/>
          <w:b/>
          <w:bCs/>
          <w:color w:val="1A1A1A"/>
          <w:sz w:val="21"/>
          <w:szCs w:val="21"/>
        </w:rPr>
        <w:t xml:space="preserve">This is not advice. </w:t>
      </w:r>
      <w:r>
        <w:rPr>
          <w:rFonts w:ascii="Calibri" w:cs="Calibri" w:eastAsia="Calibri" w:hAnsi="Calibri"/>
          <w:color w:val="1A1A1A"/>
          <w:sz w:val="21"/>
          <w:szCs w:val="21"/>
        </w:rPr>
        <w:t xml:space="preserve">Nothing here constitutes legal, tax, insurance, or investment advice. Specific products, premiums, eligibility, and structures should be confirmed with qualified professionals before any decision.</w:t>
      </w:r>
    </w:p>
    <w:p>
      <w:pPr>
        <w:spacing w:after="20"/>
      </w:pPr>
      <w:r>
        <w:rPr>
          <w:rFonts w:ascii="Calibri" w:cs="Calibri" w:eastAsia="Calibri" w:hAnsi="Calibri"/>
          <w:color w:val="1A1A1A"/>
          <w:sz w:val="21"/>
          <w:szCs w:val="21"/>
        </w:rPr>
        <w:t xml:space="preserve"/>
      </w:r>
    </w:p>
    <w:tbl>
      <w:tblPr>
        <w:tblW w:type="dxa" w:w="9360"/>
        <w:tblBorders>
          <w:top w:val="single" w:color="D6E7C8" w:sz="1"/>
          <w:left w:val="single" w:color="3E6B34" w:sz="22"/>
          <w:bottom w:val="single" w:color="D6E7C8" w:sz="1"/>
          <w:right w:val="single" w:color="D6E7C8" w:sz="1"/>
          <w:insideH w:val="single" w:color="auto" w:sz="4"/>
          <w:insideV w:val="single" w:color="auto" w:sz="4"/>
        </w:tblBorders>
      </w:tblPr>
      <w:tblGrid>
        <w:gridCol w:w="9360"/>
      </w:tblGrid>
      <w:tr>
        <w:tc>
          <w:tcPr>
            <w:tcW w:type="dxa" w:w="9360"/>
            <w:shd w:fill="D6E7C8" w:val="clear"/>
            <w:tcMar>
              <w:top w:type="dxa" w:w="130"/>
              <w:left w:type="dxa" w:w="200"/>
              <w:bottom w:type="dxa" w:w="130"/>
              <w:right w:type="dxa" w:w="170"/>
            </w:tcMar>
          </w:tcPr>
          <w:p>
            <w:pPr>
              <w:spacing w:after="70"/>
            </w:pPr>
            <w:r>
              <w:rPr>
                <w:rFonts w:ascii="Calibri" w:cs="Calibri" w:eastAsia="Calibri" w:hAnsi="Calibri"/>
                <w:b/>
                <w:bCs/>
                <w:color w:val="1F3A5F"/>
                <w:sz w:val="21"/>
                <w:szCs w:val="21"/>
              </w:rPr>
              <w:t xml:space="preserve">The through-line</w:t>
            </w:r>
          </w:p>
          <w:p>
            <w:pPr>
              <w:spacing w:after="40" w:line="284"/>
              <w:jc w:val="both"/>
            </w:pPr>
            <w:r>
              <w:rPr>
                <w:rFonts w:ascii="Calibri" w:cs="Calibri" w:eastAsia="Calibri" w:hAnsi="Calibri"/>
                <w:color w:val="1A1A1A"/>
                <w:sz w:val="20"/>
                <w:szCs w:val="20"/>
              </w:rPr>
              <w:t xml:space="preserve">Across every stack, two findings hold: protection should be sequenced by severity — catastrophic risks first, small ones retained — and pooled or subsidized coverage, where available, dominates individual-market coverage on price. A household that insures its catastrophic risks first, retains its small ones, captures any match, and invests the difference early in low-cost funds will have solved the greater part of the problem, whatever the details of product selection.</w:t>
            </w:r>
          </w:p>
        </w:tc>
      </w:tr>
    </w:tbl>
    <w:p>
      <w:r>
        <w:br w:type="page"/>
      </w:r>
    </w:p>
    <w:p>
      <w:pPr>
        <w:pStyle w:val="Heading1"/>
        <w:spacing w:after="160" w:before="320"/>
      </w:pPr>
      <w:r>
        <w:t xml:space="preserve">Sources</w:t>
      </w:r>
    </w:p>
    <w:p>
      <w:pPr>
        <w:pBdr>
          <w:bottom w:val="single" w:color="6B4F2A" w:sz="6" w:space="1"/>
        </w:pBdr>
        <w:spacing w:after="130"/>
      </w:pPr>
      <w:r>
        <w:rPr>
          <w:rFonts w:ascii="Calibri" w:cs="Calibri" w:eastAsia="Calibri" w:hAnsi="Calibri"/>
          <w:color w:val="1A1A1A"/>
          <w:sz w:val="21"/>
          <w:szCs w:val="21"/>
        </w:rPr>
        <w:t xml:space="preserve"/>
      </w:r>
    </w:p>
    <w:p>
      <w:pPr>
        <w:spacing w:after="130" w:line="288"/>
        <w:jc w:val="both"/>
      </w:pPr>
      <w:r>
        <w:rPr>
          <w:rFonts w:ascii="Calibri" w:cs="Calibri" w:eastAsia="Calibri" w:hAnsi="Calibri"/>
          <w:color w:val="1A1A1A"/>
          <w:sz w:val="21"/>
          <w:szCs w:val="21"/>
        </w:rPr>
        <w:t xml:space="preserve">Every figure in this analysis derives from the companion data workbook, whose Sources tab gives full citations. The principal sources are listed below.</w:t>
      </w:r>
    </w:p>
    <w:p>
      <w:pPr>
        <w:pStyle w:val="ListParagraph"/>
        <w:numPr>
          <w:ilvl w:val="0"/>
          <w:numId w:val="3"/>
        </w:numPr>
        <w:spacing w:after="90" w:line="280"/>
        <w:jc w:val="both"/>
      </w:pPr>
      <w:r>
        <w:rPr>
          <w:rFonts w:ascii="Calibri" w:cs="Calibri" w:eastAsia="Calibri" w:hAnsi="Calibri"/>
          <w:color w:val="1A1A1A"/>
          <w:sz w:val="21"/>
          <w:szCs w:val="21"/>
        </w:rPr>
        <w:t xml:space="preserve">Defense Health Agency (2025). TRICARE 2026 Costs and Fees — reserve-component health premiums.</w:t>
      </w:r>
    </w:p>
    <w:p>
      <w:pPr>
        <w:pStyle w:val="ListParagraph"/>
        <w:numPr>
          <w:ilvl w:val="0"/>
          <w:numId w:val="3"/>
        </w:numPr>
        <w:spacing w:after="90" w:line="280"/>
        <w:jc w:val="both"/>
      </w:pPr>
      <w:r>
        <w:rPr>
          <w:rFonts w:ascii="Calibri" w:cs="Calibri" w:eastAsia="Calibri" w:hAnsi="Calibri"/>
          <w:color w:val="1A1A1A"/>
          <w:sz w:val="21"/>
          <w:szCs w:val="21"/>
        </w:rPr>
        <w:t xml:space="preserve">U.S. Department of Veterans Affairs (2024–2025). Group life insurance rates; VA home-loan funding fee.</w:t>
      </w:r>
    </w:p>
    <w:p>
      <w:pPr>
        <w:pStyle w:val="ListParagraph"/>
        <w:numPr>
          <w:ilvl w:val="0"/>
          <w:numId w:val="3"/>
        </w:numPr>
        <w:spacing w:after="90" w:line="280"/>
        <w:jc w:val="both"/>
      </w:pPr>
      <w:r>
        <w:rPr>
          <w:rFonts w:ascii="Calibri" w:cs="Calibri" w:eastAsia="Calibri" w:hAnsi="Calibri"/>
          <w:color w:val="1A1A1A"/>
          <w:sz w:val="21"/>
          <w:szCs w:val="21"/>
        </w:rPr>
        <w:t xml:space="preserve">Internal Revenue Service (2025). Notice 2025-67 / IR-2025-111 — 2026 retirement and HSA contribution limits.</w:t>
      </w:r>
    </w:p>
    <w:p>
      <w:pPr>
        <w:pStyle w:val="ListParagraph"/>
        <w:numPr>
          <w:ilvl w:val="0"/>
          <w:numId w:val="3"/>
        </w:numPr>
        <w:spacing w:after="90" w:line="280"/>
        <w:jc w:val="both"/>
      </w:pPr>
      <w:r>
        <w:rPr>
          <w:rFonts w:ascii="Calibri" w:cs="Calibri" w:eastAsia="Calibri" w:hAnsi="Calibri"/>
          <w:color w:val="1A1A1A"/>
          <w:sz w:val="21"/>
          <w:szCs w:val="21"/>
        </w:rPr>
        <w:t xml:space="preserve">Commonwealth Fund (2024); Congressional Budget Office (2024); Urban Institute (2025) — coverage adequacy and marketplace premiums.</w:t>
      </w:r>
    </w:p>
    <w:p>
      <w:pPr>
        <w:pStyle w:val="ListParagraph"/>
        <w:numPr>
          <w:ilvl w:val="0"/>
          <w:numId w:val="3"/>
        </w:numPr>
        <w:spacing w:after="90" w:line="280"/>
        <w:jc w:val="both"/>
      </w:pPr>
      <w:r>
        <w:rPr>
          <w:rFonts w:ascii="Calibri" w:cs="Calibri" w:eastAsia="Calibri" w:hAnsi="Calibri"/>
          <w:color w:val="1A1A1A"/>
          <w:sz w:val="21"/>
          <w:szCs w:val="21"/>
        </w:rPr>
        <w:t xml:space="preserve">Manning et al. (1987); Brook et al. (1983) — RAND Health Insurance Experiment cost-sharing findings.</w:t>
      </w:r>
    </w:p>
    <w:p>
      <w:pPr>
        <w:pStyle w:val="ListParagraph"/>
        <w:numPr>
          <w:ilvl w:val="0"/>
          <w:numId w:val="3"/>
        </w:numPr>
        <w:spacing w:after="90" w:line="280"/>
        <w:jc w:val="both"/>
      </w:pPr>
      <w:r>
        <w:rPr>
          <w:rFonts w:ascii="Calibri" w:cs="Calibri" w:eastAsia="Calibri" w:hAnsi="Calibri"/>
          <w:color w:val="1A1A1A"/>
          <w:sz w:val="21"/>
          <w:szCs w:val="21"/>
        </w:rPr>
        <w:t xml:space="preserve">Society of Actuaries; Council for Disability Awareness — disability probabilities and cost.</w:t>
      </w:r>
    </w:p>
    <w:p>
      <w:pPr>
        <w:pStyle w:val="ListParagraph"/>
        <w:numPr>
          <w:ilvl w:val="0"/>
          <w:numId w:val="3"/>
        </w:numPr>
        <w:spacing w:after="90" w:line="280"/>
        <w:jc w:val="both"/>
      </w:pPr>
      <w:r>
        <w:rPr>
          <w:rFonts w:ascii="Calibri" w:cs="Calibri" w:eastAsia="Calibri" w:hAnsi="Calibri"/>
          <w:color w:val="1A1A1A"/>
          <w:sz w:val="21"/>
          <w:szCs w:val="21"/>
        </w:rPr>
        <w:t xml:space="preserve">Genworth / CareScout (2025) — long-term-care costs.</w:t>
      </w:r>
    </w:p>
    <w:p>
      <w:pPr>
        <w:pStyle w:val="ListParagraph"/>
        <w:numPr>
          <w:ilvl w:val="0"/>
          <w:numId w:val="3"/>
        </w:numPr>
        <w:spacing w:after="90" w:line="280"/>
        <w:jc w:val="both"/>
      </w:pPr>
      <w:r>
        <w:rPr>
          <w:rFonts w:ascii="Calibri" w:cs="Calibri" w:eastAsia="Calibri" w:hAnsi="Calibri"/>
          <w:color w:val="1A1A1A"/>
          <w:sz w:val="21"/>
          <w:szCs w:val="21"/>
        </w:rPr>
        <w:t xml:space="preserve">IBM Security &amp; Ponemon Institute (2024) — average data-breach cost.</w:t>
      </w:r>
    </w:p>
    <w:p>
      <w:pPr>
        <w:pStyle w:val="ListParagraph"/>
        <w:numPr>
          <w:ilvl w:val="0"/>
          <w:numId w:val="3"/>
        </w:numPr>
        <w:spacing w:after="90" w:line="280"/>
        <w:jc w:val="both"/>
      </w:pPr>
      <w:r>
        <w:rPr>
          <w:rFonts w:ascii="Calibri" w:cs="Calibri" w:eastAsia="Calibri" w:hAnsi="Calibri"/>
          <w:color w:val="1A1A1A"/>
          <w:sz w:val="21"/>
          <w:szCs w:val="21"/>
        </w:rPr>
        <w:t xml:space="preserve">Insureon; TechInsurance; Insurance Information Institute; NAIC — business, renters, and auto pricing; complaint-index method.</w:t>
      </w:r>
    </w:p>
    <w:p>
      <w:pPr>
        <w:pStyle w:val="ListParagraph"/>
        <w:numPr>
          <w:ilvl w:val="0"/>
          <w:numId w:val="3"/>
        </w:numPr>
        <w:spacing w:after="90" w:line="280"/>
        <w:jc w:val="both"/>
      </w:pPr>
      <w:r>
        <w:rPr>
          <w:rFonts w:ascii="Calibri" w:cs="Calibri" w:eastAsia="Calibri" w:hAnsi="Calibri"/>
          <w:color w:val="1A1A1A"/>
          <w:sz w:val="21"/>
          <w:szCs w:val="21"/>
        </w:rPr>
        <w:t xml:space="preserve">A.M. Best (2024) — financial-strength rating methodology.</w:t>
      </w:r>
    </w:p>
    <w:p>
      <w:pPr>
        <w:pStyle w:val="ListParagraph"/>
        <w:numPr>
          <w:ilvl w:val="0"/>
          <w:numId w:val="3"/>
        </w:numPr>
        <w:spacing w:after="90" w:line="280"/>
        <w:jc w:val="both"/>
      </w:pPr>
      <w:r>
        <w:rPr>
          <w:rFonts w:ascii="Calibri" w:cs="Calibri" w:eastAsia="Calibri" w:hAnsi="Calibri"/>
          <w:color w:val="1A1A1A"/>
          <w:sz w:val="21"/>
          <w:szCs w:val="21"/>
        </w:rPr>
        <w:t xml:space="preserve">Agarwal, Presbitero, Silva &amp; Wix (2023), Federal Reserve; National Bureau of Economic Research (2026) — credit-card reward redistribution and interchange.</w:t>
      </w:r>
    </w:p>
    <w:p>
      <w:pPr>
        <w:pStyle w:val="ListParagraph"/>
        <w:numPr>
          <w:ilvl w:val="0"/>
          <w:numId w:val="3"/>
        </w:numPr>
        <w:spacing w:after="90" w:line="280"/>
        <w:jc w:val="both"/>
      </w:pPr>
      <w:r>
        <w:rPr>
          <w:rFonts w:ascii="Calibri" w:cs="Calibri" w:eastAsia="Calibri" w:hAnsi="Calibri"/>
          <w:color w:val="1A1A1A"/>
          <w:sz w:val="21"/>
          <w:szCs w:val="21"/>
        </w:rPr>
        <w:t xml:space="preserve">The Points Guy (2024) — transferable-point valuations.</w:t>
      </w:r>
    </w:p>
    <w:p>
      <w:pPr>
        <w:pStyle w:val="ListParagraph"/>
        <w:numPr>
          <w:ilvl w:val="0"/>
          <w:numId w:val="3"/>
        </w:numPr>
        <w:spacing w:after="90" w:line="280"/>
        <w:jc w:val="both"/>
      </w:pPr>
      <w:r>
        <w:rPr>
          <w:rFonts w:ascii="Calibri" w:cs="Calibri" w:eastAsia="Calibri" w:hAnsi="Calibri"/>
          <w:color w:val="1A1A1A"/>
          <w:sz w:val="21"/>
          <w:szCs w:val="21"/>
        </w:rPr>
        <w:t xml:space="preserve">U.S. Securities and Exchange Commission (2024), Investor.gov — the compounding model.</w:t>
      </w:r>
    </w:p>
    <w:p>
      <w:pPr>
        <w:pStyle w:val="ListParagraph"/>
        <w:numPr>
          <w:ilvl w:val="0"/>
          <w:numId w:val="3"/>
        </w:numPr>
        <w:spacing w:after="90" w:line="280"/>
        <w:jc w:val="both"/>
      </w:pPr>
      <w:r>
        <w:rPr>
          <w:rFonts w:ascii="Calibri" w:cs="Calibri" w:eastAsia="Calibri" w:hAnsi="Calibri"/>
          <w:color w:val="1A1A1A"/>
          <w:sz w:val="21"/>
          <w:szCs w:val="21"/>
        </w:rPr>
        <w:t xml:space="preserve">Servicemembers Civil Relief Act, 50 U.S.C. § 3937; Military Lending Act, 10 U.S.C. § 987 — interest-rate caps.</w:t>
      </w:r>
    </w:p>
    <w:p>
      <w:pPr>
        <w:spacing w:after="30"/>
      </w:pPr>
      <w:r>
        <w:rPr>
          <w:rFonts w:ascii="Calibri" w:cs="Calibri" w:eastAsia="Calibri" w:hAnsi="Calibri"/>
          <w:color w:val="1A1A1A"/>
          <w:sz w:val="21"/>
          <w:szCs w:val="21"/>
        </w:rPr>
        <w:t xml:space="preserve"/>
      </w:r>
    </w:p>
    <w:p>
      <w:pPr>
        <w:pBdr>
          <w:top w:val="single" w:color="2E75B6" w:sz="4" w:space="8"/>
        </w:pBdr>
        <w:spacing w:before="120"/>
        <w:jc w:val="center"/>
      </w:pPr>
      <w:r>
        <w:rPr>
          <w:rFonts w:ascii="Calibri" w:cs="Calibri" w:eastAsia="Calibri" w:hAnsi="Calibri"/>
          <w:i/>
          <w:iCs/>
          <w:color w:val="666666"/>
          <w:sz w:val="18"/>
          <w:szCs w:val="18"/>
        </w:rPr>
        <w:t xml:space="preserve">For public education and general analysis. Depersonalized; not advice.</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9360"/>
      </w:tabs>
    </w:pPr>
    <w:r>
      <w:rPr>
        <w:rFonts w:ascii="Calibri" w:cs="Calibri" w:eastAsia="Calibri" w:hAnsi="Calibri"/>
        <w:i/>
        <w:iCs/>
        <w:color w:val="777777"/>
        <w:sz w:val="16"/>
        <w:szCs w:val="16"/>
      </w:rPr>
      <w:t xml:space="preserve">Insurance &amp; Financial Stacks — An Illustrative Analysis</w:t>
    </w:r>
    <w:r>
      <w:rPr>
        <w:rFonts w:ascii="Calibri" w:cs="Calibri" w:eastAsia="Calibri" w:hAnsi="Calibri"/>
        <w:color w:val="777777"/>
        <w:sz w:val="16"/>
        <w:szCs w:val="16"/>
      </w:rPr>
      <w:t xml:space="preserve">	Public education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4" w:space="4"/>
      </w:pBd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077"/>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&amp; Financial Stacks: An Illustrative Analysis</dc:title>
  <dc:creator>Public-education analysis</dc:creator>
  <dc:description>A depersonalized, numbers-forward analysis of complete insurance/credit/savings combinations; companion to the data workbook.</dc:description>
  <cp:lastModifiedBy>Un-named</cp:lastModifiedBy>
  <cp:revision>1</cp:revision>
  <dcterms:created xsi:type="dcterms:W3CDTF">2026-07-20T01:13:26.761Z</dcterms:created>
  <dcterms:modified xsi:type="dcterms:W3CDTF">2026-07-20T01:13:26.762Z</dcterms:modified>
</cp:coreProperties>
</file>

<file path=docProps/custom.xml><?xml version="1.0" encoding="utf-8"?>
<Properties xmlns="http://schemas.openxmlformats.org/officeDocument/2006/custom-properties" xmlns:vt="http://schemas.openxmlformats.org/officeDocument/2006/docPropsVTypes"/>
</file>