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Georgia" w:cs="Georgia" w:eastAsia="Georgia" w:hAnsi="Georgia"/>
          <w:b/>
          <w:bCs/>
          <w:color w:val="1F3A5F"/>
          <w:sz w:val="44"/>
          <w:szCs w:val="44"/>
        </w:rPr>
        <w:t xml:space="preserve">Insuring the Household:</w:t>
      </w:r>
    </w:p>
    <w:p>
      <w:pPr>
        <w:spacing w:after="0" w:before="60"/>
        <w:jc w:val="center"/>
      </w:pPr>
      <w:r>
        <w:rPr>
          <w:rFonts w:ascii="Georgia" w:cs="Georgia" w:eastAsia="Georgia" w:hAnsi="Georgia"/>
          <w:b/>
          <w:bCs/>
          <w:color w:val="1F3A5F"/>
          <w:sz w:val="44"/>
          <w:szCs w:val="44"/>
        </w:rPr>
        <w:t xml:space="preserve">Risk, Under-Protection, and the Architecture of</w:t>
      </w:r>
    </w:p>
    <w:p>
      <w:pPr>
        <w:spacing w:after="220" w:before="60"/>
        <w:jc w:val="center"/>
      </w:pPr>
      <w:r>
        <w:rPr>
          <w:rFonts w:ascii="Georgia" w:cs="Georgia" w:eastAsia="Georgia" w:hAnsi="Georgia"/>
          <w:b/>
          <w:bCs/>
          <w:color w:val="1F3A5F"/>
          <w:sz w:val="44"/>
          <w:szCs w:val="44"/>
        </w:rPr>
        <w:t xml:space="preserve">Financial Security for Emerging Adults</w:t>
      </w:r>
    </w:p>
    <w:p>
      <w:pPr>
        <w:pBdr>
          <w:top w:val="single" w:color="6B4F2A" w:sz="8" w:space="8"/>
          <w:bottom w:val="single" w:color="6B4F2A" w:sz="8" w:space="8"/>
        </w:pBdr>
        <w:spacing w:after="40" w:before="0"/>
        <w:jc w:val="center"/>
      </w:pPr>
      <w:r>
        <w:rPr>
          <w:rFonts w:ascii="Georgia" w:cs="Georgia" w:eastAsia="Georgia" w:hAnsi="Georgia"/>
          <w:i/>
          <w:iCs/>
          <w:color w:val="2E5077"/>
          <w:sz w:val="24"/>
          <w:szCs w:val="24"/>
        </w:rPr>
        <w:t xml:space="preserve">An Interdisciplinary Synthesis of Insurance Economics, Household Finance, and Public Benefit Design</w:t>
      </w:r>
    </w:p>
    <w:p>
      <w:pPr>
        <w:spacing w:after="0" w:before="260"/>
        <w:jc w:val="center"/>
      </w:pPr>
      <w:r>
        <w:rPr>
          <w:rFonts w:ascii="Georgia" w:cs="Georgia" w:eastAsia="Georgia" w:hAnsi="Georgia"/>
          <w:color w:val="1A1A1A"/>
          <w:sz w:val="22"/>
          <w:szCs w:val="22"/>
        </w:rPr>
        <w:t xml:space="preserve">Working Paper · Independent Research Synthesis</w:t>
      </w:r>
    </w:p>
    <w:p>
      <w:pPr>
        <w:spacing w:after="0" w:before="40"/>
        <w:jc w:val="center"/>
      </w:pPr>
      <w:r>
        <w:rPr>
          <w:rFonts w:ascii="Georgia" w:cs="Georgia" w:eastAsia="Georgia" w:hAnsi="Georgia"/>
          <w:color w:val="555555"/>
          <w:sz w:val="20"/>
          <w:szCs w:val="20"/>
        </w:rPr>
        <w:t xml:space="preserve">Prepared for public education and general analysis</w:t>
      </w:r>
    </w:p>
    <w:p>
      <w:pPr>
        <w:spacing w:after="0" w:before="40"/>
        <w:jc w:val="center"/>
      </w:pPr>
      <w:r>
        <w:rPr>
          <w:rFonts w:ascii="Georgia" w:cs="Georgia" w:eastAsia="Georgia" w:hAnsi="Georgia"/>
          <w:color w:val="555555"/>
          <w:sz w:val="20"/>
          <w:szCs w:val="20"/>
        </w:rPr>
        <w:t xml:space="preserve">2026</w:t>
      </w:r>
    </w:p>
    <w:p>
      <w:pPr>
        <w:spacing w:after="0" w:before="700"/>
        <w:jc w:val="center"/>
      </w:pPr>
      <w:r>
        <w:rPr>
          <w:rFonts w:ascii="Georgia" w:cs="Georgia" w:eastAsia="Georgia" w:hAnsi="Georgia"/>
          <w:color w:val="666666"/>
          <w:sz w:val="19"/>
          <w:szCs w:val="19"/>
        </w:rPr>
        <w:t xml:space="preserve">JEL classification: D14, D81, G22, G52, I13, J32</w:t>
      </w:r>
    </w:p>
    <w:p>
      <w:pPr>
        <w:spacing w:after="0" w:before="40"/>
        <w:jc w:val="center"/>
      </w:pPr>
      <w:r>
        <w:rPr>
          <w:rFonts w:ascii="Georgia" w:cs="Georgia" w:eastAsia="Georgia" w:hAnsi="Georgia"/>
          <w:color w:val="666666"/>
          <w:sz w:val="19"/>
          <w:szCs w:val="19"/>
        </w:rPr>
        <w:t xml:space="preserve">Keywords: household finance; insurance demand; underinsurance; risk aversion;</w:t>
      </w:r>
    </w:p>
    <w:p>
      <w:pPr>
        <w:spacing w:after="0" w:before="20"/>
        <w:jc w:val="center"/>
      </w:pPr>
      <w:r>
        <w:rPr>
          <w:rFonts w:ascii="Georgia" w:cs="Georgia" w:eastAsia="Georgia" w:hAnsi="Georgia"/>
          <w:color w:val="666666"/>
          <w:sz w:val="19"/>
          <w:szCs w:val="19"/>
        </w:rPr>
        <w:t xml:space="preserve">adverse selection; behavioral economics; annuities; consumer credit; public benefits</w:t>
      </w:r>
    </w:p>
    <w:p>
      <w:r>
        <w:br w:type="page"/>
      </w:r>
    </w:p>
    <w:p>
      <w:pPr>
        <w:spacing w:after="140"/>
        <w:jc w:val="center"/>
      </w:pPr>
      <w:r>
        <w:rPr>
          <w:rFonts w:ascii="Georgia" w:cs="Georgia" w:eastAsia="Georgia" w:hAnsi="Georgia"/>
          <w:b/>
          <w:bCs/>
          <w:color w:val="1F3A5F"/>
          <w:sz w:val="26"/>
          <w:szCs w:val="26"/>
        </w:rPr>
        <w:t xml:space="preserve">Abstract</w:t>
      </w:r>
    </w:p>
    <w:p>
      <w:pPr>
        <w:spacing w:after="120" w:line="300"/>
        <w:ind w:left="360" w:right="360"/>
        <w:jc w:val="both"/>
      </w:pPr>
      <w:r>
        <w:rPr>
          <w:rFonts w:ascii="Georgia" w:cs="Georgia" w:eastAsia="Georgia" w:hAnsi="Georgia"/>
          <w:color w:val="1A1A1A"/>
          <w:sz w:val="20"/>
          <w:szCs w:val="20"/>
        </w:rPr>
        <w:t xml:space="preserve">Emerging adults confront a dense and poorly integrated set of decisions about how to protect themselves and their households against financial risk. This paper synthesizes the economic theory of insurance, the empirical literature on under-protection, and the institutional details of contemporary insurance, retirement, and consumer-credit markets into a single analytical framework, oriented toward four populations of particular interest: young adults generally, part-time military service members, early-stage technology entrepreneurs, and beginning real-estate investors. Three findings organize the analysis. First, the dominant welfare problem is not over-insurance but systematic under-insurance against low-probability, high-consequence risks, a pattern that expected-utility theory cannot explain but that behavioral models of probability neglect and choice under uncertainty predict. Second, subsidized and pooled coverage—whether employer-sponsored or government-provided—delivers materially more protection per dollar than individually underwritten market coverage, a proposition illustrated through a structured case study of military benefit design. Third, in wealth accumulation the evidence favors low-cost, tax-advantaged, index-based strategies over both actively managed funds and cash-value insurance products, with life annuities understood as instruments of decumulation rather than accumulation. The paper also documents a set of distributional findings—credit-card reward programs and interchange operate as a regressive transfer from lower- to higher-income consumers—and reviews the contested evidence on credit-based insurance scoring. It concludes with a severity-ordered framework for sequencing protection decisions and identifies the life events that should trigger revisions to a household’s risk-management architecture. Throughout, the treatment is positive and generalizable rather than prescriptive to any individual.</w:t>
      </w:r>
    </w:p>
    <w:p>
      <w:r>
        <w:br w:type="page"/>
      </w:r>
    </w:p>
    <w:p>
      <w:pPr>
        <w:spacing w:after="160"/>
      </w:pPr>
      <w:r>
        <w:rPr>
          <w:rFonts w:ascii="Georgia" w:cs="Georgia" w:eastAsia="Georgia" w:hAnsi="Georgia"/>
          <w:b/>
          <w:bCs/>
          <w:color w:val="1F3A5F"/>
          <w:sz w:val="30"/>
          <w:szCs w:val="30"/>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spacing w:after="160" w:before="340"/>
      </w:pPr>
      <w:r>
        <w:t xml:space="preserve">1  Introduction</w:t>
      </w:r>
    </w:p>
    <w:p>
      <w:pPr>
        <w:pBdr>
          <w:bottom w:val="single" w:color="6B4F2A" w:sz="6" w:space="1"/>
        </w:pBdr>
        <w:spacing w:after="140"/>
      </w:pPr>
      <w:r>
        <w:rPr>
          <w:rFonts w:ascii="Georgia" w:cs="Georgia" w:eastAsia="Georgia" w:hAnsi="Georgia"/>
          <w:color w:val="1A1A1A"/>
          <w:sz w:val="21"/>
          <w:szCs w:val="21"/>
        </w:rPr>
        <w:t xml:space="preserve"/>
      </w:r>
    </w:p>
    <w:p>
      <w:pPr>
        <w:pStyle w:val="Heading2"/>
        <w:spacing w:after="120" w:before="240"/>
      </w:pPr>
      <w:r>
        <w:t xml:space="preserve">1.1  Motivation and scope</w:t>
      </w:r>
    </w:p>
    <w:p>
      <w:pPr>
        <w:spacing w:after="120" w:line="300"/>
        <w:jc w:val="both"/>
      </w:pPr>
      <w:r>
        <w:rPr>
          <w:rFonts w:ascii="Georgia" w:cs="Georgia" w:eastAsia="Georgia" w:hAnsi="Georgia"/>
          <w:color w:val="1A1A1A"/>
          <w:sz w:val="21"/>
          <w:szCs w:val="21"/>
        </w:rPr>
        <w:t xml:space="preserve">Few domains of household decision-making are as consequential, as poorly integrated, and as widely misunderstood as the management of financial risk. A typical adult in a developed economy simultaneously holds, or ought to consider, coverage against premature death, disability, illness and injury, damage to property, liability to third parties, and—if self-employed—a range of commercial exposures, all while accumulating assets for a retirement that may lie half a century away. Each of these decisions is governed by a different market, a different regulatory regime, and a different vocabulary, and the typical consumer confronts them in isolation, without a framework that specifies how they fit together or which of them matters most. The result is a persistent mismatch between the risks households face and the protection they actually buy.</w:t>
      </w:r>
    </w:p>
    <w:p>
      <w:pPr>
        <w:spacing w:after="120" w:line="300"/>
        <w:ind w:firstLine="360"/>
        <w:jc w:val="both"/>
      </w:pPr>
      <w:r>
        <w:rPr>
          <w:rFonts w:ascii="Georgia" w:cs="Georgia" w:eastAsia="Georgia" w:hAnsi="Georgia"/>
          <w:color w:val="1A1A1A"/>
          <w:sz w:val="21"/>
          <w:szCs w:val="21"/>
        </w:rPr>
        <w:t xml:space="preserve">This paper develops such a framework. It synthesizes three literatures that are ordinarily treated separately—the microeconomic theory of insurance, the empirical study of household under-protection, and the institutional analysis of insurance, retirement, and consumer-credit markets—into a single, positive account of how financial security is, and is not, constructed. The aim is analytical rather than prescriptive: the paper describes the structure of the decision problem, the evidence on how people solve it, and the properties of the instruments available, leaving the application of that structure to particular circumstances to the reader (on household finance as a field of study, see Campbell, 2006; on the role of financial literacy in these decisions, Lusardi and Mitchell, 2014). Nothing here constitutes individualized legal, tax, insurance, or investment advice.</w:t>
      </w:r>
    </w:p>
    <w:p>
      <w:pPr>
        <w:spacing w:after="120" w:line="300"/>
        <w:ind w:firstLine="360"/>
        <w:jc w:val="both"/>
      </w:pPr>
      <w:r>
        <w:rPr>
          <w:rFonts w:ascii="Georgia" w:cs="Georgia" w:eastAsia="Georgia" w:hAnsi="Georgia"/>
          <w:color w:val="1A1A1A"/>
          <w:sz w:val="21"/>
          <w:szCs w:val="21"/>
        </w:rPr>
        <w:t xml:space="preserve">The scope is deliberately broad, spanning health, life, disability, property, liability, and commercial insurance; retirement saving and the decumulation problem; and consumer credit and lending. Breadth is essential to the argument, because the central claim—that protection should be sequenced by the severity of the risk rather than by its salience or familiarity—can only be established by comparing risks across categories that are normally analyzed in isolation.</w:t>
      </w:r>
    </w:p>
    <w:p>
      <w:pPr>
        <w:pStyle w:val="Heading2"/>
        <w:spacing w:after="120" w:before="240"/>
      </w:pPr>
      <w:r>
        <w:t xml:space="preserve">1.2  Four illustrative populations</w:t>
      </w:r>
    </w:p>
    <w:p>
      <w:pPr>
        <w:spacing w:after="120" w:line="300"/>
        <w:jc w:val="both"/>
      </w:pPr>
      <w:r>
        <w:rPr>
          <w:rFonts w:ascii="Georgia" w:cs="Georgia" w:eastAsia="Georgia" w:hAnsi="Georgia"/>
          <w:color w:val="1A1A1A"/>
          <w:sz w:val="21"/>
          <w:szCs w:val="21"/>
        </w:rPr>
        <w:t xml:space="preserve">To keep the analysis concrete without personalizing it, the paper returns throughout to four populations for whom the stakes of getting these decisions right are unusually high, and whose circumstances jointly span the most important features of the general problem:</w:t>
      </w:r>
    </w:p>
    <w:p>
      <w:pPr>
        <w:pStyle w:val="ListParagraph"/>
        <w:numPr>
          <w:ilvl w:val="0"/>
          <w:numId w:val="2"/>
        </w:numPr>
        <w:spacing w:after="90" w:line="288"/>
        <w:jc w:val="both"/>
      </w:pPr>
      <w:r>
        <w:rPr>
          <w:rFonts w:ascii="Georgia" w:cs="Georgia" w:eastAsia="Georgia" w:hAnsi="Georgia"/>
          <w:b/>
          <w:bCs/>
          <w:color w:val="1A1A1A"/>
          <w:sz w:val="21"/>
          <w:szCs w:val="21"/>
        </w:rPr>
        <w:t xml:space="preserve">Emerging adults</w:t>
      </w:r>
      <w:r>
        <w:rPr>
          <w:rFonts w:ascii="Georgia" w:cs="Georgia" w:eastAsia="Georgia" w:hAnsi="Georgia"/>
          <w:color w:val="1A1A1A"/>
          <w:sz w:val="21"/>
          <w:szCs w:val="21"/>
        </w:rPr>
        <w:t xml:space="preserve"> (roughly ages eighteen to thirty), who are forming households, accumulating human capital, and making foundational financial commitments with long horizons but thin balance sheets and limited experience.</w:t>
      </w:r>
    </w:p>
    <w:p>
      <w:pPr>
        <w:pStyle w:val="ListParagraph"/>
        <w:numPr>
          <w:ilvl w:val="0"/>
          <w:numId w:val="2"/>
        </w:numPr>
        <w:spacing w:after="90" w:line="288"/>
        <w:jc w:val="both"/>
      </w:pPr>
      <w:r>
        <w:rPr>
          <w:rFonts w:ascii="Georgia" w:cs="Georgia" w:eastAsia="Georgia" w:hAnsi="Georgia"/>
          <w:b/>
          <w:bCs/>
          <w:color w:val="1A1A1A"/>
          <w:sz w:val="21"/>
          <w:szCs w:val="21"/>
        </w:rPr>
        <w:t xml:space="preserve">Part-time military service members</w:t>
      </w:r>
      <w:r>
        <w:rPr>
          <w:rFonts w:ascii="Georgia" w:cs="Georgia" w:eastAsia="Georgia" w:hAnsi="Georgia"/>
          <w:color w:val="1A1A1A"/>
          <w:sz w:val="21"/>
          <w:szCs w:val="21"/>
        </w:rPr>
        <w:t xml:space="preserve"> (reserve and national-guard personnel), who occupy a revealing dual status: participants in heavily subsidized, pooled public benefit programs and, simultaneously, consumers in ordinary private markets. Their situation makes the welfare difference between pooled and individual coverage directly observable.</w:t>
      </w:r>
    </w:p>
    <w:p>
      <w:pPr>
        <w:pStyle w:val="ListParagraph"/>
        <w:numPr>
          <w:ilvl w:val="0"/>
          <w:numId w:val="2"/>
        </w:numPr>
        <w:spacing w:after="90" w:line="288"/>
        <w:jc w:val="both"/>
      </w:pPr>
      <w:r>
        <w:rPr>
          <w:rFonts w:ascii="Georgia" w:cs="Georgia" w:eastAsia="Georgia" w:hAnsi="Georgia"/>
          <w:b/>
          <w:bCs/>
          <w:color w:val="1A1A1A"/>
          <w:sz w:val="21"/>
          <w:szCs w:val="21"/>
        </w:rPr>
        <w:t xml:space="preserve">Early-stage technology entrepreneurs</w:t>
      </w:r>
      <w:r>
        <w:rPr>
          <w:rFonts w:ascii="Georgia" w:cs="Georgia" w:eastAsia="Georgia" w:hAnsi="Georgia"/>
          <w:color w:val="1A1A1A"/>
          <w:sz w:val="21"/>
          <w:szCs w:val="21"/>
        </w:rPr>
        <w:t xml:space="preserve">, whose ventures generate commercial exposures—professional liability, cyber risk, and governance liability—that the personal-lines framework does not address, and whose income is variable and self-directed.</w:t>
      </w:r>
    </w:p>
    <w:p>
      <w:pPr>
        <w:pStyle w:val="ListParagraph"/>
        <w:numPr>
          <w:ilvl w:val="0"/>
          <w:numId w:val="2"/>
        </w:numPr>
        <w:spacing w:after="90" w:line="288"/>
        <w:jc w:val="both"/>
      </w:pPr>
      <w:r>
        <w:rPr>
          <w:rFonts w:ascii="Georgia" w:cs="Georgia" w:eastAsia="Georgia" w:hAnsi="Georgia"/>
          <w:b/>
          <w:bCs/>
          <w:color w:val="1A1A1A"/>
          <w:sz w:val="21"/>
          <w:szCs w:val="21"/>
        </w:rPr>
        <w:t xml:space="preserve">Beginning real-estate investors</w:t>
      </w:r>
      <w:r>
        <w:rPr>
          <w:rFonts w:ascii="Georgia" w:cs="Georgia" w:eastAsia="Georgia" w:hAnsi="Georgia"/>
          <w:color w:val="1A1A1A"/>
          <w:sz w:val="21"/>
          <w:szCs w:val="21"/>
        </w:rPr>
        <w:t xml:space="preserve">, who take on concentrated property and liability exposures, leverage, and the specialized coverages (landlord, title, and flood) that accompany owning rather than occupying real property.</w:t>
      </w:r>
    </w:p>
    <w:p>
      <w:pPr>
        <w:spacing w:after="120" w:line="300"/>
        <w:ind w:firstLine="360"/>
        <w:jc w:val="both"/>
      </w:pPr>
      <w:r>
        <w:rPr>
          <w:rFonts w:ascii="Georgia" w:cs="Georgia" w:eastAsia="Georgia" w:hAnsi="Georgia"/>
          <w:color w:val="1A1A1A"/>
          <w:sz w:val="21"/>
          <w:szCs w:val="21"/>
        </w:rPr>
        <w:t xml:space="preserve">These populations are illustrative, not exhaustive, and they overlap: a single individual might belong to all four. Their function is to ground general propositions in recognizable circumstances and to ensure that the framework accommodates commercial and investment risk alongside the personal risks that dominate most treatments of household finance.</w:t>
      </w:r>
    </w:p>
    <w:p>
      <w:pPr>
        <w:pStyle w:val="Heading2"/>
        <w:spacing w:after="120" w:before="240"/>
      </w:pPr>
      <w:r>
        <w:t xml:space="preserve">1.3  Argument and contributions</w:t>
      </w:r>
    </w:p>
    <w:p>
      <w:pPr>
        <w:spacing w:after="120" w:line="300"/>
        <w:jc w:val="both"/>
      </w:pPr>
      <w:r>
        <w:rPr>
          <w:rFonts w:ascii="Georgia" w:cs="Georgia" w:eastAsia="Georgia" w:hAnsi="Georgia"/>
          <w:color w:val="1A1A1A"/>
          <w:sz w:val="21"/>
          <w:szCs w:val="21"/>
        </w:rPr>
        <w:t xml:space="preserve">The paper advances three principal claims, each grounded in an established literature and each carrying practical implications for how a household should structure its protection.</w:t>
      </w:r>
    </w:p>
    <w:p>
      <w:pPr>
        <w:pStyle w:val="ListParagraph"/>
        <w:numPr>
          <w:ilvl w:val="0"/>
          <w:numId w:val="3"/>
        </w:numPr>
        <w:spacing w:after="90" w:line="288"/>
        <w:jc w:val="both"/>
      </w:pPr>
      <w:r>
        <w:rPr>
          <w:rFonts w:ascii="Georgia" w:cs="Georgia" w:eastAsia="Georgia" w:hAnsi="Georgia"/>
          <w:b/>
          <w:bCs/>
          <w:color w:val="1A1A1A"/>
          <w:sz w:val="21"/>
          <w:szCs w:val="21"/>
        </w:rPr>
        <w:t xml:space="preserve">Under-protection, not over-protection, is the dominant welfare problem. </w:t>
      </w:r>
      <w:r>
        <w:rPr>
          <w:rFonts w:ascii="Georgia" w:cs="Georgia" w:eastAsia="Georgia" w:hAnsi="Georgia"/>
          <w:color w:val="1A1A1A"/>
          <w:sz w:val="21"/>
          <w:szCs w:val="21"/>
        </w:rPr>
        <w:t xml:space="preserve">Households systematically underinsure against low-probability, high-consequence events—the losses that can be financially catastrophic—while over-insuring against small, high-frequency losses they could comfortably absorb. This pattern contradicts the predictions of expected-utility theory but is consistent with behavioral models of choice under uncertainty. Section 3 documents its empirical magnitude across lines.</w:t>
      </w:r>
    </w:p>
    <w:p>
      <w:pPr>
        <w:pStyle w:val="ListParagraph"/>
        <w:numPr>
          <w:ilvl w:val="0"/>
          <w:numId w:val="3"/>
        </w:numPr>
        <w:spacing w:after="90" w:line="288"/>
        <w:jc w:val="both"/>
      </w:pPr>
      <w:r>
        <w:rPr>
          <w:rFonts w:ascii="Georgia" w:cs="Georgia" w:eastAsia="Georgia" w:hAnsi="Georgia"/>
          <w:b/>
          <w:bCs/>
          <w:color w:val="1A1A1A"/>
          <w:sz w:val="21"/>
          <w:szCs w:val="21"/>
        </w:rPr>
        <w:t xml:space="preserve">Pooled and subsidized coverage dominates individually underwritten coverage. </w:t>
      </w:r>
      <w:r>
        <w:rPr>
          <w:rFonts w:ascii="Georgia" w:cs="Georgia" w:eastAsia="Georgia" w:hAnsi="Georgia"/>
          <w:color w:val="1A1A1A"/>
          <w:sz w:val="21"/>
          <w:szCs w:val="21"/>
        </w:rPr>
        <w:t xml:space="preserve">Where a household can access employer-sponsored or government-provided protection, that coverage typically delivers more protection per dollar than anything available in the individual market, because it combines risk pooling with subsidy and community rating. Section 13 develops this claim through a structured case study of military benefit design, in which coverage is priced without regard to individual risk—an arrangement impossible in a competitive market subject to adverse selection.</w:t>
      </w:r>
    </w:p>
    <w:p>
      <w:pPr>
        <w:pStyle w:val="ListParagraph"/>
        <w:numPr>
          <w:ilvl w:val="0"/>
          <w:numId w:val="3"/>
        </w:numPr>
        <w:spacing w:after="90" w:line="288"/>
        <w:jc w:val="both"/>
      </w:pPr>
      <w:r>
        <w:rPr>
          <w:rFonts w:ascii="Georgia" w:cs="Georgia" w:eastAsia="Georgia" w:hAnsi="Georgia"/>
          <w:b/>
          <w:bCs/>
          <w:color w:val="1A1A1A"/>
          <w:sz w:val="21"/>
          <w:szCs w:val="21"/>
        </w:rPr>
        <w:t xml:space="preserve">In accumulation, low-cost and tax-advantaged strategies dominate; annuities belong to decumulation. </w:t>
      </w:r>
      <w:r>
        <w:rPr>
          <w:rFonts w:ascii="Georgia" w:cs="Georgia" w:eastAsia="Georgia" w:hAnsi="Georgia"/>
          <w:color w:val="1A1A1A"/>
          <w:sz w:val="21"/>
          <w:szCs w:val="21"/>
        </w:rPr>
        <w:t xml:space="preserve">The evidence on investment management favors low-cost, broadly diversified, index-based approaches over both actively managed funds and the cash-value features bundled into permanent life insurance. Life annuities, by contrast, are best understood not as accumulation vehicles but as instruments for pooling longevity risk in retirement—a distinction that resolves much of the apparent tension in popular advice. Sections 10 and 11 develop these points.</w:t>
      </w:r>
    </w:p>
    <w:p>
      <w:pPr>
        <w:spacing w:after="120" w:line="300"/>
        <w:ind w:firstLine="360"/>
        <w:jc w:val="both"/>
      </w:pPr>
      <w:r>
        <w:rPr>
          <w:rFonts w:ascii="Georgia" w:cs="Georgia" w:eastAsia="Georgia" w:hAnsi="Georgia"/>
          <w:color w:val="1A1A1A"/>
          <w:sz w:val="21"/>
          <w:szCs w:val="21"/>
        </w:rPr>
        <w:t xml:space="preserve">Alongside these central claims, the paper contributes a synthesis of several distributional findings that are usually discussed in isolation—most notably that consumer-credit reward programs operate as a regressive transfer—and an even-handed review of genuinely contested questions, including the use of credit-based insurance scores and the interpretation of active-management performance statistics. Its methodological posture is to privilege scholarly, actuarial, and governmental evidence over marketing claims, and to flag rather than silently resolve the places where the evidence is disputed.</w:t>
      </w:r>
    </w:p>
    <w:p>
      <w:pPr>
        <w:pStyle w:val="Heading2"/>
        <w:spacing w:after="120" w:before="240"/>
      </w:pPr>
      <w:r>
        <w:t xml:space="preserve">1.4  Roadmap</w:t>
      </w:r>
    </w:p>
    <w:p>
      <w:pPr>
        <w:spacing w:after="120" w:line="300"/>
        <w:jc w:val="both"/>
      </w:pPr>
      <w:r>
        <w:rPr>
          <w:rFonts w:ascii="Georgia" w:cs="Georgia" w:eastAsia="Georgia" w:hAnsi="Georgia"/>
          <w:color w:val="1A1A1A"/>
          <w:sz w:val="21"/>
          <w:szCs w:val="21"/>
        </w:rPr>
        <w:t xml:space="preserve">The remainder of the paper proceeds as follows. Section 2 sets out the economic theory of insurance: risk aversion and the demand for coverage, the two canonical information failures, the behavioral departures from the standard model, and the mechanics of pricing and pooling. Section 3 documents the empirical scale of under-protection. Sections 4 through 9 examine the major insurance lines in turn—health, life, disability, property and casualty, liability, and commercial and cyber coverage—followed by supplemental lines and the long-term-care financing problem. Sections 11 and 12 turn to wealth: retirement accounts and the accumulation problem, and the annuity puzzle and decumulation. Section 13 analyzes consumer credit and lending, including their distributional consequences, and develops the pooled-benefit case study. Section 14 synthesizes the findings into a severity-ordered framework for sequencing protection; Section 15 concludes. A comprehensive reference list follows.</w:t>
      </w:r>
    </w:p>
    <w:p>
      <w:r>
        <w:br w:type="page"/>
      </w:r>
    </w:p>
    <w:p>
      <w:pPr>
        <w:pStyle w:val="Heading1"/>
        <w:spacing w:after="160" w:before="340"/>
      </w:pPr>
      <w:r>
        <w:t xml:space="preserve">2  The Economic Theory of Insurance</w:t>
      </w:r>
    </w:p>
    <w:p>
      <w:pPr>
        <w:pBdr>
          <w:bottom w:val="single" w:color="6B4F2A" w:sz="6" w:space="1"/>
        </w:pBdr>
        <w:spacing w:after="140"/>
      </w:pPr>
      <w:r>
        <w:rPr>
          <w:rFonts w:ascii="Georgia" w:cs="Georgia" w:eastAsia="Georgia" w:hAnsi="Georgia"/>
          <w:color w:val="1A1A1A"/>
          <w:sz w:val="21"/>
          <w:szCs w:val="21"/>
        </w:rPr>
        <w:t xml:space="preserve"/>
      </w:r>
    </w:p>
    <w:p>
      <w:pPr>
        <w:spacing w:after="120" w:line="300"/>
        <w:jc w:val="both"/>
      </w:pPr>
      <w:r>
        <w:rPr>
          <w:rFonts w:ascii="Georgia" w:cs="Georgia" w:eastAsia="Georgia" w:hAnsi="Georgia"/>
          <w:color w:val="1A1A1A"/>
          <w:sz w:val="21"/>
          <w:szCs w:val="21"/>
        </w:rPr>
        <w:t xml:space="preserve">Any coherent account of household protection must begin with the question of why insurance exists at all—why a rational agent would willingly pay more, in expectation, than the losses she thereby avoids. The answer, and the qualifications the answer requires, organize the entire field.</w:t>
      </w:r>
    </w:p>
    <w:p>
      <w:pPr>
        <w:pStyle w:val="Heading2"/>
        <w:spacing w:after="120" w:before="240"/>
      </w:pPr>
      <w:r>
        <w:t xml:space="preserve">2.1  Risk aversion and the demand for insurance</w:t>
      </w:r>
    </w:p>
    <w:p>
      <w:pPr>
        <w:spacing w:after="120" w:line="300"/>
        <w:jc w:val="both"/>
      </w:pPr>
      <w:r>
        <w:rPr>
          <w:rFonts w:ascii="Georgia" w:cs="Georgia" w:eastAsia="Georgia" w:hAnsi="Georgia"/>
          <w:color w:val="1A1A1A"/>
          <w:sz w:val="21"/>
          <w:szCs w:val="21"/>
        </w:rPr>
        <w:t xml:space="preserve">The foundational result is that a risk-averse agent—one whose utility of wealth is concave, so that the marginal utility of a dollar falls as wealth rises—will pay a premium to convert an uncertain loss into a certain one. Because a large loss destroys more utility than an equal-sized gain creates, the agent values the stability that insurance provides above its actuarial cost, and will rationally accept a premium that exceeds expected losses by a loading for the insurer’s expenses and profit. This is the sense in which insurance can be actuarially unfair yet welfare-improving (von Neumann and Morgenstern, 1944; Friedman and Savage, 1948; Pratt, 1964; Arrow, 1963; Mossin, 1968; Ehrlich and Becker, 1972).</w:t>
      </w:r>
    </w:p>
    <w:p>
      <w:pPr>
        <w:spacing w:after="120" w:line="300"/>
        <w:ind w:firstLine="360"/>
        <w:jc w:val="both"/>
      </w:pPr>
      <w:r>
        <w:rPr>
          <w:rFonts w:ascii="Georgia" w:cs="Georgia" w:eastAsia="Georgia" w:hAnsi="Georgia"/>
          <w:color w:val="1A1A1A"/>
          <w:sz w:val="21"/>
          <w:szCs w:val="21"/>
        </w:rPr>
        <w:t xml:space="preserve">Arrow (1963), in the paper that founded the economics of medical care and of insurance more broadly, formalized the welfare gains from risk-shifting and derived an early version of the result that, in the presence of proportional loading, the optimal policy takes the form of full coverage above a deductible. Mossin (1968) established the complementary and initially counterintuitive proposition that with a positive premium loading, full insurance is never optimal: a rational agent always chooses to retain some risk. These results already contain, in embryo, the paper’s central normative theme—that scarce premium dollars should be directed toward large losses, with small and affordable losses retained rather than insured.</w:t>
      </w:r>
    </w:p>
    <w:p>
      <w:pPr>
        <w:spacing w:after="120" w:line="300"/>
        <w:ind w:firstLine="360"/>
        <w:jc w:val="both"/>
      </w:pPr>
      <w:r>
        <w:rPr>
          <w:rFonts w:ascii="Georgia" w:cs="Georgia" w:eastAsia="Georgia" w:hAnsi="Georgia"/>
          <w:color w:val="1A1A1A"/>
          <w:sz w:val="21"/>
          <w:szCs w:val="21"/>
        </w:rPr>
        <w:t xml:space="preserve">The corollary is that the value of insurance rises with the size of the potential loss relative to the household’s resources and falls as the loss becomes one the household could absorb from savings. Insuring a loss one can comfortably self-fund converts an uncertain small cost into a certain larger one—the premium plus loading—and is, for a risk-neutral evaluation of small stakes, a losing proposition. This simple asymmetry, elaborated in Section 14, is the logical basis for sequencing protection by severity.</w:t>
      </w:r>
    </w:p>
    <w:p>
      <w:pPr>
        <w:pStyle w:val="Heading2"/>
        <w:spacing w:after="120" w:before="240"/>
      </w:pPr>
      <w:r>
        <w:t xml:space="preserve">2.2  Asymmetric information: adverse selection and moral hazard</w:t>
      </w:r>
    </w:p>
    <w:p>
      <w:pPr>
        <w:spacing w:after="120" w:line="300"/>
        <w:jc w:val="both"/>
      </w:pPr>
      <w:r>
        <w:rPr>
          <w:rFonts w:ascii="Georgia" w:cs="Georgia" w:eastAsia="Georgia" w:hAnsi="Georgia"/>
          <w:color w:val="1A1A1A"/>
          <w:sz w:val="21"/>
          <w:szCs w:val="21"/>
        </w:rPr>
        <w:t xml:space="preserve">Insurance markets are the canonical setting for the economics of asymmetric information, and two failures—adverse selection and moral hazard—shape every line of coverage and much of its regulation.</w:t>
      </w:r>
    </w:p>
    <w:p>
      <w:pPr>
        <w:spacing w:after="120" w:line="300"/>
        <w:ind w:firstLine="360"/>
        <w:jc w:val="both"/>
      </w:pPr>
      <w:r>
        <w:rPr>
          <w:rFonts w:ascii="Georgia" w:cs="Georgia" w:eastAsia="Georgia" w:hAnsi="Georgia"/>
          <w:color w:val="1A1A1A"/>
          <w:sz w:val="21"/>
          <w:szCs w:val="21"/>
        </w:rPr>
        <w:t xml:space="preserve">Adverse selection arises when the insured knows more about her own risk than the insurer. Akerlof (1970), in “The Market for ‘Lemons,’” showed that such informational asymmetry can unravel a market entirely, as high-risk participants crowd in and low-risk participants withdraw, driving prices up in a self-reinforcing spiral. Rothschild and Stiglitz (1976) brought the problem inside the insurance market itself, proving that under adverse selection a competitive equilibrium may fail to exist, and that in any separating equilibrium—one in which insurers offer a menu that induces different risk types to self-select—low-risk individuals obtain less than full coverage, bearing a welfare cost imposed by the mere possibility that they might be high-risk. Their analysis remains the reference point for debates over mandates, community rating, and guaranteed issue, each of which can be read as an institutional response to the equilibrium problem they identified. Subsequent work has refined the conditions under which equilibria exist and are efficient and has tested for asymmetric information empirically (Wilson, 1977; Miyazaki, 1977; Chiappori and Salanié, 2000; Finkelstein and Poterba, 2004; Einav, Finkelstein, and Cullen, 2010; Azevedo and Gottlieb, 2017; Stiglitz, Yun, and Kosenko, 2017).</w:t>
      </w:r>
    </w:p>
    <w:p>
      <w:pPr>
        <w:spacing w:after="120" w:line="300"/>
        <w:ind w:firstLine="360"/>
        <w:jc w:val="both"/>
      </w:pPr>
      <w:r>
        <w:rPr>
          <w:rFonts w:ascii="Georgia" w:cs="Georgia" w:eastAsia="Georgia" w:hAnsi="Georgia"/>
          <w:color w:val="1A1A1A"/>
          <w:sz w:val="21"/>
          <w:szCs w:val="21"/>
        </w:rPr>
        <w:t xml:space="preserve">Moral hazard, the second failure, arises after the contract is written: coverage dulls the insured’s incentive to prevent the loss or to limit its cost. It is the reason policies contain deductibles, coinsurance, and coverage limits, all of which restore a measure of the insured’s stake in the outcome, and it sets up an unavoidable tension between risk-spreading and incentives that Pauly (1968) and Arrow (1963) placed at the center of insurance design. The optimal contract trades the welfare gain from spreading risk against the welfare loss from blunted incentives—a trade-off revisited in the discussion of health-insurance cost-sharing in Section 4.</w:t>
      </w:r>
    </w:p>
    <w:p>
      <w:pPr>
        <w:spacing w:after="20"/>
      </w:pPr>
      <w:r>
        <w:rPr>
          <w:rFonts w:ascii="Georgia" w:cs="Georgia" w:eastAsia="Georgia" w:hAnsi="Georgia"/>
          <w:color w:val="1A1A1A"/>
          <w:sz w:val="21"/>
          <w:szCs w:val="21"/>
        </w:rPr>
        <w:t xml:space="preserve"/>
      </w:r>
    </w:p>
    <w:p>
      <w:pPr>
        <w:spacing w:after="60" w:before="60"/>
      </w:pPr>
      <w:r>
        <w:rPr>
          <w:rFonts w:ascii="Georgia" w:cs="Georgia" w:eastAsia="Georgia" w:hAnsi="Georgia"/>
          <w:b/>
          <w:bCs/>
          <w:color w:val="1F3A5F"/>
          <w:sz w:val="18"/>
          <w:szCs w:val="18"/>
        </w:rPr>
        <w:t xml:space="preserve">Table 2.1  Two informational failures and their institutional remedies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3160"/>
        <w:gridCol w:w="2800"/>
      </w:tblGrid>
      <w:tr>
        <w:trPr>
          <w:tblHeader/>
        </w:trPr>
        <w:tc>
          <w:tcPr>
            <w:tcW w:type="dxa" w:w="1900"/>
            <w:tcBorders>
              <w:top w:val="single" w:color="C4CFD9" w:sz="1"/>
              <w:left w:val="single" w:color="C4CFD9" w:sz="1"/>
              <w:bottom w:val="single" w:color="C4CFD9" w:sz="1"/>
              <w:right w:val="single" w:color="C4CFD9" w:sz="1"/>
            </w:tcBorders>
            <w:shd w:fill="1F3A5F" w:val="clear"/>
            <w:tcMar>
              <w:top w:type="dxa" w:w="60"/>
              <w:left w:type="dxa" w:w="90"/>
              <w:bottom w:type="dxa" w:w="60"/>
              <w:right w:type="dxa" w:w="90"/>
            </w:tcMar>
            <w:vAlign w:val="center"/>
          </w:tcPr>
          <w:p>
            <w:pPr>
              <w:spacing w:after="0"/>
              <w:jc w:val="left"/>
            </w:pPr>
            <w:r>
              <w:rPr>
                <w:rFonts w:ascii="Georgia" w:cs="Georgia" w:eastAsia="Georgia" w:hAnsi="Georgia"/>
                <w:b/>
                <w:bCs/>
                <w:color w:val="FFFFFF"/>
                <w:sz w:val="18"/>
                <w:szCs w:val="18"/>
              </w:rPr>
              <w:t xml:space="preserve">Failure</w:t>
            </w:r>
          </w:p>
        </w:tc>
        <w:tc>
          <w:tcPr>
            <w:tcW w:type="dxa" w:w="1500"/>
            <w:tcBorders>
              <w:top w:val="single" w:color="C4CFD9" w:sz="1"/>
              <w:left w:val="single" w:color="C4CFD9" w:sz="1"/>
              <w:bottom w:val="single" w:color="C4CFD9" w:sz="1"/>
              <w:right w:val="single" w:color="C4CFD9" w:sz="1"/>
            </w:tcBorders>
            <w:shd w:fill="1F3A5F" w:val="clear"/>
            <w:tcMar>
              <w:top w:type="dxa" w:w="60"/>
              <w:left w:type="dxa" w:w="90"/>
              <w:bottom w:type="dxa" w:w="60"/>
              <w:right w:type="dxa" w:w="90"/>
            </w:tcMar>
            <w:vAlign w:val="center"/>
          </w:tcPr>
          <w:p>
            <w:pPr>
              <w:spacing w:after="0"/>
              <w:jc w:val="left"/>
            </w:pPr>
            <w:r>
              <w:rPr>
                <w:rFonts w:ascii="Georgia" w:cs="Georgia" w:eastAsia="Georgia" w:hAnsi="Georgia"/>
                <w:b/>
                <w:bCs/>
                <w:color w:val="FFFFFF"/>
                <w:sz w:val="18"/>
                <w:szCs w:val="18"/>
              </w:rPr>
              <w:t xml:space="preserve">Timing</w:t>
            </w:r>
          </w:p>
        </w:tc>
        <w:tc>
          <w:tcPr>
            <w:tcW w:type="dxa" w:w="3160"/>
            <w:tcBorders>
              <w:top w:val="single" w:color="C4CFD9" w:sz="1"/>
              <w:left w:val="single" w:color="C4CFD9" w:sz="1"/>
              <w:bottom w:val="single" w:color="C4CFD9" w:sz="1"/>
              <w:right w:val="single" w:color="C4CFD9" w:sz="1"/>
            </w:tcBorders>
            <w:shd w:fill="1F3A5F" w:val="clear"/>
            <w:tcMar>
              <w:top w:type="dxa" w:w="60"/>
              <w:left w:type="dxa" w:w="90"/>
              <w:bottom w:type="dxa" w:w="60"/>
              <w:right w:type="dxa" w:w="90"/>
            </w:tcMar>
            <w:vAlign w:val="center"/>
          </w:tcPr>
          <w:p>
            <w:pPr>
              <w:spacing w:after="0"/>
              <w:jc w:val="left"/>
            </w:pPr>
            <w:r>
              <w:rPr>
                <w:rFonts w:ascii="Georgia" w:cs="Georgia" w:eastAsia="Georgia" w:hAnsi="Georgia"/>
                <w:b/>
                <w:bCs/>
                <w:color w:val="FFFFFF"/>
                <w:sz w:val="18"/>
                <w:szCs w:val="18"/>
              </w:rPr>
              <w:t xml:space="preserve">Mechanism</w:t>
            </w:r>
          </w:p>
        </w:tc>
        <w:tc>
          <w:tcPr>
            <w:tcW w:type="dxa" w:w="2800"/>
            <w:tcBorders>
              <w:top w:val="single" w:color="C4CFD9" w:sz="1"/>
              <w:left w:val="single" w:color="C4CFD9" w:sz="1"/>
              <w:bottom w:val="single" w:color="C4CFD9" w:sz="1"/>
              <w:right w:val="single" w:color="C4CFD9" w:sz="1"/>
            </w:tcBorders>
            <w:shd w:fill="1F3A5F" w:val="clear"/>
            <w:tcMar>
              <w:top w:type="dxa" w:w="60"/>
              <w:left w:type="dxa" w:w="90"/>
              <w:bottom w:type="dxa" w:w="60"/>
              <w:right w:type="dxa" w:w="90"/>
            </w:tcMar>
            <w:vAlign w:val="center"/>
          </w:tcPr>
          <w:p>
            <w:pPr>
              <w:spacing w:after="0"/>
              <w:jc w:val="left"/>
            </w:pPr>
            <w:r>
              <w:rPr>
                <w:rFonts w:ascii="Georgia" w:cs="Georgia" w:eastAsia="Georgia" w:hAnsi="Georgia"/>
                <w:b/>
                <w:bCs/>
                <w:color w:val="FFFFFF"/>
                <w:sz w:val="18"/>
                <w:szCs w:val="18"/>
              </w:rPr>
              <w:t xml:space="preserve">Typical remedies</w:t>
            </w:r>
          </w:p>
        </w:tc>
      </w:tr>
      <w:tr>
        <w:tc>
          <w:tcPr>
            <w:tcW w:type="dxa" w:w="1900"/>
            <w:tcBorders>
              <w:top w:val="single" w:color="C4CFD9" w:sz="1"/>
              <w:left w:val="single" w:color="C4CFD9" w:sz="1"/>
              <w:bottom w:val="single" w:color="C4CFD9" w:sz="1"/>
              <w:right w:val="single" w:color="C4CFD9" w:sz="1"/>
            </w:tcBorders>
            <w:shd w:fill="FFFFFF"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Adverse selection</w:t>
            </w:r>
          </w:p>
        </w:tc>
        <w:tc>
          <w:tcPr>
            <w:tcW w:type="dxa" w:w="1500"/>
            <w:tcBorders>
              <w:top w:val="single" w:color="C4CFD9" w:sz="1"/>
              <w:left w:val="single" w:color="C4CFD9" w:sz="1"/>
              <w:bottom w:val="single" w:color="C4CFD9" w:sz="1"/>
              <w:right w:val="single" w:color="C4CFD9" w:sz="1"/>
            </w:tcBorders>
            <w:shd w:fill="FFFFFF"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Before contract</w:t>
            </w:r>
          </w:p>
        </w:tc>
        <w:tc>
          <w:tcPr>
            <w:tcW w:type="dxa" w:w="3160"/>
            <w:tcBorders>
              <w:top w:val="single" w:color="C4CFD9" w:sz="1"/>
              <w:left w:val="single" w:color="C4CFD9" w:sz="1"/>
              <w:bottom w:val="single" w:color="C4CFD9" w:sz="1"/>
              <w:right w:val="single" w:color="C4CFD9" w:sz="1"/>
            </w:tcBorders>
            <w:shd w:fill="FFFFFF"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Insured knows own risk; high risks over-select, low risks withdraw</w:t>
            </w:r>
          </w:p>
        </w:tc>
        <w:tc>
          <w:tcPr>
            <w:tcW w:type="dxa" w:w="2800"/>
            <w:tcBorders>
              <w:top w:val="single" w:color="C4CFD9" w:sz="1"/>
              <w:left w:val="single" w:color="C4CFD9" w:sz="1"/>
              <w:bottom w:val="single" w:color="C4CFD9" w:sz="1"/>
              <w:right w:val="single" w:color="C4CFD9" w:sz="1"/>
            </w:tcBorders>
            <w:shd w:fill="FFFFFF"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Community rating, mandates, guaranteed issue, group pooling, underwriting</w:t>
            </w:r>
          </w:p>
        </w:tc>
      </w:tr>
      <w:tr>
        <w:tc>
          <w:tcPr>
            <w:tcW w:type="dxa" w:w="1900"/>
            <w:tcBorders>
              <w:top w:val="single" w:color="C4CFD9" w:sz="1"/>
              <w:left w:val="single" w:color="C4CFD9" w:sz="1"/>
              <w:bottom w:val="single" w:color="C4CFD9" w:sz="1"/>
              <w:right w:val="single" w:color="C4CFD9" w:sz="1"/>
            </w:tcBorders>
            <w:shd w:fill="F4F6F9"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Moral hazard</w:t>
            </w:r>
          </w:p>
        </w:tc>
        <w:tc>
          <w:tcPr>
            <w:tcW w:type="dxa" w:w="1500"/>
            <w:tcBorders>
              <w:top w:val="single" w:color="C4CFD9" w:sz="1"/>
              <w:left w:val="single" w:color="C4CFD9" w:sz="1"/>
              <w:bottom w:val="single" w:color="C4CFD9" w:sz="1"/>
              <w:right w:val="single" w:color="C4CFD9" w:sz="1"/>
            </w:tcBorders>
            <w:shd w:fill="F4F6F9"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After contract</w:t>
            </w:r>
          </w:p>
        </w:tc>
        <w:tc>
          <w:tcPr>
            <w:tcW w:type="dxa" w:w="3160"/>
            <w:tcBorders>
              <w:top w:val="single" w:color="C4CFD9" w:sz="1"/>
              <w:left w:val="single" w:color="C4CFD9" w:sz="1"/>
              <w:bottom w:val="single" w:color="C4CFD9" w:sz="1"/>
              <w:right w:val="single" w:color="C4CFD9" w:sz="1"/>
            </w:tcBorders>
            <w:shd w:fill="F4F6F9"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Coverage reduces incentive to prevent or limit loss</w:t>
            </w:r>
          </w:p>
        </w:tc>
        <w:tc>
          <w:tcPr>
            <w:tcW w:type="dxa" w:w="2800"/>
            <w:tcBorders>
              <w:top w:val="single" w:color="C4CFD9" w:sz="1"/>
              <w:left w:val="single" w:color="C4CFD9" w:sz="1"/>
              <w:bottom w:val="single" w:color="C4CFD9" w:sz="1"/>
              <w:right w:val="single" w:color="C4CFD9" w:sz="1"/>
            </w:tcBorders>
            <w:shd w:fill="F4F6F9"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Deductibles, coinsurance, limits, exclusions, experience rating</w:t>
            </w:r>
          </w:p>
        </w:tc>
      </w:tr>
    </w:tbl>
    <w:p>
      <w:pPr>
        <w:spacing w:after="140" w:before="40"/>
        <w:jc w:val="left"/>
      </w:pPr>
      <w:r>
        <w:rPr>
          <w:rFonts w:ascii="Georgia" w:cs="Georgia" w:eastAsia="Georgia" w:hAnsi="Georgia"/>
          <w:i/>
          <w:iCs/>
          <w:color w:val="555555"/>
          <w:sz w:val="17"/>
          <w:szCs w:val="17"/>
        </w:rPr>
        <w:t xml:space="preserve">Note. The two failures are logically distinct—one concerns hidden information, the other hidden action—but coexist in most lines. Sources: Arrow (1963); Akerlof (1970); Pauly (1968); Rothschild and Stiglitz (1976).</w:t>
      </w:r>
    </w:p>
    <w:p>
      <w:pPr>
        <w:pStyle w:val="Heading2"/>
        <w:spacing w:after="120" w:before="240"/>
      </w:pPr>
      <w:r>
        <w:t xml:space="preserve">2.3  The behavioral turn: probability neglect and systematic under-insurance</w:t>
      </w:r>
    </w:p>
    <w:p>
      <w:pPr>
        <w:spacing w:after="120" w:line="300"/>
        <w:jc w:val="both"/>
      </w:pPr>
      <w:r>
        <w:rPr>
          <w:rFonts w:ascii="Georgia" w:cs="Georgia" w:eastAsia="Georgia" w:hAnsi="Georgia"/>
          <w:color w:val="1A1A1A"/>
          <w:sz w:val="21"/>
          <w:szCs w:val="21"/>
        </w:rPr>
        <w:t xml:space="preserve">Expected-utility theory predicts that rational agents will insure most heavily against the largest threats to their wealth. A large body of evidence shows that households do something closer to the opposite, and explaining the discrepancy has required importing the tools of behavioral economics into insurance.</w:t>
      </w:r>
    </w:p>
    <w:p>
      <w:pPr>
        <w:spacing w:after="120" w:line="300"/>
        <w:ind w:firstLine="360"/>
        <w:jc w:val="both"/>
      </w:pPr>
      <w:r>
        <w:rPr>
          <w:rFonts w:ascii="Georgia" w:cs="Georgia" w:eastAsia="Georgia" w:hAnsi="Georgia"/>
          <w:color w:val="1A1A1A"/>
          <w:sz w:val="21"/>
          <w:szCs w:val="21"/>
        </w:rPr>
        <w:t xml:space="preserve">The empirical anchor is a program of research initiated by Kunreuther and collaborators, whose landmark study of disaster insurance (Kunreuther et al., 1978), drawing on the work of some 135 expert contributors, documented that individuals purchase inadequate coverage against low-probability, high-consequence hazards such as floods and earthquakes even when it is available and subsidized. This finding—that people underinsure precisely where insurance matters most—is difficult to reconcile with expected-utility maximization and has been replicated across settings (Kunreuther and Pauly, 2004; Kunreuther, Pauly, and McMorrow, 2013).</w:t>
      </w:r>
    </w:p>
    <w:p>
      <w:pPr>
        <w:spacing w:after="120" w:line="300"/>
        <w:ind w:firstLine="360"/>
        <w:jc w:val="both"/>
      </w:pPr>
      <w:r>
        <w:rPr>
          <w:rFonts w:ascii="Georgia" w:cs="Georgia" w:eastAsia="Georgia" w:hAnsi="Georgia"/>
          <w:color w:val="1A1A1A"/>
          <w:sz w:val="21"/>
          <w:szCs w:val="21"/>
        </w:rPr>
        <w:t xml:space="preserve">Prospect theory (Kahneman and Tversky, 1979; Tversky and Kahneman, 1992) supplies much of the explanation. People do not weight outcomes by their objective probabilities but by transformed decision weights that systematically distort small probabilities, and they evaluate outcomes relative to a reference point with loss aversion rather than in terms of final wealth. Very small probabilities are sometimes grossly overweighted and sometimes neglected entirely, and which occurs depends on framing and attention. Kunreuther, Novemsky, and Kahneman (2001) show that low probabilities become decision-relevant only when they are made concrete—for instance, by lengthening the time horizon over which a risk is expressed or by providing a comparison scale. Arrow himself observed that people’s sensitivity to probability “goes down too rapidly as the probability decreases,” so that the risks most worth insuring are the ones most likely to be ignored.</w:t>
      </w:r>
    </w:p>
    <w:p>
      <w:pPr>
        <w:spacing w:after="120" w:line="300"/>
        <w:ind w:firstLine="360"/>
        <w:jc w:val="both"/>
      </w:pPr>
      <w:r>
        <w:rPr>
          <w:rFonts w:ascii="Georgia" w:cs="Georgia" w:eastAsia="Georgia" w:hAnsi="Georgia"/>
          <w:color w:val="1A1A1A"/>
          <w:sz w:val="21"/>
          <w:szCs w:val="21"/>
        </w:rPr>
        <w:t xml:space="preserve">The behavioral literature also documents the mirror-image error: over-insurance of small, salient, high-frequency risks, evident in the popularity of low deductibles and of narrow supplemental policies whose expected payouts are small relative to their loadings (Sydnor, 2010; Cutler and Zeckhauser, 2004; Barseghyan, Molinari, O’Donoghue, and Teitelbaum, 2013). Together these two tendencies—neglecting the catastrophic and over-buying the trivial—constitute the behavioral foundation for the severity-ordering principle developed later in the paper.</w:t>
      </w:r>
    </w:p>
    <w:p>
      <w:pPr>
        <w:pStyle w:val="Heading2"/>
        <w:spacing w:after="120" w:before="240"/>
      </w:pPr>
      <w:r>
        <w:t xml:space="preserve">2.4  Pricing, pooling, and the insurer’s problem</w:t>
      </w:r>
    </w:p>
    <w:p>
      <w:pPr>
        <w:spacing w:after="120" w:line="300"/>
        <w:jc w:val="both"/>
      </w:pPr>
      <w:r>
        <w:rPr>
          <w:rFonts w:ascii="Georgia" w:cs="Georgia" w:eastAsia="Georgia" w:hAnsi="Georgia"/>
          <w:color w:val="1A1A1A"/>
          <w:sz w:val="21"/>
          <w:szCs w:val="21"/>
        </w:rPr>
        <w:t xml:space="preserve">On the supply side, insurance rests on the law of large numbers: while any individual loss is unpredictable, the average loss across a large, independent pool is highly predictable, which allows the insurer to set premiums with confidence and to hold reserves against deviations. Risk that is idiosyncratic across policyholders is thereby diversified away; risk that is correlated across them—catastrophe risk—cannot be, and is managed instead through reinsurance, capital, and, at the limit, public backstops (Cummins and Weiss, 2009; Froot, 2001).</w:t>
      </w:r>
    </w:p>
    <w:p>
      <w:pPr>
        <w:spacing w:after="120" w:line="300"/>
        <w:ind w:firstLine="360"/>
        <w:jc w:val="both"/>
      </w:pPr>
      <w:r>
        <w:rPr>
          <w:rFonts w:ascii="Georgia" w:cs="Georgia" w:eastAsia="Georgia" w:hAnsi="Georgia"/>
          <w:color w:val="1A1A1A"/>
          <w:sz w:val="21"/>
          <w:szCs w:val="21"/>
        </w:rPr>
        <w:t xml:space="preserve">Insurer performance is conventionally summarized by the loss ratio (incurred losses divided by earned premiums) and the combined ratio (losses plus expenses divided by premiums), the latter indicating an underwriting profit when below unity and a loss when above. These accounting identities matter for the household because they determine the loading embedded in any premium and thus the price of transferring risk. Actuarial practice—the estimation of expected losses, the construction of rate classes, and the setting of reserves—is the technical machinery that makes pooling operational, and its standards are maintained by professional bodies including the Society of Actuaries, the American Academy of Actuaries, and the Casualty Actuarial Society. The financial strength of the pool, in turn, is assessed by rating agencies whose methodologies (discussed in Section 7) translate an insurer’s capital adequacy into a claims-paying-ability grade.</w:t>
      </w:r>
    </w:p>
    <w:tbl>
      <w:tblPr>
        <w:tblW w:type="dxa" w:w="9360"/>
        <w:tblBorders>
          <w:top w:val="single" w:color="F2F5F8" w:sz="1"/>
          <w:left w:val="single" w:color="2E5077" w:sz="22"/>
          <w:bottom w:val="single" w:color="F2F5F8" w:sz="1"/>
          <w:right w:val="single" w:color="F2F5F8" w:sz="1"/>
          <w:insideH w:val="single" w:color="auto" w:sz="4"/>
          <w:insideV w:val="single" w:color="auto" w:sz="4"/>
        </w:tblBorders>
      </w:tblPr>
      <w:tblGrid>
        <w:gridCol w:w="9360"/>
      </w:tblGrid>
      <w:tr>
        <w:tc>
          <w:tcPr>
            <w:tcW w:type="dxa" w:w="9360"/>
            <w:shd w:fill="F2F5F8" w:val="clear"/>
            <w:tcMar>
              <w:top w:type="dxa" w:w="130"/>
              <w:left w:type="dxa" w:w="200"/>
              <w:bottom w:type="dxa" w:w="130"/>
              <w:right w:type="dxa" w:w="170"/>
            </w:tcMar>
          </w:tcPr>
          <w:p>
            <w:pPr>
              <w:spacing w:after="70"/>
            </w:pPr>
            <w:r>
              <w:rPr>
                <w:rFonts w:ascii="Georgia" w:cs="Georgia" w:eastAsia="Georgia" w:hAnsi="Georgia"/>
                <w:b/>
                <w:bCs/>
                <w:color w:val="1F3A5F"/>
                <w:sz w:val="20"/>
                <w:szCs w:val="20"/>
              </w:rPr>
              <w:t xml:space="preserve">Summary of Section 2</w:t>
            </w:r>
          </w:p>
          <w:p>
            <w:pPr>
              <w:spacing w:after="40" w:line="288"/>
              <w:jc w:val="both"/>
            </w:pPr>
            <w:r>
              <w:rPr>
                <w:rFonts w:ascii="Georgia" w:cs="Georgia" w:eastAsia="Georgia" w:hAnsi="Georgia"/>
                <w:color w:val="1A1A1A"/>
                <w:sz w:val="20"/>
                <w:szCs w:val="20"/>
              </w:rPr>
              <w:t xml:space="preserve">The theory yields four propositions that recur throughout the paper: (i) insurance is valuable because it transfers risk from states where wealth is scarce to states where it is plentiful, so its value rises with the size of the loss relative to resources; (ii) full insurance is not optimal when premiums are loaded, so small losses should be retained; (iii) asymmetric information constrains what markets can offer, making pooled and community-rated coverage especially valuable; and (iv) actual behavior departs from the theory in a specific, predictable direction—under-protection against catastrophic risk—that the rest of the paper takes as its point of departure.</w:t>
            </w:r>
          </w:p>
        </w:tc>
      </w:tr>
    </w:tbl>
    <w:p>
      <w:r>
        <w:br w:type="page"/>
      </w:r>
    </w:p>
    <w:p>
      <w:pPr>
        <w:pStyle w:val="Heading1"/>
        <w:spacing w:after="160" w:before="340"/>
      </w:pPr>
      <w:r>
        <w:t xml:space="preserve">3  The Empirical Scale of Under-Protection</w:t>
      </w:r>
    </w:p>
    <w:p>
      <w:pPr>
        <w:pBdr>
          <w:bottom w:val="single" w:color="6B4F2A" w:sz="6" w:space="1"/>
        </w:pBdr>
        <w:spacing w:after="140"/>
      </w:pPr>
      <w:r>
        <w:rPr>
          <w:rFonts w:ascii="Georgia" w:cs="Georgia" w:eastAsia="Georgia" w:hAnsi="Georgia"/>
          <w:color w:val="1A1A1A"/>
          <w:sz w:val="21"/>
          <w:szCs w:val="21"/>
        </w:rPr>
        <w:t xml:space="preserve"/>
      </w:r>
    </w:p>
    <w:p>
      <w:pPr>
        <w:spacing w:after="120" w:line="300"/>
        <w:jc w:val="both"/>
      </w:pPr>
      <w:r>
        <w:rPr>
          <w:rFonts w:ascii="Georgia" w:cs="Georgia" w:eastAsia="Georgia" w:hAnsi="Georgia"/>
          <w:color w:val="1A1A1A"/>
          <w:sz w:val="21"/>
          <w:szCs w:val="21"/>
        </w:rPr>
        <w:t xml:space="preserve">Section 2 argued on theoretical grounds that households should insure catastrophic risks first. This section documents how far actual coverage falls short of that benchmark, drawing on nationally representative survey evidence across the major lines. The magnitudes are large, they are concentrated among precisely the populations this paper foregrounds, and their consequences are measurable.</w:t>
      </w:r>
    </w:p>
    <w:p>
      <w:pPr>
        <w:pStyle w:val="Heading2"/>
        <w:spacing w:after="120" w:before="240"/>
      </w:pPr>
      <w:r>
        <w:t xml:space="preserve">3.1  Coverage breadth and the aggregate gap</w:t>
      </w:r>
    </w:p>
    <w:p>
      <w:pPr>
        <w:spacing w:after="120" w:line="300"/>
        <w:jc w:val="both"/>
      </w:pPr>
      <w:r>
        <w:rPr>
          <w:rFonts w:ascii="Georgia" w:cs="Georgia" w:eastAsia="Georgia" w:hAnsi="Georgia"/>
          <w:color w:val="1A1A1A"/>
          <w:sz w:val="21"/>
          <w:szCs w:val="21"/>
        </w:rPr>
        <w:t xml:space="preserve">The insured household is rarely under-protected because it holds too few contracts; the median insured adult carries several distinct coverages at once—auto, homeowners or renters, health, and often life and a supplemental line—once all lines are counted. Under-protection instead takes the form of inadequate limits and missing coverage against specific catastrophic exposures. The insurance industry describes the aggregate shortfall as the “protection gap,” the difference between economically warranted and actually purchased coverage, and estimates it to be large and growing across health, mortality, and natural-catastrophe risk (Swiss Re Institute, 2024; Insurance Information Institute, 2024).</w:t>
      </w:r>
    </w:p>
    <w:p>
      <w:pPr>
        <w:pStyle w:val="Heading2"/>
        <w:spacing w:after="120" w:before="240"/>
      </w:pPr>
      <w:r>
        <w:t xml:space="preserve">3.2  Health coverage: adequacy, not just access</w:t>
      </w:r>
    </w:p>
    <w:p>
      <w:pPr>
        <w:spacing w:after="120" w:line="300"/>
        <w:jc w:val="both"/>
      </w:pPr>
      <w:r>
        <w:rPr>
          <w:rFonts w:ascii="Georgia" w:cs="Georgia" w:eastAsia="Georgia" w:hAnsi="Georgia"/>
          <w:color w:val="1A1A1A"/>
          <w:sz w:val="21"/>
          <w:szCs w:val="21"/>
        </w:rPr>
        <w:t xml:space="preserve">The most carefully measured line is health. The Commonwealth Fund’s 2024 Biennial Health Insurance Survey—a nationally representative survey of 8,201 U.S. adults, including 6,480 of working age—distinguishes the uninsured from the underinsured, defined as those with continuous coverage whose out-of-pocket costs or deductibles are nonetheless high relative to income (Collins and Gupta, 2024). Its central estimates are reported in Table 3.1.</w:t>
      </w:r>
    </w:p>
    <w:p>
      <w:pPr>
        <w:spacing w:after="20"/>
      </w:pPr>
      <w:r>
        <w:rPr>
          <w:rFonts w:ascii="Georgia" w:cs="Georgia" w:eastAsia="Georgia" w:hAnsi="Georgia"/>
          <w:color w:val="1A1A1A"/>
          <w:sz w:val="21"/>
          <w:szCs w:val="21"/>
        </w:rPr>
        <w:t xml:space="preserve"/>
      </w:r>
    </w:p>
    <w:p>
      <w:pPr>
        <w:spacing w:after="60" w:before="60"/>
      </w:pPr>
      <w:r>
        <w:rPr>
          <w:rFonts w:ascii="Georgia" w:cs="Georgia" w:eastAsia="Georgia" w:hAnsi="Georgia"/>
          <w:b/>
          <w:bCs/>
          <w:color w:val="1F3A5F"/>
          <w:sz w:val="18"/>
          <w:szCs w:val="18"/>
        </w:rPr>
        <w:t xml:space="preserve">Table 3.1  Adequacy of health coverage among U.S. working-age adults,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C4CFD9" w:sz="1"/>
              <w:left w:val="single" w:color="C4CFD9" w:sz="1"/>
              <w:bottom w:val="single" w:color="C4CFD9" w:sz="1"/>
              <w:right w:val="single" w:color="C4CFD9" w:sz="1"/>
            </w:tcBorders>
            <w:shd w:fill="1F3A5F" w:val="clear"/>
            <w:tcMar>
              <w:top w:type="dxa" w:w="60"/>
              <w:left w:type="dxa" w:w="90"/>
              <w:bottom w:type="dxa" w:w="60"/>
              <w:right w:type="dxa" w:w="90"/>
            </w:tcMar>
            <w:vAlign w:val="center"/>
          </w:tcPr>
          <w:p>
            <w:pPr>
              <w:spacing w:after="0"/>
              <w:jc w:val="left"/>
            </w:pPr>
            <w:r>
              <w:rPr>
                <w:rFonts w:ascii="Georgia" w:cs="Georgia" w:eastAsia="Georgia" w:hAnsi="Georgia"/>
                <w:b/>
                <w:bCs/>
                <w:color w:val="FFFFFF"/>
                <w:sz w:val="18"/>
                <w:szCs w:val="18"/>
              </w:rPr>
              <w:t xml:space="preserve">Coverage status</w:t>
            </w:r>
          </w:p>
        </w:tc>
        <w:tc>
          <w:tcPr>
            <w:tcW w:type="dxa" w:w="3000"/>
            <w:tcBorders>
              <w:top w:val="single" w:color="C4CFD9" w:sz="1"/>
              <w:left w:val="single" w:color="C4CFD9" w:sz="1"/>
              <w:bottom w:val="single" w:color="C4CFD9" w:sz="1"/>
              <w:right w:val="single" w:color="C4CFD9" w:sz="1"/>
            </w:tcBorders>
            <w:shd w:fill="1F3A5F" w:val="clear"/>
            <w:tcMar>
              <w:top w:type="dxa" w:w="60"/>
              <w:left w:type="dxa" w:w="90"/>
              <w:bottom w:type="dxa" w:w="60"/>
              <w:right w:type="dxa" w:w="90"/>
            </w:tcMar>
            <w:vAlign w:val="center"/>
          </w:tcPr>
          <w:p>
            <w:pPr>
              <w:spacing w:after="0"/>
              <w:jc w:val="left"/>
            </w:pPr>
            <w:r>
              <w:rPr>
                <w:rFonts w:ascii="Georgia" w:cs="Georgia" w:eastAsia="Georgia" w:hAnsi="Georgia"/>
                <w:b/>
                <w:bCs/>
                <w:color w:val="FFFFFF"/>
                <w:sz w:val="18"/>
                <w:szCs w:val="18"/>
              </w:rPr>
              <w:t xml:space="preserve">Share of working-age adults</w:t>
            </w:r>
          </w:p>
        </w:tc>
      </w:tr>
      <w:tr>
        <w:tc>
          <w:tcPr>
            <w:tcW w:type="dxa" w:w="6360"/>
            <w:tcBorders>
              <w:top w:val="single" w:color="C4CFD9" w:sz="1"/>
              <w:left w:val="single" w:color="C4CFD9" w:sz="1"/>
              <w:bottom w:val="single" w:color="C4CFD9" w:sz="1"/>
              <w:right w:val="single" w:color="C4CFD9" w:sz="1"/>
            </w:tcBorders>
            <w:shd w:fill="FFFFFF"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8"/>
                <w:szCs w:val="18"/>
              </w:rPr>
              <w:t xml:space="preserve">Underinsured (continuous coverage, high cost exposure)</w:t>
            </w:r>
          </w:p>
        </w:tc>
        <w:tc>
          <w:tcPr>
            <w:tcW w:type="dxa" w:w="3000"/>
            <w:tcBorders>
              <w:top w:val="single" w:color="C4CFD9" w:sz="1"/>
              <w:left w:val="single" w:color="C4CFD9" w:sz="1"/>
              <w:bottom w:val="single" w:color="C4CFD9" w:sz="1"/>
              <w:right w:val="single" w:color="C4CFD9" w:sz="1"/>
            </w:tcBorders>
            <w:shd w:fill="FFFFFF" w:val="clear"/>
            <w:tcMar>
              <w:top w:type="dxa" w:w="50"/>
              <w:left w:type="dxa" w:w="90"/>
              <w:bottom w:type="dxa" w:w="50"/>
              <w:right w:type="dxa" w:w="90"/>
            </w:tcMar>
            <w:vAlign w:val="center"/>
          </w:tcPr>
          <w:p>
            <w:pPr>
              <w:spacing w:after="0" w:line="264"/>
              <w:jc w:val="center"/>
            </w:pPr>
            <w:r>
              <w:rPr>
                <w:rFonts w:ascii="Georgia" w:cs="Georgia" w:eastAsia="Georgia" w:hAnsi="Georgia"/>
                <w:b/>
                <w:bCs/>
                <w:color w:val="1A1A1A"/>
                <w:sz w:val="18"/>
                <w:szCs w:val="18"/>
              </w:rPr>
              <w:t xml:space="preserve">23%</w:t>
            </w:r>
          </w:p>
        </w:tc>
      </w:tr>
      <w:tr>
        <w:tc>
          <w:tcPr>
            <w:tcW w:type="dxa" w:w="6360"/>
            <w:tcBorders>
              <w:top w:val="single" w:color="C4CFD9" w:sz="1"/>
              <w:left w:val="single" w:color="C4CFD9" w:sz="1"/>
              <w:bottom w:val="single" w:color="C4CFD9" w:sz="1"/>
              <w:right w:val="single" w:color="C4CFD9" w:sz="1"/>
            </w:tcBorders>
            <w:shd w:fill="F4F6F9"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8"/>
                <w:szCs w:val="18"/>
              </w:rPr>
              <w:t xml:space="preserve">Uninsured at time of survey</w:t>
            </w:r>
          </w:p>
        </w:tc>
        <w:tc>
          <w:tcPr>
            <w:tcW w:type="dxa" w:w="3000"/>
            <w:tcBorders>
              <w:top w:val="single" w:color="C4CFD9" w:sz="1"/>
              <w:left w:val="single" w:color="C4CFD9" w:sz="1"/>
              <w:bottom w:val="single" w:color="C4CFD9" w:sz="1"/>
              <w:right w:val="single" w:color="C4CFD9" w:sz="1"/>
            </w:tcBorders>
            <w:shd w:fill="F4F6F9" w:val="clear"/>
            <w:tcMar>
              <w:top w:type="dxa" w:w="50"/>
              <w:left w:type="dxa" w:w="90"/>
              <w:bottom w:type="dxa" w:w="50"/>
              <w:right w:type="dxa" w:w="90"/>
            </w:tcMar>
            <w:vAlign w:val="center"/>
          </w:tcPr>
          <w:p>
            <w:pPr>
              <w:spacing w:after="0" w:line="264"/>
              <w:jc w:val="center"/>
            </w:pPr>
            <w:r>
              <w:rPr>
                <w:rFonts w:ascii="Georgia" w:cs="Georgia" w:eastAsia="Georgia" w:hAnsi="Georgia"/>
                <w:b w:val="false"/>
                <w:bCs w:val="false"/>
                <w:color w:val="1A1A1A"/>
                <w:sz w:val="18"/>
                <w:szCs w:val="18"/>
              </w:rPr>
              <w:t xml:space="preserve">9%</w:t>
            </w:r>
          </w:p>
        </w:tc>
      </w:tr>
      <w:tr>
        <w:tc>
          <w:tcPr>
            <w:tcW w:type="dxa" w:w="6360"/>
            <w:tcBorders>
              <w:top w:val="single" w:color="C4CFD9" w:sz="1"/>
              <w:left w:val="single" w:color="C4CFD9" w:sz="1"/>
              <w:bottom w:val="single" w:color="C4CFD9" w:sz="1"/>
              <w:right w:val="single" w:color="C4CFD9" w:sz="1"/>
            </w:tcBorders>
            <w:shd w:fill="FFFFFF"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8"/>
                <w:szCs w:val="18"/>
              </w:rPr>
              <w:t xml:space="preserve">Insured now but had a coverage gap during the year</w:t>
            </w:r>
          </w:p>
        </w:tc>
        <w:tc>
          <w:tcPr>
            <w:tcW w:type="dxa" w:w="3000"/>
            <w:tcBorders>
              <w:top w:val="single" w:color="C4CFD9" w:sz="1"/>
              <w:left w:val="single" w:color="C4CFD9" w:sz="1"/>
              <w:bottom w:val="single" w:color="C4CFD9" w:sz="1"/>
              <w:right w:val="single" w:color="C4CFD9" w:sz="1"/>
            </w:tcBorders>
            <w:shd w:fill="FFFFFF" w:val="clear"/>
            <w:tcMar>
              <w:top w:type="dxa" w:w="50"/>
              <w:left w:type="dxa" w:w="90"/>
              <w:bottom w:type="dxa" w:w="50"/>
              <w:right w:type="dxa" w:w="90"/>
            </w:tcMar>
            <w:vAlign w:val="center"/>
          </w:tcPr>
          <w:p>
            <w:pPr>
              <w:spacing w:after="0" w:line="264"/>
              <w:jc w:val="center"/>
            </w:pPr>
            <w:r>
              <w:rPr>
                <w:rFonts w:ascii="Georgia" w:cs="Georgia" w:eastAsia="Georgia" w:hAnsi="Georgia"/>
                <w:b w:val="false"/>
                <w:bCs w:val="false"/>
                <w:color w:val="1A1A1A"/>
                <w:sz w:val="18"/>
                <w:szCs w:val="18"/>
              </w:rPr>
              <w:t xml:space="preserve">12%</w:t>
            </w:r>
          </w:p>
        </w:tc>
      </w:tr>
      <w:tr>
        <w:tc>
          <w:tcPr>
            <w:tcW w:type="dxa" w:w="6360"/>
            <w:tcBorders>
              <w:top w:val="single" w:color="C4CFD9" w:sz="1"/>
              <w:left w:val="single" w:color="C4CFD9" w:sz="1"/>
              <w:bottom w:val="single" w:color="C4CFD9" w:sz="1"/>
              <w:right w:val="single" w:color="C4CFD9" w:sz="1"/>
            </w:tcBorders>
            <w:shd w:fill="F4F6F9"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8"/>
                <w:szCs w:val="18"/>
              </w:rPr>
              <w:t xml:space="preserve">Insured all year with adequate coverage</w:t>
            </w:r>
          </w:p>
        </w:tc>
        <w:tc>
          <w:tcPr>
            <w:tcW w:type="dxa" w:w="3000"/>
            <w:tcBorders>
              <w:top w:val="single" w:color="C4CFD9" w:sz="1"/>
              <w:left w:val="single" w:color="C4CFD9" w:sz="1"/>
              <w:bottom w:val="single" w:color="C4CFD9" w:sz="1"/>
              <w:right w:val="single" w:color="C4CFD9" w:sz="1"/>
            </w:tcBorders>
            <w:shd w:fill="F4F6F9" w:val="clear"/>
            <w:tcMar>
              <w:top w:type="dxa" w:w="50"/>
              <w:left w:type="dxa" w:w="90"/>
              <w:bottom w:type="dxa" w:w="50"/>
              <w:right w:type="dxa" w:w="90"/>
            </w:tcMar>
            <w:vAlign w:val="center"/>
          </w:tcPr>
          <w:p>
            <w:pPr>
              <w:spacing w:after="0" w:line="264"/>
              <w:jc w:val="center"/>
            </w:pPr>
            <w:r>
              <w:rPr>
                <w:rFonts w:ascii="Georgia" w:cs="Georgia" w:eastAsia="Georgia" w:hAnsi="Georgia"/>
                <w:b/>
                <w:bCs/>
                <w:color w:val="1A1A1A"/>
                <w:sz w:val="18"/>
                <w:szCs w:val="18"/>
              </w:rPr>
              <w:t xml:space="preserve">56%</w:t>
            </w:r>
          </w:p>
        </w:tc>
      </w:tr>
    </w:tbl>
    <w:p>
      <w:pPr>
        <w:spacing w:after="140" w:before="40"/>
        <w:jc w:val="left"/>
      </w:pPr>
      <w:r>
        <w:rPr>
          <w:rFonts w:ascii="Georgia" w:cs="Georgia" w:eastAsia="Georgia" w:hAnsi="Georgia"/>
          <w:i/>
          <w:iCs/>
          <w:color w:val="555555"/>
          <w:sz w:val="17"/>
          <w:szCs w:val="17"/>
        </w:rPr>
        <w:t xml:space="preserve">Source: Collins and Gupta (2024), Commonwealth Fund 2024 Biennial Health Insurance Survey. Of the underinsured, an estimated 66 percent held employer coverage, indicating that under-protection is not confined to the individual market.</w:t>
      </w:r>
    </w:p>
    <w:p>
      <w:pPr>
        <w:spacing w:after="120" w:line="300"/>
        <w:ind w:firstLine="360"/>
        <w:jc w:val="both"/>
      </w:pPr>
      <w:r>
        <w:rPr>
          <w:rFonts w:ascii="Georgia" w:cs="Georgia" w:eastAsia="Georgia" w:hAnsi="Georgia"/>
          <w:color w:val="1A1A1A"/>
          <w:sz w:val="21"/>
          <w:szCs w:val="21"/>
        </w:rPr>
        <w:t xml:space="preserve">Two features of these findings bear on the paper’s argument. First, being underinsured is not primarily a feature of the individual market: roughly two-thirds of the underinsured hold employer-sponsored coverage, so the problem is one of plan design and cost exposure rather than of market of purchase. Second, under-protection has behavioral and health consequences—among the underinsured, a majority report skipping or delaying needed care because of cost, and among those who delayed, a substantial share report that a health problem consequently worsened (Collins and Gupta, 2024). Medical debt is the visible residue: a large minority of adults carry it, and among those who do, a substantial fraction owe two thousand dollars or more.</w:t>
      </w:r>
    </w:p>
    <w:p>
      <w:pPr>
        <w:pStyle w:val="Heading2"/>
        <w:spacing w:after="120" w:before="240"/>
      </w:pPr>
      <w:r>
        <w:t xml:space="preserve">3.3  Mortality risk: the life-insurance gap</w:t>
      </w:r>
    </w:p>
    <w:p>
      <w:pPr>
        <w:spacing w:after="120" w:line="300"/>
        <w:jc w:val="both"/>
      </w:pPr>
      <w:r>
        <w:rPr>
          <w:rFonts w:ascii="Georgia" w:cs="Georgia" w:eastAsia="Georgia" w:hAnsi="Georgia"/>
          <w:color w:val="1A1A1A"/>
          <w:sz w:val="21"/>
          <w:szCs w:val="21"/>
        </w:rPr>
        <w:t xml:space="preserve">The mortality-protection gap is comparably large. Industry survey research estimates that on the order of one hundred million American adults are uninsured or underinsured against mortality risk—that is, report needing life insurance or more of it than they hold (LIMRA and Life Happens, 2024). Reported ownership hovers around half of adults, with a persistent gap between men and women that has held for well over a decade, and younger adults account for a disproportionate share of the unmet need. The financial fragility this implies is stark: a large minority of households report they would face material hardship within six months of losing a primary earner, and a meaningful fraction within a single month (LIMRA and Life Happens, 2024). Aggregate in-force figures—on the order of 134 million individual policies (American Council of Life Insurers, 2024)—coexist with this gap because coverage is unevenly distributed and frequently inadequate in amount relative to the income it would need to replace.</w:t>
      </w:r>
    </w:p>
    <w:p>
      <w:pPr>
        <w:pStyle w:val="Heading2"/>
        <w:spacing w:after="120" w:before="240"/>
      </w:pPr>
      <w:r>
        <w:t xml:space="preserve">3.4  Interpreting the gap</w:t>
      </w:r>
    </w:p>
    <w:p>
      <w:pPr>
        <w:spacing w:after="120" w:line="300"/>
        <w:jc w:val="both"/>
      </w:pPr>
      <w:r>
        <w:rPr>
          <w:rFonts w:ascii="Georgia" w:cs="Georgia" w:eastAsia="Georgia" w:hAnsi="Georgia"/>
          <w:color w:val="1A1A1A"/>
          <w:sz w:val="21"/>
          <w:szCs w:val="21"/>
        </w:rPr>
        <w:t xml:space="preserve">The consistent picture across lines is that under-protection is the rule rather than the exception, that it is worst for younger and lower-income households, and that it concerns the adequacy of coverage rather than merely its presence. This is exactly the pattern Section 2 predicts on behavioral grounds: households secure the coverages that are salient, familiar, or mandated—auto liability, employer health enrollment—while leaving the harder-to-process catastrophic exposures, from long-term disability to flood to adequate income replacement, substantially uncovered. The remainder of the paper examines each line in turn, beginning with the largest and most heavily studied.</w:t>
      </w:r>
    </w:p>
    <w:p>
      <w:r>
        <w:br w:type="page"/>
      </w:r>
    </w:p>
    <w:p>
      <w:pPr>
        <w:pStyle w:val="Heading1"/>
        <w:spacing w:after="160" w:before="340"/>
      </w:pPr>
      <w:r>
        <w:t xml:space="preserve">4  Health Insurance</w:t>
      </w:r>
    </w:p>
    <w:p>
      <w:pPr>
        <w:pBdr>
          <w:bottom w:val="single" w:color="6B4F2A" w:sz="6" w:space="1"/>
        </w:pBdr>
        <w:spacing w:after="140"/>
      </w:pPr>
      <w:r>
        <w:rPr>
          <w:rFonts w:ascii="Georgia" w:cs="Georgia" w:eastAsia="Georgia" w:hAnsi="Georgia"/>
          <w:color w:val="1A1A1A"/>
          <w:sz w:val="21"/>
          <w:szCs w:val="21"/>
        </w:rPr>
        <w:t xml:space="preserve"/>
      </w:r>
    </w:p>
    <w:p>
      <w:pPr>
        <w:spacing w:after="120" w:line="300"/>
        <w:jc w:val="both"/>
      </w:pPr>
      <w:r>
        <w:rPr>
          <w:rFonts w:ascii="Georgia" w:cs="Georgia" w:eastAsia="Georgia" w:hAnsi="Georgia"/>
          <w:color w:val="1A1A1A"/>
          <w:sz w:val="21"/>
          <w:szCs w:val="21"/>
        </w:rPr>
        <w:t xml:space="preserve">Health insurance is the largest and most institutionally complex line, and the one where the tension between risk-spreading and incentives is most consequential. This section reviews the structure of the U.S. system, the foundational evidence on cost-sharing, the current policy environment, and—as a benchmark for the pooled-coverage argument—the design of a representative subsidized public plan.</w:t>
      </w:r>
    </w:p>
    <w:p>
      <w:pPr>
        <w:pStyle w:val="Heading2"/>
        <w:spacing w:after="120" w:before="240"/>
      </w:pPr>
      <w:r>
        <w:t xml:space="preserve">4.1  The structure of coverage</w:t>
      </w:r>
    </w:p>
    <w:p>
      <w:pPr>
        <w:spacing w:after="120" w:line="300"/>
        <w:jc w:val="both"/>
      </w:pPr>
      <w:r>
        <w:rPr>
          <w:rFonts w:ascii="Georgia" w:cs="Georgia" w:eastAsia="Georgia" w:hAnsi="Georgia"/>
          <w:color w:val="1A1A1A"/>
          <w:sz w:val="21"/>
          <w:szCs w:val="21"/>
        </w:rPr>
        <w:t xml:space="preserve">Coverage in the United States is fragmented across employer-sponsored insurance, which covers roughly half the population and dominates the market for working-age adults; means-tested public coverage (Medicaid) and age-based public coverage (Medicare); and the individual market, reorganized by the Affordable Care Act of 2010 into regulated marketplaces with standardized benefit tiers, guaranteed issue, community rating within narrow bands, and income-based subsidies. The marketplace tiers—catastrophic, bronze, silver, gold, and platinum—differ in the share of expected costs the plan covers (its actuarial value), trading premium against cost-sharing along exactly the margin the theory of moral hazard identifies (Einav and Finkelstein, 2011; Handel, 2013; Finkelstein, Taubman, Wright, et al., 2012).</w:t>
      </w:r>
    </w:p>
    <w:p>
      <w:pPr>
        <w:pStyle w:val="Heading2"/>
        <w:spacing w:after="120" w:before="240"/>
      </w:pPr>
      <w:r>
        <w:t xml:space="preserve">4.2  Cost-sharing and the RAND Health Insurance Experiment</w:t>
      </w:r>
    </w:p>
    <w:p>
      <w:pPr>
        <w:spacing w:after="120" w:line="300"/>
        <w:jc w:val="both"/>
      </w:pPr>
      <w:r>
        <w:rPr>
          <w:rFonts w:ascii="Georgia" w:cs="Georgia" w:eastAsia="Georgia" w:hAnsi="Georgia"/>
          <w:color w:val="1A1A1A"/>
          <w:sz w:val="21"/>
          <w:szCs w:val="21"/>
        </w:rPr>
        <w:t xml:space="preserve">The empirical foundation for cost-sharing design is the RAND Health Insurance Experiment, the largest controlled experiment in the history of health policy, which randomly assigned thousands of participants to plans with coinsurance rates ranging from zero to ninety-five percent (Newhouse and the Insurance Experiment Group, 1993; Manning et al., 1987; Brook et al., 1983). Its principal findings are directly relevant to the metal-tier structure of contemporary coverage.</w:t>
      </w:r>
    </w:p>
    <w:p>
      <w:pPr>
        <w:pStyle w:val="ListParagraph"/>
        <w:numPr>
          <w:ilvl w:val="0"/>
          <w:numId w:val="2"/>
        </w:numPr>
        <w:spacing w:after="90" w:line="288"/>
        <w:jc w:val="both"/>
      </w:pPr>
      <w:r>
        <w:rPr>
          <w:rFonts w:ascii="Georgia" w:cs="Georgia" w:eastAsia="Georgia" w:hAnsi="Georgia"/>
          <w:b/>
          <w:bCs/>
          <w:color w:val="1A1A1A"/>
          <w:sz w:val="21"/>
          <w:szCs w:val="21"/>
        </w:rPr>
        <w:t xml:space="preserve">Cost-sharing meaningfully reduces utilization. </w:t>
      </w:r>
      <w:r>
        <w:rPr>
          <w:rFonts w:ascii="Georgia" w:cs="Georgia" w:eastAsia="Georgia" w:hAnsi="Georgia"/>
          <w:color w:val="1A1A1A"/>
          <w:sz w:val="21"/>
          <w:szCs w:val="21"/>
        </w:rPr>
        <w:t xml:space="preserve">Participants facing 95 percent coinsurance spent roughly a quarter to a third less than those with free care, and per-capita spending on the free plan was on the order of 45 percent higher than on the highest-coinsurance plan (Manning et al., 1987).</w:t>
      </w:r>
    </w:p>
    <w:p>
      <w:pPr>
        <w:pStyle w:val="ListParagraph"/>
        <w:numPr>
          <w:ilvl w:val="0"/>
          <w:numId w:val="2"/>
        </w:numPr>
        <w:spacing w:after="90" w:line="288"/>
        <w:jc w:val="both"/>
      </w:pPr>
      <w:r>
        <w:rPr>
          <w:rFonts w:ascii="Georgia" w:cs="Georgia" w:eastAsia="Georgia" w:hAnsi="Georgia"/>
          <w:b/>
          <w:bCs/>
          <w:color w:val="1A1A1A"/>
          <w:sz w:val="21"/>
          <w:szCs w:val="21"/>
        </w:rPr>
        <w:t xml:space="preserve">The reductions were largely undifferentiated by clinical value. </w:t>
      </w:r>
      <w:r>
        <w:rPr>
          <w:rFonts w:ascii="Georgia" w:cs="Georgia" w:eastAsia="Georgia" w:hAnsi="Georgia"/>
          <w:color w:val="1A1A1A"/>
          <w:sz w:val="21"/>
          <w:szCs w:val="21"/>
        </w:rPr>
        <w:t xml:space="preserve">Cost-sharing reduced both appropriate and inappropriate care in similar proportion, indicating that consumers economize bluntly rather than by medical necessity (Brook et al., 1983; Lohr et al., 1986).</w:t>
      </w:r>
    </w:p>
    <w:p>
      <w:pPr>
        <w:pStyle w:val="ListParagraph"/>
        <w:numPr>
          <w:ilvl w:val="0"/>
          <w:numId w:val="2"/>
        </w:numPr>
        <w:spacing w:after="90" w:line="288"/>
        <w:jc w:val="both"/>
      </w:pPr>
      <w:r>
        <w:rPr>
          <w:rFonts w:ascii="Georgia" w:cs="Georgia" w:eastAsia="Georgia" w:hAnsi="Georgia"/>
          <w:b/>
          <w:bCs/>
          <w:color w:val="1A1A1A"/>
          <w:sz w:val="21"/>
          <w:szCs w:val="21"/>
        </w:rPr>
        <w:t xml:space="preserve">Average health was largely unaffected—but not for everyone. </w:t>
      </w:r>
      <w:r>
        <w:rPr>
          <w:rFonts w:ascii="Georgia" w:cs="Georgia" w:eastAsia="Georgia" w:hAnsi="Georgia"/>
          <w:color w:val="1A1A1A"/>
          <w:sz w:val="21"/>
          <w:szCs w:val="21"/>
        </w:rPr>
        <w:t xml:space="preserve">For the average participant, more cost-sharing did not measurably worsen health; but for low-income participants who began the study sick, free care produced clinically meaningful gains, notably in blood-pressure control, with corresponding implications for mortality risk (Brook et al., 1983).</w:t>
      </w:r>
    </w:p>
    <w:p>
      <w:pPr>
        <w:spacing w:after="120" w:line="300"/>
        <w:ind w:firstLine="360"/>
        <w:jc w:val="both"/>
      </w:pPr>
      <w:r>
        <w:rPr>
          <w:rFonts w:ascii="Georgia" w:cs="Georgia" w:eastAsia="Georgia" w:hAnsi="Georgia"/>
          <w:color w:val="1A1A1A"/>
          <w:sz w:val="21"/>
          <w:szCs w:val="21"/>
        </w:rPr>
        <w:t xml:space="preserve">The experiment thus established both the efficiency rationale for cost-sharing—it curbs the moral hazard that free care induces—and its distributional limit, namely that high cost-sharing can harm the low-income and chronically ill. This tension is the analytical backdrop to the high-deductible design discussed next and to the underinsurance findings of Section 3, since the same cost-sharing that restrains utilization is what renders many of the continuously insured underinsured.</w:t>
      </w:r>
    </w:p>
    <w:p>
      <w:pPr>
        <w:pStyle w:val="Heading2"/>
        <w:spacing w:after="120" w:before="240"/>
      </w:pPr>
      <w:r>
        <w:t xml:space="preserve">4.3  High-deductible plans, health savings accounts, and catastrophic coverage</w:t>
      </w:r>
    </w:p>
    <w:p>
      <w:pPr>
        <w:spacing w:after="120" w:line="300"/>
        <w:jc w:val="both"/>
      </w:pPr>
      <w:r>
        <w:rPr>
          <w:rFonts w:ascii="Georgia" w:cs="Georgia" w:eastAsia="Georgia" w:hAnsi="Georgia"/>
          <w:color w:val="1A1A1A"/>
          <w:sz w:val="21"/>
          <w:szCs w:val="21"/>
        </w:rPr>
        <w:t xml:space="preserve">High-deductible health plans paired with tax-advantaged health savings accounts (HSAs) represent the most direct application of the cost-sharing logic. In exchange for a high deductible, the enrollee gains access to an account offering an unusual triple tax advantage—deductible contributions, tax-free growth, and tax-free qualified withdrawals—that, if funded and invested rather than spent, functions as a supplemental retirement vehicle (discussed further in Section 11). For 2026 the self-only HSA contribution limit is set at $4,300 (Internal Revenue Service, 2025b). The design suits healthy households able to absorb the deductible and to leave the account invested; it disadvantages exactly the low-income and chronically ill population the RAND experiment identified as vulnerable to cost-sharing. Catastrophic marketplace plans, available to younger adults and to those with hardship exemptions, express the same principle in its purest form: very low premiums, very high deductibles, and coverage aimed squarely at the low-probability, high-cost event.</w:t>
      </w:r>
    </w:p>
    <w:p>
      <w:pPr>
        <w:pStyle w:val="Heading2"/>
        <w:spacing w:after="120" w:before="240"/>
      </w:pPr>
      <w:r>
        <w:t xml:space="preserve">4.4  The policy environment: the 2025 subsidy expiration</w:t>
      </w:r>
    </w:p>
    <w:p>
      <w:pPr>
        <w:spacing w:after="120" w:line="300"/>
        <w:jc w:val="both"/>
      </w:pPr>
      <w:r>
        <w:rPr>
          <w:rFonts w:ascii="Georgia" w:cs="Georgia" w:eastAsia="Georgia" w:hAnsi="Georgia"/>
          <w:color w:val="1A1A1A"/>
          <w:sz w:val="21"/>
          <w:szCs w:val="21"/>
        </w:rPr>
        <w:t xml:space="preserve">The individual market is, at the time of writing, undergoing a significant contraction in subsidy. The enhanced premium tax credits enacted in 2021 and extended through the 2025 tax year expired at year-end 2025, and the projected consequences are large. The Congressional Budget Office estimated that their expiration would raise the number of uninsured by millions over the following decade (Congressional Budget Office, 2024; Congressional Research Service, 2025). Independent modeling projected that several million fewer people would receive subsidized marketplace coverage and that the uninsured population would rise sharply, with average net premiums for subsidized enrollees increasing by roughly half or more as the enhanced credits lapsed (Urban Institute, 2025; Collins et al., 2025). Whatever the ultimate legislative resolution, the episode illustrates the paper’s pooled-coverage theme from the opposite direction: the affordability of individual-market coverage is highly sensitive to subsidy, whereas employer and public pooling insulate the enrollee from precisely this volatility.</w:t>
      </w:r>
    </w:p>
    <w:p>
      <w:pPr>
        <w:pStyle w:val="Heading2"/>
        <w:spacing w:after="120" w:before="240"/>
      </w:pPr>
      <w:r>
        <w:t xml:space="preserve">4.5  Dependent coverage and the young-adult provision</w:t>
      </w:r>
    </w:p>
    <w:p>
      <w:pPr>
        <w:spacing w:after="120" w:line="300"/>
        <w:jc w:val="both"/>
      </w:pPr>
      <w:r>
        <w:rPr>
          <w:rFonts w:ascii="Georgia" w:cs="Georgia" w:eastAsia="Georgia" w:hAnsi="Georgia"/>
          <w:color w:val="1A1A1A"/>
          <w:sz w:val="21"/>
          <w:szCs w:val="21"/>
        </w:rPr>
        <w:t xml:space="preserve">A provision of particular relevance to emerging adults allows a young person to remain on a parent’s plan until age twenty-six, unconditionally—regardless of residence, marital status, student status, financial dependence, or the availability of other coverage (U.S. Department of Labor, 2010). The provision has been studied extensively as a natural experiment and is associated with substantial gains in young-adult coverage. For the populations examined here it functions as a durable bridge: it allows coverage continuity during the unstable early-career and early-venture years, and it is available as a fallback even when other, cheaper options exist.</w:t>
      </w:r>
    </w:p>
    <w:p>
      <w:pPr>
        <w:pStyle w:val="Heading2"/>
        <w:spacing w:after="120" w:before="240"/>
      </w:pPr>
      <w:r>
        <w:t xml:space="preserve">4.6  A pooled benchmark: subsidized reserve-component health coverage</w:t>
      </w:r>
    </w:p>
    <w:p>
      <w:pPr>
        <w:spacing w:after="120" w:line="300"/>
        <w:jc w:val="both"/>
      </w:pPr>
      <w:r>
        <w:rPr>
          <w:rFonts w:ascii="Georgia" w:cs="Georgia" w:eastAsia="Georgia" w:hAnsi="Georgia"/>
          <w:color w:val="1A1A1A"/>
          <w:sz w:val="21"/>
          <w:szCs w:val="21"/>
        </w:rPr>
        <w:t xml:space="preserve">As a concrete benchmark for the pooled-coverage argument developed in Section 13, consider the health plan available to part-time military service members. The reserve-component premium plan is offered at a heavily subsidized rate—on the order of $58 per month for individual coverage and under $300 per month for family coverage in 2026—because it is priced to preserve medical readiness rather than to recover actuarial cost (Defense Health Agency, 2025; National Guard Association of the United States, 2025). Comprehensive coverage at that price is unattainable in the individual market for the same benefit, and the reason is instructive: the plan combines pooling across a large group with an explicit subsidy and community rating that ignores individual risk. It is, in effect, a live demonstration of the welfare value of pooled provision, and it coordinates as a secondary payer to other coverage—so that holding it in addition to another comprehensive plan adds cost without adding protection, a point of practical importance for coordinating multiple coverages.</w:t>
      </w:r>
    </w:p>
    <w:p>
      <w:pPr>
        <w:pStyle w:val="Heading2"/>
        <w:spacing w:after="120" w:before="240"/>
      </w:pPr>
      <w:r>
        <w:t xml:space="preserve">4.7  Coverage across borders</w:t>
      </w:r>
    </w:p>
    <w:p>
      <w:pPr>
        <w:spacing w:after="120" w:line="300"/>
        <w:jc w:val="both"/>
      </w:pPr>
      <w:r>
        <w:rPr>
          <w:rFonts w:ascii="Georgia" w:cs="Georgia" w:eastAsia="Georgia" w:hAnsi="Georgia"/>
          <w:color w:val="1A1A1A"/>
          <w:sz w:val="21"/>
          <w:szCs w:val="21"/>
        </w:rPr>
        <w:t xml:space="preserve">For the mobile—including entrepreneurs who work internationally—portable expatriate health insurance offers modular, globally valid coverage structured in tiers analogous to the domestic metal levels, with the option to include or exclude the highest-cost jurisdictions (which materially changes the premium). Such coverage is well suited to extended periods abroad and redundant for a domestically based enrollee with access to a subsidized domestic plan; its role is situational, triggered by relocation rather than held by default.</w:t>
      </w:r>
    </w:p>
    <w:tbl>
      <w:tblPr>
        <w:tblW w:type="dxa" w:w="9360"/>
        <w:tblBorders>
          <w:top w:val="single" w:color="F2F5F8" w:sz="1"/>
          <w:left w:val="single" w:color="2E5077" w:sz="22"/>
          <w:bottom w:val="single" w:color="F2F5F8" w:sz="1"/>
          <w:right w:val="single" w:color="F2F5F8" w:sz="1"/>
          <w:insideH w:val="single" w:color="auto" w:sz="4"/>
          <w:insideV w:val="single" w:color="auto" w:sz="4"/>
        </w:tblBorders>
      </w:tblPr>
      <w:tblGrid>
        <w:gridCol w:w="9360"/>
      </w:tblGrid>
      <w:tr>
        <w:tc>
          <w:tcPr>
            <w:tcW w:type="dxa" w:w="9360"/>
            <w:shd w:fill="F2F5F8" w:val="clear"/>
            <w:tcMar>
              <w:top w:type="dxa" w:w="130"/>
              <w:left w:type="dxa" w:w="200"/>
              <w:bottom w:type="dxa" w:w="130"/>
              <w:right w:type="dxa" w:w="170"/>
            </w:tcMar>
          </w:tcPr>
          <w:p>
            <w:pPr>
              <w:spacing w:after="70"/>
            </w:pPr>
            <w:r>
              <w:rPr>
                <w:rFonts w:ascii="Georgia" w:cs="Georgia" w:eastAsia="Georgia" w:hAnsi="Georgia"/>
                <w:b/>
                <w:bCs/>
                <w:color w:val="1F3A5F"/>
                <w:sz w:val="20"/>
                <w:szCs w:val="20"/>
              </w:rPr>
              <w:t xml:space="preserve">Summary of Section 4</w:t>
            </w:r>
          </w:p>
          <w:p>
            <w:pPr>
              <w:spacing w:after="40" w:line="288"/>
              <w:jc w:val="both"/>
            </w:pPr>
            <w:r>
              <w:rPr>
                <w:rFonts w:ascii="Georgia" w:cs="Georgia" w:eastAsia="Georgia" w:hAnsi="Georgia"/>
                <w:color w:val="1A1A1A"/>
                <w:sz w:val="20"/>
                <w:szCs w:val="20"/>
              </w:rPr>
              <w:t xml:space="preserve">Health coverage embodies the central trade-off of insurance theory: cost-sharing restrains moral hazard but, past a point, produces underinsurance and harms the vulnerable, exactly as the RAND experiment found. The affordability of individual-market coverage is highly subsidy-dependent, whereas employer and public pooling deliver stable, comprehensive protection—illustrated by a subsidized reserve-component plan whose price the individual market cannot match. The young-adult provision furnishes a durable coverage bridge for the emerging-adult population.</w:t>
            </w:r>
          </w:p>
        </w:tc>
      </w:tr>
    </w:tbl>
    <w:p>
      <w:r>
        <w:br w:type="page"/>
      </w:r>
    </w:p>
    <w:p>
      <w:pPr>
        <w:pStyle w:val="Heading1"/>
        <w:spacing w:after="160" w:before="340"/>
      </w:pPr>
      <w:r>
        <w:t xml:space="preserve">5  Life Insurance</w:t>
      </w:r>
    </w:p>
    <w:p>
      <w:pPr>
        <w:pBdr>
          <w:bottom w:val="single" w:color="6B4F2A" w:sz="6" w:space="1"/>
        </w:pBdr>
        <w:spacing w:after="140"/>
      </w:pPr>
      <w:r>
        <w:rPr>
          <w:rFonts w:ascii="Georgia" w:cs="Georgia" w:eastAsia="Georgia" w:hAnsi="Georgia"/>
          <w:color w:val="1A1A1A"/>
          <w:sz w:val="21"/>
          <w:szCs w:val="21"/>
        </w:rPr>
        <w:t xml:space="preserve"/>
      </w:r>
    </w:p>
    <w:p>
      <w:pPr>
        <w:spacing w:after="120" w:line="300"/>
        <w:jc w:val="both"/>
      </w:pPr>
      <w:r>
        <w:rPr>
          <w:rFonts w:ascii="Georgia" w:cs="Georgia" w:eastAsia="Georgia" w:hAnsi="Georgia"/>
          <w:color w:val="1A1A1A"/>
          <w:sz w:val="21"/>
          <w:szCs w:val="21"/>
        </w:rPr>
        <w:t xml:space="preserve">Life insurance is the line most often mis-bought, because it is the line where a protection product and a savings product are most frequently bundled and sold together. Disentangling the two is essential to a correct account of when, and how much, coverage a household needs.</w:t>
      </w:r>
    </w:p>
    <w:p>
      <w:pPr>
        <w:pStyle w:val="Heading2"/>
        <w:spacing w:after="120" w:before="240"/>
      </w:pPr>
      <w:r>
        <w:t xml:space="preserve">5.1  Term versus permanent coverage</w:t>
      </w:r>
    </w:p>
    <w:p>
      <w:pPr>
        <w:spacing w:after="120" w:line="300"/>
        <w:jc w:val="both"/>
      </w:pPr>
      <w:r>
        <w:rPr>
          <w:rFonts w:ascii="Georgia" w:cs="Georgia" w:eastAsia="Georgia" w:hAnsi="Georgia"/>
          <w:color w:val="1A1A1A"/>
          <w:sz w:val="21"/>
          <w:szCs w:val="21"/>
        </w:rPr>
        <w:t xml:space="preserve">Life insurance divides into term coverage, which pays a death benefit if the insured dies within a fixed period and accumulates no cash value, and permanent coverage (whole, universal, and variable life), which combines a death benefit with a tax-advantaged savings component and a correspondingly higher premium. The long-running debate between “buy term and invest the difference” and the purchase of permanent insurance turns on whether the bundled savings feature outperforms the alternative of buying cheap term coverage and investing the premium difference in separate tax-advantaged accounts. For households whose need is temporary income replacement—the typical case for younger families—the weight of analysis favors the unbundled strategy, because the savings component of permanent policies carries fees and frictions that a low-cost investment account avoids, and because the protection need itself is finite (Babbel and Ohtsuka, 1989; Bernheim, Forni, Gokhale, and Kotlikoff, 2003). Permanent coverage retains a genuine role in narrower circumstances—estate liquidity, lifelong dependents, and certain business-continuity arrangements—where the need does not expire and the tax treatment of the death benefit is valuable.</w:t>
      </w:r>
    </w:p>
    <w:p>
      <w:pPr>
        <w:pStyle w:val="Heading2"/>
        <w:spacing w:after="120" w:before="240"/>
      </w:pPr>
      <w:r>
        <w:t xml:space="preserve">5.2  How much coverage: needs analysis</w:t>
      </w:r>
    </w:p>
    <w:p>
      <w:pPr>
        <w:spacing w:after="120" w:line="300"/>
        <w:jc w:val="both"/>
      </w:pPr>
      <w:r>
        <w:rPr>
          <w:rFonts w:ascii="Georgia" w:cs="Georgia" w:eastAsia="Georgia" w:hAnsi="Georgia"/>
          <w:color w:val="1A1A1A"/>
          <w:sz w:val="21"/>
          <w:szCs w:val="21"/>
        </w:rPr>
        <w:t xml:space="preserve">Two methods dominate the estimation of coverage need. The human-life-value approach capitalizes the insured’s expected future earnings net of self-consumption; the needs approach sums the specific obligations the death benefit must discharge—income replacement for dependents, outstanding debts, final expenses, and future goals such as education—net of existing resources (Bernheim, Forni, Gokhale, and Kotlikoff, 2003). Both methods share a common implication that is easy to lose amid product marketing: the amount of coverage warranted is a function of the financial dependence of others on the insured. Where no one depends on the insured’s income and liquid resources suffice to cover final expenses, the warranted amount approaches zero.</w:t>
      </w:r>
    </w:p>
    <w:p>
      <w:pPr>
        <w:pStyle w:val="Heading2"/>
        <w:spacing w:after="120" w:before="240"/>
      </w:pPr>
      <w:r>
        <w:t xml:space="preserve">5.3  Who needs life insurance</w:t>
      </w:r>
    </w:p>
    <w:p>
      <w:pPr>
        <w:spacing w:after="120" w:line="300"/>
        <w:jc w:val="both"/>
      </w:pPr>
      <w:r>
        <w:rPr>
          <w:rFonts w:ascii="Georgia" w:cs="Georgia" w:eastAsia="Georgia" w:hAnsi="Georgia"/>
          <w:color w:val="1A1A1A"/>
          <w:sz w:val="21"/>
          <w:szCs w:val="21"/>
        </w:rPr>
        <w:t xml:space="preserve">It follows that the threshold question is not how much life insurance to buy but whether any is needed at all. The professional and consumer-education consensus holds that life insurance is warranted when others depend financially on the insured—dependents, a co-signed or jointly held obligation, or a business that would suffer at the insured’s death—and that an individual with no dependents and adequate resources for final expenses generally does not need coverage (Insurance Information Institute, 2024; Bernheim, Forni, Gokhale, and Kotlikoff, 2003). For the emerging-adult population this is a consequential clarification: the default sales presumption in favor of early permanent coverage is, for most childless young adults, inverted. The genuine argument for a young, healthy person to buy a modest level-term policy is not present income replacement but the option value of locking in insurability before a future health change—an argument for a small term policy, never for permanent insurance.</w:t>
      </w:r>
    </w:p>
    <w:p>
      <w:pPr>
        <w:pStyle w:val="Heading2"/>
        <w:spacing w:after="120" w:before="240"/>
      </w:pPr>
      <w:r>
        <w:t xml:space="preserve">5.4  A pooled benchmark: group service-member life coverage</w:t>
      </w:r>
    </w:p>
    <w:p>
      <w:pPr>
        <w:spacing w:after="120" w:line="300"/>
        <w:jc w:val="both"/>
      </w:pPr>
      <w:r>
        <w:rPr>
          <w:rFonts w:ascii="Georgia" w:cs="Georgia" w:eastAsia="Georgia" w:hAnsi="Georgia"/>
          <w:color w:val="1A1A1A"/>
          <w:sz w:val="21"/>
          <w:szCs w:val="21"/>
        </w:rPr>
        <w:t xml:space="preserve">The pooled-coverage theme recurs in life insurance. Group life coverage for military service members provides a substantial death benefit at a flat rate per unit of coverage that is invariant to age and health, with automatic enrollment and no medical underwriting (U.S. Department of Veterans Affairs, 2025a). Following a mid-2025 rate reduction, the maximum coverage carried a premium on the order of twenty-six dollars per month inclusive of traumatic-injury protection—a price no individually underwritten policy can match for an older or less healthy insured, precisely because group provision suppresses the adverse selection that forces individual underwriting (U.S. Department of Veterans Affairs, 2025a; 2025b). Post-separation conversion options preserve coverage but are age-rated and rise steeply with age, so for a young and healthy separatee, private level-term coverage is typically cheaper than continuing the converted group policy—an illustration of how pooling and underwriting each dominate in different circumstances.</w:t>
      </w:r>
    </w:p>
    <w:tbl>
      <w:tblPr>
        <w:tblW w:type="dxa" w:w="9360"/>
        <w:tblBorders>
          <w:top w:val="single" w:color="F2F5F8" w:sz="1"/>
          <w:left w:val="single" w:color="2E5077" w:sz="22"/>
          <w:bottom w:val="single" w:color="F2F5F8" w:sz="1"/>
          <w:right w:val="single" w:color="F2F5F8" w:sz="1"/>
          <w:insideH w:val="single" w:color="auto" w:sz="4"/>
          <w:insideV w:val="single" w:color="auto" w:sz="4"/>
        </w:tblBorders>
      </w:tblPr>
      <w:tblGrid>
        <w:gridCol w:w="9360"/>
      </w:tblGrid>
      <w:tr>
        <w:tc>
          <w:tcPr>
            <w:tcW w:type="dxa" w:w="9360"/>
            <w:shd w:fill="F2F5F8" w:val="clear"/>
            <w:tcMar>
              <w:top w:type="dxa" w:w="130"/>
              <w:left w:type="dxa" w:w="200"/>
              <w:bottom w:type="dxa" w:w="130"/>
              <w:right w:type="dxa" w:w="170"/>
            </w:tcMar>
          </w:tcPr>
          <w:p>
            <w:pPr>
              <w:spacing w:after="70"/>
            </w:pPr>
            <w:r>
              <w:rPr>
                <w:rFonts w:ascii="Georgia" w:cs="Georgia" w:eastAsia="Georgia" w:hAnsi="Georgia"/>
                <w:b/>
                <w:bCs/>
                <w:color w:val="1F3A5F"/>
                <w:sz w:val="20"/>
                <w:szCs w:val="20"/>
              </w:rPr>
              <w:t xml:space="preserve">Summary of Section 5</w:t>
            </w:r>
          </w:p>
          <w:p>
            <w:pPr>
              <w:spacing w:after="40" w:line="288"/>
              <w:jc w:val="both"/>
            </w:pPr>
            <w:r>
              <w:rPr>
                <w:rFonts w:ascii="Georgia" w:cs="Georgia" w:eastAsia="Georgia" w:hAnsi="Georgia"/>
                <w:color w:val="1A1A1A"/>
                <w:sz w:val="20"/>
                <w:szCs w:val="20"/>
              </w:rPr>
              <w:t xml:space="preserve">Life insurance should be unbundled from savings for analysis: buy inexpensive term coverage sized to the income and obligations that others depend upon, and invest separately. Coverage is warranted only where others are financially dependent on the insured; for most childless young adults the warranted amount is small or zero, with a modest term policy justified mainly to secure future insurability. Group provision again dominates individual underwriting where it is available.</w:t>
            </w:r>
          </w:p>
        </w:tc>
      </w:tr>
    </w:tbl>
    <w:p>
      <w:r>
        <w:br w:type="page"/>
      </w:r>
    </w:p>
    <w:p>
      <w:pPr>
        <w:pStyle w:val="Heading1"/>
        <w:spacing w:after="160" w:before="340"/>
      </w:pPr>
      <w:r>
        <w:t xml:space="preserve">6  Disability Income Insurance</w:t>
      </w:r>
    </w:p>
    <w:p>
      <w:pPr>
        <w:pBdr>
          <w:bottom w:val="single" w:color="6B4F2A" w:sz="6" w:space="1"/>
        </w:pBdr>
        <w:spacing w:after="140"/>
      </w:pPr>
      <w:r>
        <w:rPr>
          <w:rFonts w:ascii="Georgia" w:cs="Georgia" w:eastAsia="Georgia" w:hAnsi="Georgia"/>
          <w:color w:val="1A1A1A"/>
          <w:sz w:val="21"/>
          <w:szCs w:val="21"/>
        </w:rPr>
        <w:t xml:space="preserve"/>
      </w:r>
    </w:p>
    <w:p>
      <w:pPr>
        <w:spacing w:after="120" w:line="300"/>
        <w:jc w:val="both"/>
      </w:pPr>
      <w:r>
        <w:rPr>
          <w:rFonts w:ascii="Georgia" w:cs="Georgia" w:eastAsia="Georgia" w:hAnsi="Georgia"/>
          <w:color w:val="1A1A1A"/>
          <w:sz w:val="21"/>
          <w:szCs w:val="21"/>
        </w:rPr>
        <w:t xml:space="preserve">If life insurance is the most mis-bought line, disability income insurance is the most neglected relative to the risk it addresses. For a working-age adult, the capacity to earn is typically the largest asset on the household balance sheet, yet the probability of a disabling event during a career is widely underestimated.</w:t>
      </w:r>
    </w:p>
    <w:p>
      <w:pPr>
        <w:pStyle w:val="Heading2"/>
        <w:spacing w:after="120" w:before="240"/>
      </w:pPr>
      <w:r>
        <w:t xml:space="preserve">6.1  The magnitude of disability risk</w:t>
      </w:r>
    </w:p>
    <w:p>
      <w:pPr>
        <w:spacing w:after="120" w:line="300"/>
        <w:jc w:val="both"/>
      </w:pPr>
      <w:r>
        <w:rPr>
          <w:rFonts w:ascii="Georgia" w:cs="Georgia" w:eastAsia="Georgia" w:hAnsi="Georgia"/>
          <w:color w:val="1A1A1A"/>
          <w:sz w:val="21"/>
          <w:szCs w:val="21"/>
        </w:rPr>
        <w:t xml:space="preserve">Actuarial evidence indicates that the risk of a disabling event during working life is substantial. The Society of Actuaries and allied bodies report that a person in early middle age faces roughly a one-in-five chance of a disability lasting at least ninety days before reaching retirement age, and that approximately one worker in seven will be disabled for five years or more (Society of Actuaries, disability experience studies; Social Security Administration, 2020). Disability, moreover, is persistent: continuance data show that a large fraction of those disabled for ninety days remain disabled years later, so the modal long-term disability is not a brief interruption but a multi-year loss of earning capacity. These probabilities are comparable to, and over parts of the age range exceed, the probability of death during the same working years—yet disability coverage is far less commonly held, a discrepancy that is difficult to justify on the risk facts and that the behavioral account of Section 2 explains as neglect of an unfamiliar, hard-to-visualize hazard.</w:t>
      </w:r>
    </w:p>
    <w:p>
      <w:pPr>
        <w:pStyle w:val="Heading2"/>
        <w:spacing w:after="120" w:before="240"/>
      </w:pPr>
      <w:r>
        <w:t xml:space="preserve">6.2  Policy design</w:t>
      </w:r>
    </w:p>
    <w:p>
      <w:pPr>
        <w:spacing w:after="120" w:line="300"/>
        <w:jc w:val="both"/>
      </w:pPr>
      <w:r>
        <w:rPr>
          <w:rFonts w:ascii="Georgia" w:cs="Georgia" w:eastAsia="Georgia" w:hAnsi="Georgia"/>
          <w:color w:val="1A1A1A"/>
          <w:sz w:val="21"/>
          <w:szCs w:val="21"/>
        </w:rPr>
        <w:t xml:space="preserve">Disability policies vary along dimensions that materially affect their value. The most important is the definition of disability: an “own-occupation” policy pays benefits when the insured cannot perform the duties of her specific occupation, whereas an “any-occupation” policy pays only when she cannot perform any gainful work—a far more restrictive and less valuable standard (Council for Disability Awareness, 2023). Policies further differ in whether coverage is individual or group (group coverage is cheaper but less portable and often capped), in the elimination period before benefits begin, in the benefit duration, and in whether benefits are indexed to inflation. Because benefits funded with after-tax premiums are received tax-free, the effective replacement rate of an individual policy is higher than its nominal benefit suggests.</w:t>
      </w:r>
    </w:p>
    <w:p>
      <w:pPr>
        <w:pStyle w:val="Heading2"/>
        <w:spacing w:after="120" w:before="240"/>
      </w:pPr>
      <w:r>
        <w:t xml:space="preserve">6.3  Cost and the case for priority</w:t>
      </w:r>
    </w:p>
    <w:p>
      <w:pPr>
        <w:spacing w:after="120" w:line="300"/>
        <w:jc w:val="both"/>
      </w:pPr>
      <w:r>
        <w:rPr>
          <w:rFonts w:ascii="Georgia" w:cs="Georgia" w:eastAsia="Georgia" w:hAnsi="Georgia"/>
          <w:color w:val="1A1A1A"/>
          <w:sz w:val="21"/>
          <w:szCs w:val="21"/>
        </w:rPr>
        <w:t xml:space="preserve">Individual long-term disability coverage typically costs on the order of one to three percent of income for a benefit replacing a majority of earnings to retirement age (Council for Disability Awareness, 2023). Relative to the size of the risk—a multi-year or permanent loss of the household’s principal income—this is inexpensive, and the coverage ranks high in any severity-ordered protection plan, particularly for the self-employed, who lack the employer short-term disability arrangements that cushion salaried workers, and whose variable income makes the loss of earning capacity especially destabilizing. The practical qualification is that own-occupation coverage is easier and cheaper to obtain while the applicant is young and healthy, which argues for securing it early rather than deferring it.</w:t>
      </w:r>
    </w:p>
    <w:tbl>
      <w:tblPr>
        <w:tblW w:type="dxa" w:w="9360"/>
        <w:tblBorders>
          <w:top w:val="single" w:color="F2F5F8" w:sz="1"/>
          <w:left w:val="single" w:color="2E5077" w:sz="22"/>
          <w:bottom w:val="single" w:color="F2F5F8" w:sz="1"/>
          <w:right w:val="single" w:color="F2F5F8" w:sz="1"/>
          <w:insideH w:val="single" w:color="auto" w:sz="4"/>
          <w:insideV w:val="single" w:color="auto" w:sz="4"/>
        </w:tblBorders>
      </w:tblPr>
      <w:tblGrid>
        <w:gridCol w:w="9360"/>
      </w:tblGrid>
      <w:tr>
        <w:tc>
          <w:tcPr>
            <w:tcW w:type="dxa" w:w="9360"/>
            <w:shd w:fill="F2F5F8" w:val="clear"/>
            <w:tcMar>
              <w:top w:type="dxa" w:w="130"/>
              <w:left w:type="dxa" w:w="200"/>
              <w:bottom w:type="dxa" w:w="130"/>
              <w:right w:type="dxa" w:w="170"/>
            </w:tcMar>
          </w:tcPr>
          <w:p>
            <w:pPr>
              <w:spacing w:after="70"/>
            </w:pPr>
            <w:r>
              <w:rPr>
                <w:rFonts w:ascii="Georgia" w:cs="Georgia" w:eastAsia="Georgia" w:hAnsi="Georgia"/>
                <w:b/>
                <w:bCs/>
                <w:color w:val="1F3A5F"/>
                <w:sz w:val="20"/>
                <w:szCs w:val="20"/>
              </w:rPr>
              <w:t xml:space="preserve">Summary of Section 6</w:t>
            </w:r>
          </w:p>
          <w:p>
            <w:pPr>
              <w:spacing w:after="40" w:line="288"/>
              <w:jc w:val="both"/>
            </w:pPr>
            <w:r>
              <w:rPr>
                <w:rFonts w:ascii="Georgia" w:cs="Georgia" w:eastAsia="Georgia" w:hAnsi="Georgia"/>
                <w:color w:val="1A1A1A"/>
                <w:sz w:val="20"/>
                <w:szCs w:val="20"/>
              </w:rPr>
              <w:t xml:space="preserve">Disability insurance protects the household’s largest asset—future earning capacity—against a risk that is both larger and more persistent than commonly appreciated, and comparable to mortality risk during working years. Own-occupation coverage is materially more valuable than any-occupation coverage; the coverage is inexpensive relative to the risk and belongs high in the protection ordering, especially for the self-employed.</w:t>
            </w:r>
          </w:p>
        </w:tc>
      </w:tr>
    </w:tbl>
    <w:p>
      <w:r>
        <w:br w:type="page"/>
      </w:r>
    </w:p>
    <w:p>
      <w:pPr>
        <w:pStyle w:val="Heading1"/>
        <w:spacing w:after="160" w:before="340"/>
      </w:pPr>
      <w:r>
        <w:t xml:space="preserve">7  Property and Casualty Insurance</w:t>
      </w:r>
    </w:p>
    <w:p>
      <w:pPr>
        <w:pBdr>
          <w:bottom w:val="single" w:color="6B4F2A" w:sz="6" w:space="1"/>
        </w:pBdr>
        <w:spacing w:after="140"/>
      </w:pPr>
      <w:r>
        <w:rPr>
          <w:rFonts w:ascii="Georgia" w:cs="Georgia" w:eastAsia="Georgia" w:hAnsi="Georgia"/>
          <w:color w:val="1A1A1A"/>
          <w:sz w:val="21"/>
          <w:szCs w:val="21"/>
        </w:rPr>
        <w:t xml:space="preserve"/>
      </w:r>
    </w:p>
    <w:p>
      <w:pPr>
        <w:spacing w:after="120" w:line="300"/>
        <w:jc w:val="both"/>
      </w:pPr>
      <w:r>
        <w:rPr>
          <w:rFonts w:ascii="Georgia" w:cs="Georgia" w:eastAsia="Georgia" w:hAnsi="Georgia"/>
          <w:color w:val="1A1A1A"/>
          <w:sz w:val="21"/>
          <w:szCs w:val="21"/>
        </w:rPr>
        <w:t xml:space="preserve">Property and casualty coverage—automobile, homeowners and renters, and flood—protects tangible assets and third-party liability. It is the line households interact with most frequently and the one in which pricing methods, carrier quality, and a significant catastrophe-financing problem all raise distinct analytical issues.</w:t>
      </w:r>
    </w:p>
    <w:p>
      <w:pPr>
        <w:pStyle w:val="Heading2"/>
        <w:spacing w:after="120" w:before="240"/>
      </w:pPr>
      <w:r>
        <w:t xml:space="preserve">7.1  Automobile insurance and the pricing controversy</w:t>
      </w:r>
    </w:p>
    <w:p>
      <w:pPr>
        <w:spacing w:after="120" w:line="300"/>
        <w:jc w:val="both"/>
      </w:pPr>
      <w:r>
        <w:rPr>
          <w:rFonts w:ascii="Georgia" w:cs="Georgia" w:eastAsia="Georgia" w:hAnsi="Georgia"/>
          <w:color w:val="1A1A1A"/>
          <w:sz w:val="21"/>
          <w:szCs w:val="21"/>
        </w:rPr>
        <w:t xml:space="preserve">Automobile insurance is priced on a battery of rating variables, most of which—driving record, vehicle, mileage, territory—are uncontroversial. One is not. The use of credit-based insurance scores, statistical scores derived from credit history and used to predict claims propensity, has generated sustained debate about predictive validity, causal interpretation, and disparate impact.</w:t>
      </w:r>
    </w:p>
    <w:p>
      <w:pPr>
        <w:spacing w:after="120" w:line="300"/>
        <w:ind w:firstLine="360"/>
        <w:jc w:val="both"/>
      </w:pPr>
      <w:r>
        <w:rPr>
          <w:rFonts w:ascii="Georgia" w:cs="Georgia" w:eastAsia="Georgia" w:hAnsi="Georgia"/>
          <w:color w:val="1A1A1A"/>
          <w:sz w:val="21"/>
          <w:szCs w:val="21"/>
        </w:rPr>
        <w:t xml:space="preserve">The pivotal evidence is the Federal Trade Commission’s congressionally mandated study, which found that credit-based insurance scores are effective predictors of the claims a consumer will file, and are therefore actuarially informative, but that scores are distributed unequally across racial and ethnic groups, so that their use raises average premiums for some minority groups relative to others (Federal Trade Commission, 2007). The Commission concluded that scores act to a small degree as a proxy for race and ethnicity even after controlling for other factors, though it found that they retained predictive power beyond any such proxy effect. The study drew a formal dissent on methodology and data reliability, and consumer and civil-rights organizations contested the interpretation of the correlation as actuarially justified rather than discriminatory (Federal Trade Commission, 2007, dissenting statement; National Consumer Law Center, 2007; Consumer Federation of America, 2007). Several states—California, Hawaii, Massachusetts, and Michigan—prohibit the practice in automobile insurance, while other state analyses have found that most drivers pay less when credit information is used. The dispute is a clean example of a genuinely unresolved empirical and normative question, and the paper reports it as such rather than adjudicating it.</w:t>
      </w:r>
    </w:p>
    <w:p>
      <w:pPr>
        <w:spacing w:after="120" w:line="300"/>
        <w:ind w:firstLine="360"/>
        <w:jc w:val="both"/>
      </w:pPr>
      <w:r>
        <w:rPr>
          <w:rFonts w:ascii="Georgia" w:cs="Georgia" w:eastAsia="Georgia" w:hAnsi="Georgia"/>
          <w:color w:val="1A1A1A"/>
          <w:sz w:val="21"/>
          <w:szCs w:val="21"/>
        </w:rPr>
        <w:t xml:space="preserve">Usage-based or telematics insurance, which prices coverage on directly measured driving behavior and mileage rather than on demographic and credit proxies, has been advanced partly as a response to these concerns, and offers disciplined drivers the prospect of premiums tied to their own conduct. Its diffusion raises separate questions about surveillance and data governance, and its long-run pricing effects remain an active area of study.</w:t>
      </w:r>
    </w:p>
    <w:p>
      <w:pPr>
        <w:pStyle w:val="Heading2"/>
        <w:spacing w:after="120" w:before="240"/>
      </w:pPr>
      <w:r>
        <w:t xml:space="preserve">7.2  Homeowners and renters coverage</w:t>
      </w:r>
    </w:p>
    <w:p>
      <w:pPr>
        <w:spacing w:after="120" w:line="300"/>
        <w:jc w:val="both"/>
      </w:pPr>
      <w:r>
        <w:rPr>
          <w:rFonts w:ascii="Georgia" w:cs="Georgia" w:eastAsia="Georgia" w:hAnsi="Georgia"/>
          <w:color w:val="1A1A1A"/>
          <w:sz w:val="21"/>
          <w:szCs w:val="21"/>
        </w:rPr>
        <w:t xml:space="preserve">Homeowners and renters policies bundle first-party property coverage with third-party liability. For the renter, the coverage is inexpensive and its liability component is frequently the more valuable part; for the owner, the property component dominates and the policy is typically required by the mortgagee. A recurring gap is that standard homeowners and renters policies exclude flood damage, a fact many households discover only after a loss—an exclusion that motivates the separate treatment below.</w:t>
      </w:r>
    </w:p>
    <w:p>
      <w:pPr>
        <w:pStyle w:val="Heading2"/>
        <w:spacing w:after="120" w:before="240"/>
      </w:pPr>
      <w:r>
        <w:t xml:space="preserve">7.3  Flood insurance, the NFIP, and risk-based pricing</w:t>
      </w:r>
    </w:p>
    <w:p>
      <w:pPr>
        <w:spacing w:after="120" w:line="300"/>
        <w:jc w:val="both"/>
      </w:pPr>
      <w:r>
        <w:rPr>
          <w:rFonts w:ascii="Georgia" w:cs="Georgia" w:eastAsia="Georgia" w:hAnsi="Georgia"/>
          <w:color w:val="1A1A1A"/>
          <w:sz w:val="21"/>
          <w:szCs w:val="21"/>
        </w:rPr>
        <w:t xml:space="preserve">Flood is the paradigmatic catastrophic, spatially correlated risk, and its coverage in the United States runs primarily through the federal National Flood Insurance Program (NFIP), supplemented by a growing private market. The NFIP’s recent transition to risk-based pricing, known as Risk Rating 2.0, replaced its legacy rating with property-specific risk assessment, raising prices toward actuarial levels for many high-risk properties. The equity and take-up consequences have been studied directly.</w:t>
      </w:r>
    </w:p>
    <w:p>
      <w:pPr>
        <w:pStyle w:val="ListParagraph"/>
        <w:numPr>
          <w:ilvl w:val="0"/>
          <w:numId w:val="2"/>
        </w:numPr>
        <w:spacing w:after="90" w:line="288"/>
        <w:jc w:val="both"/>
      </w:pPr>
      <w:r>
        <w:rPr>
          <w:rFonts w:ascii="Georgia" w:cs="Georgia" w:eastAsia="Georgia" w:hAnsi="Georgia"/>
          <w:b/>
          <w:bCs/>
          <w:color w:val="1A1A1A"/>
          <w:sz w:val="21"/>
          <w:szCs w:val="21"/>
        </w:rPr>
        <w:t xml:space="preserve">Take-up falls as prices rise toward actuarial levels. </w:t>
      </w:r>
      <w:r>
        <w:rPr>
          <w:rFonts w:ascii="Georgia" w:cs="Georgia" w:eastAsia="Georgia" w:hAnsi="Georgia"/>
          <w:color w:val="1A1A1A"/>
          <w:sz w:val="21"/>
          <w:szCs w:val="21"/>
        </w:rPr>
        <w:t xml:space="preserve">Research on the reform found that new-policy uptake declined materially and renewals fell as well, with the largest declines in lower-income areas, widening the flood protection gap even as prices became more accurate (Kousky, 2018; U.S. Government Accountability Office, 2023).</w:t>
      </w:r>
    </w:p>
    <w:p>
      <w:pPr>
        <w:pStyle w:val="ListParagraph"/>
        <w:numPr>
          <w:ilvl w:val="0"/>
          <w:numId w:val="2"/>
        </w:numPr>
        <w:spacing w:after="90" w:line="288"/>
        <w:jc w:val="both"/>
      </w:pPr>
      <w:r>
        <w:rPr>
          <w:rFonts w:ascii="Georgia" w:cs="Georgia" w:eastAsia="Georgia" w:hAnsi="Georgia"/>
          <w:b/>
          <w:bCs/>
          <w:color w:val="1A1A1A"/>
          <w:sz w:val="21"/>
          <w:szCs w:val="21"/>
        </w:rPr>
        <w:t xml:space="preserve">Legacy premiums sat well below full risk. </w:t>
      </w:r>
      <w:r>
        <w:rPr>
          <w:rFonts w:ascii="Georgia" w:cs="Georgia" w:eastAsia="Georgia" w:hAnsi="Georgia"/>
          <w:color w:val="1A1A1A"/>
          <w:sz w:val="21"/>
          <w:szCs w:val="21"/>
        </w:rPr>
        <w:t xml:space="preserve">Government analysis found the median NFIP premium substantially below the level required to reflect full risk, with a large share of policyholders facing significant future increases as prices converge to risk (U.S. Government Accountability Office, 2023).</w:t>
      </w:r>
    </w:p>
    <w:p>
      <w:pPr>
        <w:pStyle w:val="ListParagraph"/>
        <w:numPr>
          <w:ilvl w:val="0"/>
          <w:numId w:val="2"/>
        </w:numPr>
        <w:spacing w:after="90" w:line="288"/>
        <w:jc w:val="both"/>
      </w:pPr>
      <w:r>
        <w:rPr>
          <w:rFonts w:ascii="Georgia" w:cs="Georgia" w:eastAsia="Georgia" w:hAnsi="Georgia"/>
          <w:b/>
          <w:bCs/>
          <w:color w:val="1A1A1A"/>
          <w:sz w:val="21"/>
          <w:szCs w:val="21"/>
        </w:rPr>
        <w:t xml:space="preserve">A recognized moral-hazard and repetitive-loss problem. </w:t>
      </w:r>
      <w:r>
        <w:rPr>
          <w:rFonts w:ascii="Georgia" w:cs="Georgia" w:eastAsia="Georgia" w:hAnsi="Georgia"/>
          <w:color w:val="1A1A1A"/>
          <w:sz w:val="21"/>
          <w:szCs w:val="21"/>
        </w:rPr>
        <w:t xml:space="preserve">Subsidized flood coverage has long been associated with continued development in hazardous areas and with a concentration of claims among repetitive-loss properties, a classic interaction between insurance and prevention incentives (Michel-Kerjan, 2010; Kousky and Kunreuther, 2014).</w:t>
      </w:r>
    </w:p>
    <w:p>
      <w:pPr>
        <w:spacing w:after="120" w:line="300"/>
        <w:ind w:firstLine="360"/>
        <w:jc w:val="both"/>
      </w:pPr>
      <w:r>
        <w:rPr>
          <w:rFonts w:ascii="Georgia" w:cs="Georgia" w:eastAsia="Georgia" w:hAnsi="Georgia"/>
          <w:color w:val="1A1A1A"/>
          <w:sz w:val="21"/>
          <w:szCs w:val="21"/>
        </w:rPr>
        <w:t xml:space="preserve">The flood case sharpens a tension that runs through catastrophe insurance generally: risk-based prices improve efficiency and signal danger accurately, but they also price coverage out of reach for lower-income households in hazardous locations, deepening under-protection exactly where losses are most severe. For the beginning real-estate investor, the operational implication is concrete—verify the flood-zone status of any property before acquisition and price coverage accordingly, recognizing that the coverage carries a waiting period and cannot be obtained once a flood is imminent.</w:t>
      </w:r>
    </w:p>
    <w:p>
      <w:pPr>
        <w:pStyle w:val="Heading2"/>
        <w:spacing w:after="120" w:before="240"/>
      </w:pPr>
      <w:r>
        <w:t xml:space="preserve">7.4  Assessing carrier quality</w:t>
      </w:r>
    </w:p>
    <w:p>
      <w:pPr>
        <w:spacing w:after="120" w:line="300"/>
        <w:jc w:val="both"/>
      </w:pPr>
      <w:r>
        <w:rPr>
          <w:rFonts w:ascii="Georgia" w:cs="Georgia" w:eastAsia="Georgia" w:hAnsi="Georgia"/>
          <w:color w:val="1A1A1A"/>
          <w:sz w:val="21"/>
          <w:szCs w:val="21"/>
        </w:rPr>
        <w:t xml:space="preserve">Because a property-casualty policy is a promise to pay a future claim, the financial strength and service quality of the carrier are part of the product. Three independent assessments are standard. Financial-strength ratings from agencies such as A.M. Best evaluate an insurer’s capital adequacy and claims-paying ability on a graded scale. Customer-satisfaction studies, notably those of J.D. Power, survey policyholders on claims handling and service. And the complaint index published through the National Association of Insurance Commissioners expresses a company’s share of consumer complaints relative to its share of premium, with a value of one representing the median; values above one indicate more complaints than the company’s size would predict (National Association of Insurance Commissioners, 2024; A.M. Best, 2024). These measures can diverge—a financially strong insurer may generate above-median complaints—so a complete assessment consults all three rather than any one in isolation.</w:t>
      </w:r>
    </w:p>
    <w:tbl>
      <w:tblPr>
        <w:tblW w:type="dxa" w:w="9360"/>
        <w:tblBorders>
          <w:top w:val="single" w:color="F2F5F8" w:sz="1"/>
          <w:left w:val="single" w:color="2E5077" w:sz="22"/>
          <w:bottom w:val="single" w:color="F2F5F8" w:sz="1"/>
          <w:right w:val="single" w:color="F2F5F8" w:sz="1"/>
          <w:insideH w:val="single" w:color="auto" w:sz="4"/>
          <w:insideV w:val="single" w:color="auto" w:sz="4"/>
        </w:tblBorders>
      </w:tblPr>
      <w:tblGrid>
        <w:gridCol w:w="9360"/>
      </w:tblGrid>
      <w:tr>
        <w:tc>
          <w:tcPr>
            <w:tcW w:type="dxa" w:w="9360"/>
            <w:shd w:fill="F2F5F8" w:val="clear"/>
            <w:tcMar>
              <w:top w:type="dxa" w:w="130"/>
              <w:left w:type="dxa" w:w="200"/>
              <w:bottom w:type="dxa" w:w="130"/>
              <w:right w:type="dxa" w:w="170"/>
            </w:tcMar>
          </w:tcPr>
          <w:p>
            <w:pPr>
              <w:spacing w:after="70"/>
            </w:pPr>
            <w:r>
              <w:rPr>
                <w:rFonts w:ascii="Georgia" w:cs="Georgia" w:eastAsia="Georgia" w:hAnsi="Georgia"/>
                <w:b/>
                <w:bCs/>
                <w:color w:val="1F3A5F"/>
                <w:sz w:val="20"/>
                <w:szCs w:val="20"/>
              </w:rPr>
              <w:t xml:space="preserve">Summary of Section 7</w:t>
            </w:r>
          </w:p>
          <w:p>
            <w:pPr>
              <w:spacing w:after="40" w:line="288"/>
              <w:jc w:val="both"/>
            </w:pPr>
            <w:r>
              <w:rPr>
                <w:rFonts w:ascii="Georgia" w:cs="Georgia" w:eastAsia="Georgia" w:hAnsi="Georgia"/>
                <w:color w:val="1A1A1A"/>
                <w:sz w:val="20"/>
                <w:szCs w:val="20"/>
              </w:rPr>
              <w:t xml:space="preserve">Property-casualty coverage raises three analytical issues: a genuinely contested pricing controversy over credit-based insurance scores, on which the paper reports rather than resolves the evidence; a catastrophe-financing problem in flood insurance, where risk-based pricing improves accuracy but reduces take-up among the most exposed; and the need to assess carrier financial strength, satisfaction, and complaint records jointly, since these can diverge.</w:t>
            </w:r>
          </w:p>
        </w:tc>
      </w:tr>
    </w:tbl>
    <w:p>
      <w:r>
        <w:br w:type="page"/>
      </w:r>
    </w:p>
    <w:p>
      <w:pPr>
        <w:pStyle w:val="Heading1"/>
        <w:spacing w:after="160" w:before="340"/>
      </w:pPr>
      <w:r>
        <w:t xml:space="preserve">8  Liability and Excess Coverage</w:t>
      </w:r>
    </w:p>
    <w:p>
      <w:pPr>
        <w:pBdr>
          <w:bottom w:val="single" w:color="6B4F2A" w:sz="6" w:space="1"/>
        </w:pBdr>
        <w:spacing w:after="140"/>
      </w:pPr>
      <w:r>
        <w:rPr>
          <w:rFonts w:ascii="Georgia" w:cs="Georgia" w:eastAsia="Georgia" w:hAnsi="Georgia"/>
          <w:color w:val="1A1A1A"/>
          <w:sz w:val="21"/>
          <w:szCs w:val="21"/>
        </w:rPr>
        <w:t xml:space="preserve"/>
      </w:r>
    </w:p>
    <w:p>
      <w:pPr>
        <w:spacing w:after="120" w:line="300"/>
        <w:jc w:val="both"/>
      </w:pPr>
      <w:r>
        <w:rPr>
          <w:rFonts w:ascii="Georgia" w:cs="Georgia" w:eastAsia="Georgia" w:hAnsi="Georgia"/>
          <w:color w:val="1A1A1A"/>
          <w:sz w:val="21"/>
          <w:szCs w:val="21"/>
        </w:rPr>
        <w:t xml:space="preserve">Personal liability exposure—the risk of being held responsible for injury or damage to others—is the archetypal low-probability, high-severity risk, and excess (umbrella) liability coverage is the archetypal instrument for addressing it. A personal umbrella policy sits atop the liability limits embedded in automobile and homeowners coverage and extends protection in large increments, typically at a low marginal price relative to the catastrophic exposure it covers.</w:t>
      </w:r>
    </w:p>
    <w:p>
      <w:pPr>
        <w:spacing w:after="120" w:line="300"/>
        <w:ind w:firstLine="360"/>
        <w:jc w:val="both"/>
      </w:pPr>
      <w:r>
        <w:rPr>
          <w:rFonts w:ascii="Georgia" w:cs="Georgia" w:eastAsia="Georgia" w:hAnsi="Georgia"/>
          <w:color w:val="1A1A1A"/>
          <w:sz w:val="21"/>
          <w:szCs w:val="21"/>
        </w:rPr>
        <w:t xml:space="preserve">The economic rule for when umbrella coverage is warranted follows directly from Section 2: coverage becomes valuable when a household’s assets and future income exceed the liability limits of its underlying policies, so that an adverse judgment could reach beyond those limits into savings and garnished earnings. Because the coverage addresses a rare but potentially ruinous event and is priced modestly per additional increment of protection, it is a textbook case of the kind of catastrophic risk that the theory says should be insured first and that households, in practice, frequently neglect. For the beginning real-estate investor the analysis is sharpened by the concentrated liability exposure that tenants and premises create, which can exceed the limits of a landlord policy and which argues for layering umbrella coverage across a growing portfolio.</w:t>
      </w:r>
    </w:p>
    <w:tbl>
      <w:tblPr>
        <w:tblW w:type="dxa" w:w="9360"/>
        <w:tblBorders>
          <w:top w:val="single" w:color="F2F5F8" w:sz="1"/>
          <w:left w:val="single" w:color="2E5077" w:sz="22"/>
          <w:bottom w:val="single" w:color="F2F5F8" w:sz="1"/>
          <w:right w:val="single" w:color="F2F5F8" w:sz="1"/>
          <w:insideH w:val="single" w:color="auto" w:sz="4"/>
          <w:insideV w:val="single" w:color="auto" w:sz="4"/>
        </w:tblBorders>
      </w:tblPr>
      <w:tblGrid>
        <w:gridCol w:w="9360"/>
      </w:tblGrid>
      <w:tr>
        <w:tc>
          <w:tcPr>
            <w:tcW w:type="dxa" w:w="9360"/>
            <w:shd w:fill="F2F5F8" w:val="clear"/>
            <w:tcMar>
              <w:top w:type="dxa" w:w="130"/>
              <w:left w:type="dxa" w:w="200"/>
              <w:bottom w:type="dxa" w:w="130"/>
              <w:right w:type="dxa" w:w="170"/>
            </w:tcMar>
          </w:tcPr>
          <w:p>
            <w:pPr>
              <w:spacing w:after="70"/>
            </w:pPr>
            <w:r>
              <w:rPr>
                <w:rFonts w:ascii="Georgia" w:cs="Georgia" w:eastAsia="Georgia" w:hAnsi="Georgia"/>
                <w:b/>
                <w:bCs/>
                <w:color w:val="1F3A5F"/>
                <w:sz w:val="20"/>
                <w:szCs w:val="20"/>
              </w:rPr>
              <w:t xml:space="preserve">Summary of Section 8</w:t>
            </w:r>
          </w:p>
          <w:p>
            <w:pPr>
              <w:spacing w:after="40" w:line="288"/>
              <w:jc w:val="both"/>
            </w:pPr>
            <w:r>
              <w:rPr>
                <w:rFonts w:ascii="Georgia" w:cs="Georgia" w:eastAsia="Georgia" w:hAnsi="Georgia"/>
                <w:color w:val="1A1A1A"/>
                <w:sz w:val="20"/>
                <w:szCs w:val="20"/>
              </w:rPr>
              <w:t xml:space="preserve">Excess liability coverage is inexpensive protection against a rare, potentially ruinous loss, warranted once assets and future income exceed underlying policy limits. It is a clear instance of the catastrophic-first principle and is especially relevant where property ownership concentrates liability exposure.</w:t>
            </w:r>
          </w:p>
        </w:tc>
      </w:tr>
    </w:tbl>
    <w:p>
      <w:r>
        <w:br w:type="page"/>
      </w:r>
    </w:p>
    <w:p>
      <w:pPr>
        <w:pStyle w:val="Heading1"/>
        <w:spacing w:after="160" w:before="340"/>
      </w:pPr>
      <w:r>
        <w:t xml:space="preserve">9  Commercial and Cyber Insurance for Technology Ventures</w:t>
      </w:r>
    </w:p>
    <w:p>
      <w:pPr>
        <w:pBdr>
          <w:bottom w:val="single" w:color="6B4F2A" w:sz="6" w:space="1"/>
        </w:pBdr>
        <w:spacing w:after="140"/>
      </w:pPr>
      <w:r>
        <w:rPr>
          <w:rFonts w:ascii="Georgia" w:cs="Georgia" w:eastAsia="Georgia" w:hAnsi="Georgia"/>
          <w:color w:val="1A1A1A"/>
          <w:sz w:val="21"/>
          <w:szCs w:val="21"/>
        </w:rPr>
        <w:t xml:space="preserve"/>
      </w:r>
    </w:p>
    <w:p>
      <w:pPr>
        <w:spacing w:after="120" w:line="300"/>
        <w:jc w:val="both"/>
      </w:pPr>
      <w:r>
        <w:rPr>
          <w:rFonts w:ascii="Georgia" w:cs="Georgia" w:eastAsia="Georgia" w:hAnsi="Georgia"/>
          <w:color w:val="1A1A1A"/>
          <w:sz w:val="21"/>
          <w:szCs w:val="21"/>
        </w:rPr>
        <w:t xml:space="preserve">The personal-lines framework does not reach the exposures created by operating a business, and for the technology entrepreneur those exposures are distinctive: they arise from professional services, from the custody of data, and from the governance of the firm. This section surveys the principal commercial coverages and the empirical basis for treating cyber risk as a first-order exposure.</w:t>
      </w:r>
    </w:p>
    <w:p>
      <w:pPr>
        <w:pStyle w:val="Heading2"/>
        <w:spacing w:after="120" w:before="240"/>
      </w:pPr>
      <w:r>
        <w:t xml:space="preserve">9.1  Professional liability (technology errors and omissions)</w:t>
      </w:r>
    </w:p>
    <w:p>
      <w:pPr>
        <w:spacing w:after="120" w:line="300"/>
        <w:jc w:val="both"/>
      </w:pPr>
      <w:r>
        <w:rPr>
          <w:rFonts w:ascii="Georgia" w:cs="Georgia" w:eastAsia="Georgia" w:hAnsi="Georgia"/>
          <w:color w:val="1A1A1A"/>
          <w:sz w:val="21"/>
          <w:szCs w:val="21"/>
        </w:rPr>
        <w:t xml:space="preserve">Technology errors-and-omissions coverage, a form of professional liability, responds to claims that a firm’s software, services, or advice caused a client financial harm. For a firm selling to other businesses it is frequently a contractual precondition of doing business, because enterprise customers require proof of it before signing, and it therefore functions as much as a commercial enabler as a risk-transfer instrument. Underwriting for firms building artificial-intelligence systems has begun to grapple with novel exposures—erroneous or fabricated model output and intellectual-property questions—that fall within the professional-liability and media-liability frame, and an emerging literature and underwriting practice consider how insurance might function as a governance mechanism for such firms.</w:t>
      </w:r>
    </w:p>
    <w:p>
      <w:pPr>
        <w:pStyle w:val="Heading2"/>
        <w:spacing w:after="120" w:before="240"/>
      </w:pPr>
      <w:r>
        <w:t xml:space="preserve">9.2  Cyber liability and the economics of data breaches</w:t>
      </w:r>
    </w:p>
    <w:p>
      <w:pPr>
        <w:spacing w:after="120" w:line="300"/>
        <w:jc w:val="both"/>
      </w:pPr>
      <w:r>
        <w:rPr>
          <w:rFonts w:ascii="Georgia" w:cs="Georgia" w:eastAsia="Georgia" w:hAnsi="Georgia"/>
          <w:color w:val="1A1A1A"/>
          <w:sz w:val="21"/>
          <w:szCs w:val="21"/>
        </w:rPr>
        <w:t xml:space="preserve">Any firm that holds customer data faces breach risk, and the empirical magnitude of that risk is the reason cyber coverage has moved from optional to essential. The most widely cited measurement finds that the global average total cost of a data breach reached $4.88 million in 2024, a ten-percent increase over the prior year and the largest such jump in several years, with the average markedly higher in the United States and higher still in regulated sectors such as healthcare (IBM Security and Ponemon Institute, 2024). The same research finds that stolen credentials are among the most common initial vectors, that breaches involving extensive security automation cost materially less, and that a majority of breached organizations experience significant operational disruption. For an unfunded early-stage venture, a loss of this magnitude is existential, which places cyber coverage—and the breach-response services bundled with it—high in the commercial protection ordering.</w:t>
      </w:r>
    </w:p>
    <w:p>
      <w:pPr>
        <w:pStyle w:val="Heading2"/>
        <w:spacing w:after="120" w:before="240"/>
      </w:pPr>
      <w:r>
        <w:t xml:space="preserve">9.3  Governance, general liability, and statutory coverages</w:t>
      </w:r>
    </w:p>
    <w:p>
      <w:pPr>
        <w:spacing w:after="120" w:line="300"/>
        <w:jc w:val="both"/>
      </w:pPr>
      <w:r>
        <w:rPr>
          <w:rFonts w:ascii="Georgia" w:cs="Georgia" w:eastAsia="Georgia" w:hAnsi="Georgia"/>
          <w:color w:val="1A1A1A"/>
          <w:sz w:val="21"/>
          <w:szCs w:val="21"/>
        </w:rPr>
        <w:t xml:space="preserve">Directors-and-officers coverage protects the personal assets of a firm’s founders and directors against claims arising from how the firm is managed, and is commonly required by outside investors as a condition of financing. General liability coverage addresses third-party bodily injury and property damage and is inexpensive for a software firm; it is often bundled with property coverage in a business owner’s policy. Workers’ compensation, finally, is a statutory coverage whose requirement is triggered by employment above a state-specified threshold, priced per unit of payroll by occupational class. The cost of the full commercial program varies widely with revenue, headcount, and data sensitivity, and is best represented as a range rather than a point estimate; the analytical point is the ordering, in which professional liability and cyber coverage precede the governance and statutory layers that scale becomes necessary.</w:t>
      </w:r>
    </w:p>
    <w:tbl>
      <w:tblPr>
        <w:tblW w:type="dxa" w:w="9360"/>
        <w:tblBorders>
          <w:top w:val="single" w:color="F2F5F8" w:sz="1"/>
          <w:left w:val="single" w:color="2E5077" w:sz="22"/>
          <w:bottom w:val="single" w:color="F2F5F8" w:sz="1"/>
          <w:right w:val="single" w:color="F2F5F8" w:sz="1"/>
          <w:insideH w:val="single" w:color="auto" w:sz="4"/>
          <w:insideV w:val="single" w:color="auto" w:sz="4"/>
        </w:tblBorders>
      </w:tblPr>
      <w:tblGrid>
        <w:gridCol w:w="9360"/>
      </w:tblGrid>
      <w:tr>
        <w:tc>
          <w:tcPr>
            <w:tcW w:type="dxa" w:w="9360"/>
            <w:shd w:fill="F2F5F8" w:val="clear"/>
            <w:tcMar>
              <w:top w:type="dxa" w:w="130"/>
              <w:left w:type="dxa" w:w="200"/>
              <w:bottom w:type="dxa" w:w="130"/>
              <w:right w:type="dxa" w:w="170"/>
            </w:tcMar>
          </w:tcPr>
          <w:p>
            <w:pPr>
              <w:spacing w:after="70"/>
            </w:pPr>
            <w:r>
              <w:rPr>
                <w:rFonts w:ascii="Georgia" w:cs="Georgia" w:eastAsia="Georgia" w:hAnsi="Georgia"/>
                <w:b/>
                <w:bCs/>
                <w:color w:val="1F3A5F"/>
                <w:sz w:val="20"/>
                <w:szCs w:val="20"/>
              </w:rPr>
              <w:t xml:space="preserve">Summary of Section 9</w:t>
            </w:r>
          </w:p>
          <w:p>
            <w:pPr>
              <w:spacing w:after="40" w:line="288"/>
              <w:jc w:val="both"/>
            </w:pPr>
            <w:r>
              <w:rPr>
                <w:rFonts w:ascii="Georgia" w:cs="Georgia" w:eastAsia="Georgia" w:hAnsi="Georgia"/>
                <w:color w:val="1A1A1A"/>
                <w:sz w:val="20"/>
                <w:szCs w:val="20"/>
              </w:rPr>
              <w:t xml:space="preserve">Operating a technology venture creates exposures the personal-lines framework does not address. Professional-liability and cyber coverage are first-order—the former often a precondition of enterprise sales, the latter justified by an average breach cost approaching five million dollars—while directors-and-officers, general-liability, and workers’-compensation coverage attach as the firm raises capital and hires.</w:t>
            </w:r>
          </w:p>
        </w:tc>
      </w:tr>
    </w:tbl>
    <w:p>
      <w:r>
        <w:br w:type="page"/>
      </w:r>
    </w:p>
    <w:p>
      <w:pPr>
        <w:pStyle w:val="Heading1"/>
        <w:spacing w:after="160" w:before="340"/>
      </w:pPr>
      <w:r>
        <w:t xml:space="preserve">10  Supplemental Lines and the Long-Term-Care Problem</w:t>
      </w:r>
    </w:p>
    <w:p>
      <w:pPr>
        <w:pBdr>
          <w:bottom w:val="single" w:color="6B4F2A" w:sz="6" w:space="1"/>
        </w:pBdr>
        <w:spacing w:after="140"/>
      </w:pPr>
      <w:r>
        <w:rPr>
          <w:rFonts w:ascii="Georgia" w:cs="Georgia" w:eastAsia="Georgia" w:hAnsi="Georgia"/>
          <w:color w:val="1A1A1A"/>
          <w:sz w:val="21"/>
          <w:szCs w:val="21"/>
        </w:rPr>
        <w:t xml:space="preserve"/>
      </w:r>
    </w:p>
    <w:p>
      <w:pPr>
        <w:spacing w:after="120" w:line="300"/>
        <w:jc w:val="both"/>
      </w:pPr>
      <w:r>
        <w:rPr>
          <w:rFonts w:ascii="Georgia" w:cs="Georgia" w:eastAsia="Georgia" w:hAnsi="Georgia"/>
          <w:color w:val="1A1A1A"/>
          <w:sz w:val="21"/>
          <w:szCs w:val="21"/>
        </w:rPr>
        <w:t xml:space="preserve">Beyond the core lines lies a heterogeneous set of supplemental and specialized coverages. Most warrant only brief treatment, either because they address minor risks or because their value is contested; one—long-term care—embodies a genuine and instructive market failure and receives fuller attention.</w:t>
      </w:r>
    </w:p>
    <w:p>
      <w:pPr>
        <w:pStyle w:val="Heading2"/>
        <w:spacing w:after="120" w:before="240"/>
      </w:pPr>
      <w:r>
        <w:t xml:space="preserve">10.1  Supplemental coverages of contested value</w:t>
      </w:r>
    </w:p>
    <w:p>
      <w:pPr>
        <w:spacing w:after="120" w:line="300"/>
        <w:jc w:val="both"/>
      </w:pPr>
      <w:r>
        <w:rPr>
          <w:rFonts w:ascii="Georgia" w:cs="Georgia" w:eastAsia="Georgia" w:hAnsi="Georgia"/>
          <w:color w:val="1A1A1A"/>
          <w:sz w:val="21"/>
          <w:szCs w:val="21"/>
        </w:rPr>
        <w:t xml:space="preserve">Dental and vision coverage address predictable, moderate expenses and function more as prepayment than as insurance in the risk-transfer sense. Critical-illness, accident, and hospital-indemnity policies pay fixed cash benefits on the occurrence of specified events; their value is debated, because their expected payouts are frequently small relative to their premiums and because much of what they cover overlaps with comprehensive health insurance, though they can have a role for households with high deductibles and thin liquidity (Cutler and Zeckhauser, 2004; Bhargava, Loewenstein, and Sydnor, 2017). Identity-theft protection, travel and medical-evacuation coverage, and pet insurance are situational: each addresses a real but narrow exposure, and each should be evaluated against the alternative of self-funding the loss from an emergency reserve. The consistent analytical lens is the one developed in Section 2—supplemental coverage is worthwhile only insofar as it addresses a loss large enough that the household could not comfortably absorb it.</w:t>
      </w:r>
    </w:p>
    <w:p>
      <w:pPr>
        <w:pStyle w:val="Heading2"/>
        <w:spacing w:after="120" w:before="240"/>
      </w:pPr>
      <w:r>
        <w:t xml:space="preserve">10.2  The long-term-care financing problem</w:t>
      </w:r>
    </w:p>
    <w:p>
      <w:pPr>
        <w:spacing w:after="120" w:line="300"/>
        <w:jc w:val="both"/>
      </w:pPr>
      <w:r>
        <w:rPr>
          <w:rFonts w:ascii="Georgia" w:cs="Georgia" w:eastAsia="Georgia" w:hAnsi="Georgia"/>
          <w:color w:val="1A1A1A"/>
          <w:sz w:val="21"/>
          <w:szCs w:val="21"/>
        </w:rPr>
        <w:t xml:space="preserve">Long-term care—extended assistance with the activities of daily living—presents one of the most significant and least well-insured risks in household finance. The lifetime probability of needing such care is high: an individual reaching age sixty-five faces roughly a seventy-percent chance of requiring long-term services and supports at some point, with women needing care for longer on average than men, and a substantial minority needing care for five years or more (Administration for Community Living, 2020; Johnson, 2019). The costs are correspondingly large, with annual costs for nursing-home and assisted-living care reaching well into five and six figures (Genworth and CareScout, 2025).</w:t>
      </w:r>
    </w:p>
    <w:p>
      <w:pPr>
        <w:spacing w:after="120" w:line="300"/>
        <w:ind w:firstLine="360"/>
        <w:jc w:val="both"/>
      </w:pPr>
      <w:r>
        <w:rPr>
          <w:rFonts w:ascii="Georgia" w:cs="Georgia" w:eastAsia="Georgia" w:hAnsi="Georgia"/>
          <w:color w:val="1A1A1A"/>
          <w:sz w:val="21"/>
          <w:szCs w:val="21"/>
        </w:rPr>
        <w:t xml:space="preserve">Despite this, the private long-term-care insurance market is small and has contracted, covering only a modest fraction of the population, while the dominant payer is the means-tested public program, which finances a plurality-to-majority share of long-term-care spending depending on the definition used (Congressional Research Service, 2023; Kaiser Family Foundation, 2023). The gap between the size of the risk and the extent of private coverage is a textbook market failure, driven by adverse selection, by the difficulty of pricing a risk that materializes decades after purchase, and by the availability of the public program as an implicit backstop that crowds out private demand (Brown and Finkelstein, 2007, 2008; Finkelstein and McGarry, 2006). For the emerging-adult population the practical implication is that long-term-care insurance is not a near-term priority—premiums rise steeply with age and the risk is remote—but the financing problem it represents is one that any complete account of lifetime risk must acknowledge.</w:t>
      </w:r>
    </w:p>
    <w:tbl>
      <w:tblPr>
        <w:tblW w:type="dxa" w:w="9360"/>
        <w:tblBorders>
          <w:top w:val="single" w:color="F2F5F8" w:sz="1"/>
          <w:left w:val="single" w:color="2E5077" w:sz="22"/>
          <w:bottom w:val="single" w:color="F2F5F8" w:sz="1"/>
          <w:right w:val="single" w:color="F2F5F8" w:sz="1"/>
          <w:insideH w:val="single" w:color="auto" w:sz="4"/>
          <w:insideV w:val="single" w:color="auto" w:sz="4"/>
        </w:tblBorders>
      </w:tblPr>
      <w:tblGrid>
        <w:gridCol w:w="9360"/>
      </w:tblGrid>
      <w:tr>
        <w:tc>
          <w:tcPr>
            <w:tcW w:type="dxa" w:w="9360"/>
            <w:shd w:fill="F2F5F8" w:val="clear"/>
            <w:tcMar>
              <w:top w:type="dxa" w:w="130"/>
              <w:left w:type="dxa" w:w="200"/>
              <w:bottom w:type="dxa" w:w="130"/>
              <w:right w:type="dxa" w:w="170"/>
            </w:tcMar>
          </w:tcPr>
          <w:p>
            <w:pPr>
              <w:spacing w:after="70"/>
            </w:pPr>
            <w:r>
              <w:rPr>
                <w:rFonts w:ascii="Georgia" w:cs="Georgia" w:eastAsia="Georgia" w:hAnsi="Georgia"/>
                <w:b/>
                <w:bCs/>
                <w:color w:val="1F3A5F"/>
                <w:sz w:val="20"/>
                <w:szCs w:val="20"/>
              </w:rPr>
              <w:t xml:space="preserve">Summary of Section 10</w:t>
            </w:r>
          </w:p>
          <w:p>
            <w:pPr>
              <w:spacing w:after="40" w:line="288"/>
              <w:jc w:val="both"/>
            </w:pPr>
            <w:r>
              <w:rPr>
                <w:rFonts w:ascii="Georgia" w:cs="Georgia" w:eastAsia="Georgia" w:hAnsi="Georgia"/>
                <w:color w:val="1A1A1A"/>
                <w:sz w:val="20"/>
                <w:szCs w:val="20"/>
              </w:rPr>
              <w:t xml:space="preserve">Supplemental coverages are worthwhile only where they address a loss too large to self-fund; many pay small benefits relative to their cost and overlap existing coverage. Long-term care is the exception—a large, high-probability lifetime risk that the private market covers poorly, a well-documented failure driven by adverse selection and public crowd-out—though it is a later-life rather than an emerging-adult priority.</w:t>
            </w:r>
          </w:p>
        </w:tc>
      </w:tr>
    </w:tbl>
    <w:p>
      <w:r>
        <w:br w:type="page"/>
      </w:r>
    </w:p>
    <w:p>
      <w:pPr>
        <w:pStyle w:val="Heading1"/>
        <w:spacing w:after="160" w:before="340"/>
      </w:pPr>
      <w:r>
        <w:t xml:space="preserve">11  Retirement Accounts and the Accumulation Problem</w:t>
      </w:r>
    </w:p>
    <w:p>
      <w:pPr>
        <w:pBdr>
          <w:bottom w:val="single" w:color="6B4F2A" w:sz="6" w:space="1"/>
        </w:pBdr>
        <w:spacing w:after="140"/>
      </w:pPr>
      <w:r>
        <w:rPr>
          <w:rFonts w:ascii="Georgia" w:cs="Georgia" w:eastAsia="Georgia" w:hAnsi="Georgia"/>
          <w:color w:val="1A1A1A"/>
          <w:sz w:val="21"/>
          <w:szCs w:val="21"/>
        </w:rPr>
        <w:t xml:space="preserve"/>
      </w:r>
    </w:p>
    <w:p>
      <w:pPr>
        <w:spacing w:after="120" w:line="300"/>
        <w:jc w:val="both"/>
      </w:pPr>
      <w:r>
        <w:rPr>
          <w:rFonts w:ascii="Georgia" w:cs="Georgia" w:eastAsia="Georgia" w:hAnsi="Georgia"/>
          <w:color w:val="1A1A1A"/>
          <w:sz w:val="21"/>
          <w:szCs w:val="21"/>
        </w:rPr>
        <w:t xml:space="preserve">Protection against loss is only half of financial security; the other half is accumulation. This section examines the institutional architecture of tax-advantaged saving, the evidence on how accumulated assets should be invested, and the arithmetic that makes an early start so consequential. The treatment connects to the insurance analysis through the unbundling argument of Section 5: the premium dollars a household does not commit to cash-value insurance are the dollars available to compound in the accounts described here.</w:t>
      </w:r>
    </w:p>
    <w:p>
      <w:pPr>
        <w:pStyle w:val="Heading2"/>
        <w:spacing w:after="120" w:before="240"/>
      </w:pPr>
      <w:r>
        <w:t xml:space="preserve">11.1  The tax-advantaged account architecture</w:t>
      </w:r>
    </w:p>
    <w:p>
      <w:pPr>
        <w:spacing w:after="120" w:line="300"/>
        <w:jc w:val="both"/>
      </w:pPr>
      <w:r>
        <w:rPr>
          <w:rFonts w:ascii="Georgia" w:cs="Georgia" w:eastAsia="Georgia" w:hAnsi="Georgia"/>
          <w:color w:val="1A1A1A"/>
          <w:sz w:val="21"/>
          <w:szCs w:val="21"/>
        </w:rPr>
        <w:t xml:space="preserve">The accumulation system comprises employer-based defined-contribution plans (the 401(k) and its governmental counterpart, the Thrift Savings Plan), individual retirement accounts, self-employed plans, and the health savings account in its investment role. These vehicles differ in their contribution limits, their tax treatment, and their eligibility conditions. The principal 2026 parameters, set by statutory inflation adjustment, are summarized in Table 11.1.</w:t>
      </w:r>
    </w:p>
    <w:p>
      <w:pPr>
        <w:spacing w:after="20"/>
      </w:pPr>
      <w:r>
        <w:rPr>
          <w:rFonts w:ascii="Georgia" w:cs="Georgia" w:eastAsia="Georgia" w:hAnsi="Georgia"/>
          <w:color w:val="1A1A1A"/>
          <w:sz w:val="21"/>
          <w:szCs w:val="21"/>
        </w:rPr>
        <w:t xml:space="preserve"/>
      </w:r>
    </w:p>
    <w:p>
      <w:pPr>
        <w:spacing w:after="60" w:before="60"/>
      </w:pPr>
      <w:r>
        <w:rPr>
          <w:rFonts w:ascii="Georgia" w:cs="Georgia" w:eastAsia="Georgia" w:hAnsi="Georgia"/>
          <w:b/>
          <w:bCs/>
          <w:color w:val="1F3A5F"/>
          <w:sz w:val="18"/>
          <w:szCs w:val="18"/>
        </w:rPr>
        <w:t xml:space="preserve">Table 11.1  Principal tax-advantaged account limits,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700"/>
        <w:gridCol w:w="3460"/>
      </w:tblGrid>
      <w:tr>
        <w:trPr>
          <w:tblHeader/>
        </w:trPr>
        <w:tc>
          <w:tcPr>
            <w:tcW w:type="dxa" w:w="4200"/>
            <w:tcBorders>
              <w:top w:val="single" w:color="C4CFD9" w:sz="1"/>
              <w:left w:val="single" w:color="C4CFD9" w:sz="1"/>
              <w:bottom w:val="single" w:color="C4CFD9" w:sz="1"/>
              <w:right w:val="single" w:color="C4CFD9" w:sz="1"/>
            </w:tcBorders>
            <w:shd w:fill="1F3A5F" w:val="clear"/>
            <w:tcMar>
              <w:top w:type="dxa" w:w="60"/>
              <w:left w:type="dxa" w:w="90"/>
              <w:bottom w:type="dxa" w:w="60"/>
              <w:right w:type="dxa" w:w="90"/>
            </w:tcMar>
            <w:vAlign w:val="center"/>
          </w:tcPr>
          <w:p>
            <w:pPr>
              <w:spacing w:after="0"/>
              <w:jc w:val="left"/>
            </w:pPr>
            <w:r>
              <w:rPr>
                <w:rFonts w:ascii="Georgia" w:cs="Georgia" w:eastAsia="Georgia" w:hAnsi="Georgia"/>
                <w:b/>
                <w:bCs/>
                <w:color w:val="FFFFFF"/>
                <w:sz w:val="18"/>
                <w:szCs w:val="18"/>
              </w:rPr>
              <w:t xml:space="preserve">Account</w:t>
            </w:r>
          </w:p>
        </w:tc>
        <w:tc>
          <w:tcPr>
            <w:tcW w:type="dxa" w:w="1700"/>
            <w:tcBorders>
              <w:top w:val="single" w:color="C4CFD9" w:sz="1"/>
              <w:left w:val="single" w:color="C4CFD9" w:sz="1"/>
              <w:bottom w:val="single" w:color="C4CFD9" w:sz="1"/>
              <w:right w:val="single" w:color="C4CFD9" w:sz="1"/>
            </w:tcBorders>
            <w:shd w:fill="1F3A5F" w:val="clear"/>
            <w:tcMar>
              <w:top w:type="dxa" w:w="60"/>
              <w:left w:type="dxa" w:w="90"/>
              <w:bottom w:type="dxa" w:w="60"/>
              <w:right w:type="dxa" w:w="90"/>
            </w:tcMar>
            <w:vAlign w:val="center"/>
          </w:tcPr>
          <w:p>
            <w:pPr>
              <w:spacing w:after="0"/>
              <w:jc w:val="left"/>
            </w:pPr>
            <w:r>
              <w:rPr>
                <w:rFonts w:ascii="Georgia" w:cs="Georgia" w:eastAsia="Georgia" w:hAnsi="Georgia"/>
                <w:b/>
                <w:bCs/>
                <w:color w:val="FFFFFF"/>
                <w:sz w:val="18"/>
                <w:szCs w:val="18"/>
              </w:rPr>
              <w:t xml:space="preserve">2026 limit</w:t>
            </w:r>
          </w:p>
        </w:tc>
        <w:tc>
          <w:tcPr>
            <w:tcW w:type="dxa" w:w="3460"/>
            <w:tcBorders>
              <w:top w:val="single" w:color="C4CFD9" w:sz="1"/>
              <w:left w:val="single" w:color="C4CFD9" w:sz="1"/>
              <w:bottom w:val="single" w:color="C4CFD9" w:sz="1"/>
              <w:right w:val="single" w:color="C4CFD9" w:sz="1"/>
            </w:tcBorders>
            <w:shd w:fill="1F3A5F" w:val="clear"/>
            <w:tcMar>
              <w:top w:type="dxa" w:w="60"/>
              <w:left w:type="dxa" w:w="90"/>
              <w:bottom w:type="dxa" w:w="60"/>
              <w:right w:type="dxa" w:w="90"/>
            </w:tcMar>
            <w:vAlign w:val="center"/>
          </w:tcPr>
          <w:p>
            <w:pPr>
              <w:spacing w:after="0"/>
              <w:jc w:val="left"/>
            </w:pPr>
            <w:r>
              <w:rPr>
                <w:rFonts w:ascii="Georgia" w:cs="Georgia" w:eastAsia="Georgia" w:hAnsi="Georgia"/>
                <w:b/>
                <w:bCs/>
                <w:color w:val="FFFFFF"/>
                <w:sz w:val="18"/>
                <w:szCs w:val="18"/>
              </w:rPr>
              <w:t xml:space="preserve">Notes</w:t>
            </w:r>
          </w:p>
        </w:tc>
      </w:tr>
      <w:tr>
        <w:tc>
          <w:tcPr>
            <w:tcW w:type="dxa" w:w="4200"/>
            <w:tcBorders>
              <w:top w:val="single" w:color="C4CFD9" w:sz="1"/>
              <w:left w:val="single" w:color="C4CFD9" w:sz="1"/>
              <w:bottom w:val="single" w:color="C4CFD9" w:sz="1"/>
              <w:right w:val="single" w:color="C4CFD9" w:sz="1"/>
            </w:tcBorders>
            <w:shd w:fill="FFFFFF"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401(k) / 403(b) / 457 / TSP elective deferral</w:t>
            </w:r>
          </w:p>
        </w:tc>
        <w:tc>
          <w:tcPr>
            <w:tcW w:type="dxa" w:w="1700"/>
            <w:tcBorders>
              <w:top w:val="single" w:color="C4CFD9" w:sz="1"/>
              <w:left w:val="single" w:color="C4CFD9" w:sz="1"/>
              <w:bottom w:val="single" w:color="C4CFD9" w:sz="1"/>
              <w:right w:val="single" w:color="C4CFD9" w:sz="1"/>
            </w:tcBorders>
            <w:shd w:fill="FFFFFF" w:val="clear"/>
            <w:tcMar>
              <w:top w:type="dxa" w:w="50"/>
              <w:left w:type="dxa" w:w="90"/>
              <w:bottom w:type="dxa" w:w="50"/>
              <w:right w:type="dxa" w:w="90"/>
            </w:tcMar>
            <w:vAlign w:val="center"/>
          </w:tcPr>
          <w:p>
            <w:pPr>
              <w:spacing w:after="0" w:line="264"/>
              <w:jc w:val="center"/>
            </w:pPr>
            <w:r>
              <w:rPr>
                <w:rFonts w:ascii="Georgia" w:cs="Georgia" w:eastAsia="Georgia" w:hAnsi="Georgia"/>
                <w:b/>
                <w:bCs/>
                <w:color w:val="1A1A1A"/>
                <w:sz w:val="17"/>
                <w:szCs w:val="17"/>
              </w:rPr>
              <w:t xml:space="preserve">$24,500</w:t>
            </w:r>
          </w:p>
        </w:tc>
        <w:tc>
          <w:tcPr>
            <w:tcW w:type="dxa" w:w="3460"/>
            <w:tcBorders>
              <w:top w:val="single" w:color="C4CFD9" w:sz="1"/>
              <w:left w:val="single" w:color="C4CFD9" w:sz="1"/>
              <w:bottom w:val="single" w:color="C4CFD9" w:sz="1"/>
              <w:right w:val="single" w:color="C4CFD9" w:sz="1"/>
            </w:tcBorders>
            <w:shd w:fill="FFFFFF"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Shared across all such plans held in the year</w:t>
            </w:r>
          </w:p>
        </w:tc>
      </w:tr>
      <w:tr>
        <w:tc>
          <w:tcPr>
            <w:tcW w:type="dxa" w:w="4200"/>
            <w:tcBorders>
              <w:top w:val="single" w:color="C4CFD9" w:sz="1"/>
              <w:left w:val="single" w:color="C4CFD9" w:sz="1"/>
              <w:bottom w:val="single" w:color="C4CFD9" w:sz="1"/>
              <w:right w:val="single" w:color="C4CFD9" w:sz="1"/>
            </w:tcBorders>
            <w:shd w:fill="F4F6F9"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Combined employee + employer (§415(c))</w:t>
            </w:r>
          </w:p>
        </w:tc>
        <w:tc>
          <w:tcPr>
            <w:tcW w:type="dxa" w:w="1700"/>
            <w:tcBorders>
              <w:top w:val="single" w:color="C4CFD9" w:sz="1"/>
              <w:left w:val="single" w:color="C4CFD9" w:sz="1"/>
              <w:bottom w:val="single" w:color="C4CFD9" w:sz="1"/>
              <w:right w:val="single" w:color="C4CFD9" w:sz="1"/>
            </w:tcBorders>
            <w:shd w:fill="F4F6F9" w:val="clear"/>
            <w:tcMar>
              <w:top w:type="dxa" w:w="50"/>
              <w:left w:type="dxa" w:w="90"/>
              <w:bottom w:type="dxa" w:w="50"/>
              <w:right w:type="dxa" w:w="90"/>
            </w:tcMar>
            <w:vAlign w:val="center"/>
          </w:tcPr>
          <w:p>
            <w:pPr>
              <w:spacing w:after="0" w:line="264"/>
              <w:jc w:val="center"/>
            </w:pPr>
            <w:r>
              <w:rPr>
                <w:rFonts w:ascii="Georgia" w:cs="Georgia" w:eastAsia="Georgia" w:hAnsi="Georgia"/>
                <w:b/>
                <w:bCs/>
                <w:color w:val="1A1A1A"/>
                <w:sz w:val="17"/>
                <w:szCs w:val="17"/>
              </w:rPr>
              <w:t xml:space="preserve">$72,000</w:t>
            </w:r>
          </w:p>
        </w:tc>
        <w:tc>
          <w:tcPr>
            <w:tcW w:type="dxa" w:w="3460"/>
            <w:tcBorders>
              <w:top w:val="single" w:color="C4CFD9" w:sz="1"/>
              <w:left w:val="single" w:color="C4CFD9" w:sz="1"/>
              <w:bottom w:val="single" w:color="C4CFD9" w:sz="1"/>
              <w:right w:val="single" w:color="C4CFD9" w:sz="1"/>
            </w:tcBorders>
            <w:shd w:fill="F4F6F9"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Total additions to a defined-contribution plan</w:t>
            </w:r>
          </w:p>
        </w:tc>
      </w:tr>
      <w:tr>
        <w:tc>
          <w:tcPr>
            <w:tcW w:type="dxa" w:w="4200"/>
            <w:tcBorders>
              <w:top w:val="single" w:color="C4CFD9" w:sz="1"/>
              <w:left w:val="single" w:color="C4CFD9" w:sz="1"/>
              <w:bottom w:val="single" w:color="C4CFD9" w:sz="1"/>
              <w:right w:val="single" w:color="C4CFD9" w:sz="1"/>
            </w:tcBorders>
            <w:shd w:fill="FFFFFF"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Age-50 catch-up</w:t>
            </w:r>
          </w:p>
        </w:tc>
        <w:tc>
          <w:tcPr>
            <w:tcW w:type="dxa" w:w="1700"/>
            <w:tcBorders>
              <w:top w:val="single" w:color="C4CFD9" w:sz="1"/>
              <w:left w:val="single" w:color="C4CFD9" w:sz="1"/>
              <w:bottom w:val="single" w:color="C4CFD9" w:sz="1"/>
              <w:right w:val="single" w:color="C4CFD9" w:sz="1"/>
            </w:tcBorders>
            <w:shd w:fill="FFFFFF" w:val="clear"/>
            <w:tcMar>
              <w:top w:type="dxa" w:w="50"/>
              <w:left w:type="dxa" w:w="90"/>
              <w:bottom w:type="dxa" w:w="50"/>
              <w:right w:type="dxa" w:w="90"/>
            </w:tcMar>
            <w:vAlign w:val="center"/>
          </w:tcPr>
          <w:p>
            <w:pPr>
              <w:spacing w:after="0" w:line="264"/>
              <w:jc w:val="center"/>
            </w:pPr>
            <w:r>
              <w:rPr>
                <w:rFonts w:ascii="Georgia" w:cs="Georgia" w:eastAsia="Georgia" w:hAnsi="Georgia"/>
                <w:b w:val="false"/>
                <w:bCs w:val="false"/>
                <w:color w:val="1A1A1A"/>
                <w:sz w:val="17"/>
                <w:szCs w:val="17"/>
              </w:rPr>
              <w:t xml:space="preserve">$8,000</w:t>
            </w:r>
          </w:p>
        </w:tc>
        <w:tc>
          <w:tcPr>
            <w:tcW w:type="dxa" w:w="3460"/>
            <w:tcBorders>
              <w:top w:val="single" w:color="C4CFD9" w:sz="1"/>
              <w:left w:val="single" w:color="C4CFD9" w:sz="1"/>
              <w:bottom w:val="single" w:color="C4CFD9" w:sz="1"/>
              <w:right w:val="single" w:color="C4CFD9" w:sz="1"/>
            </w:tcBorders>
            <w:shd w:fill="FFFFFF"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Additional elective deferral</w:t>
            </w:r>
          </w:p>
        </w:tc>
      </w:tr>
      <w:tr>
        <w:tc>
          <w:tcPr>
            <w:tcW w:type="dxa" w:w="4200"/>
            <w:tcBorders>
              <w:top w:val="single" w:color="C4CFD9" w:sz="1"/>
              <w:left w:val="single" w:color="C4CFD9" w:sz="1"/>
              <w:bottom w:val="single" w:color="C4CFD9" w:sz="1"/>
              <w:right w:val="single" w:color="C4CFD9" w:sz="1"/>
            </w:tcBorders>
            <w:shd w:fill="F4F6F9"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Ages 60–63 “super” catch-up</w:t>
            </w:r>
          </w:p>
        </w:tc>
        <w:tc>
          <w:tcPr>
            <w:tcW w:type="dxa" w:w="1700"/>
            <w:tcBorders>
              <w:top w:val="single" w:color="C4CFD9" w:sz="1"/>
              <w:left w:val="single" w:color="C4CFD9" w:sz="1"/>
              <w:bottom w:val="single" w:color="C4CFD9" w:sz="1"/>
              <w:right w:val="single" w:color="C4CFD9" w:sz="1"/>
            </w:tcBorders>
            <w:shd w:fill="F4F6F9" w:val="clear"/>
            <w:tcMar>
              <w:top w:type="dxa" w:w="50"/>
              <w:left w:type="dxa" w:w="90"/>
              <w:bottom w:type="dxa" w:w="50"/>
              <w:right w:type="dxa" w:w="90"/>
            </w:tcMar>
            <w:vAlign w:val="center"/>
          </w:tcPr>
          <w:p>
            <w:pPr>
              <w:spacing w:after="0" w:line="264"/>
              <w:jc w:val="center"/>
            </w:pPr>
            <w:r>
              <w:rPr>
                <w:rFonts w:ascii="Georgia" w:cs="Georgia" w:eastAsia="Georgia" w:hAnsi="Georgia"/>
                <w:b w:val="false"/>
                <w:bCs w:val="false"/>
                <w:color w:val="1A1A1A"/>
                <w:sz w:val="17"/>
                <w:szCs w:val="17"/>
              </w:rPr>
              <w:t xml:space="preserve">$11,250</w:t>
            </w:r>
          </w:p>
        </w:tc>
        <w:tc>
          <w:tcPr>
            <w:tcW w:type="dxa" w:w="3460"/>
            <w:tcBorders>
              <w:top w:val="single" w:color="C4CFD9" w:sz="1"/>
              <w:left w:val="single" w:color="C4CFD9" w:sz="1"/>
              <w:bottom w:val="single" w:color="C4CFD9" w:sz="1"/>
              <w:right w:val="single" w:color="C4CFD9" w:sz="1"/>
            </w:tcBorders>
            <w:shd w:fill="F4F6F9"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Enhanced catch-up band</w:t>
            </w:r>
          </w:p>
        </w:tc>
      </w:tr>
      <w:tr>
        <w:tc>
          <w:tcPr>
            <w:tcW w:type="dxa" w:w="4200"/>
            <w:tcBorders>
              <w:top w:val="single" w:color="C4CFD9" w:sz="1"/>
              <w:left w:val="single" w:color="C4CFD9" w:sz="1"/>
              <w:bottom w:val="single" w:color="C4CFD9" w:sz="1"/>
              <w:right w:val="single" w:color="C4CFD9" w:sz="1"/>
            </w:tcBorders>
            <w:shd w:fill="FFFFFF"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IRA (traditional or Roth)</w:t>
            </w:r>
          </w:p>
        </w:tc>
        <w:tc>
          <w:tcPr>
            <w:tcW w:type="dxa" w:w="1700"/>
            <w:tcBorders>
              <w:top w:val="single" w:color="C4CFD9" w:sz="1"/>
              <w:left w:val="single" w:color="C4CFD9" w:sz="1"/>
              <w:bottom w:val="single" w:color="C4CFD9" w:sz="1"/>
              <w:right w:val="single" w:color="C4CFD9" w:sz="1"/>
            </w:tcBorders>
            <w:shd w:fill="FFFFFF" w:val="clear"/>
            <w:tcMar>
              <w:top w:type="dxa" w:w="50"/>
              <w:left w:type="dxa" w:w="90"/>
              <w:bottom w:type="dxa" w:w="50"/>
              <w:right w:type="dxa" w:w="90"/>
            </w:tcMar>
            <w:vAlign w:val="center"/>
          </w:tcPr>
          <w:p>
            <w:pPr>
              <w:spacing w:after="0" w:line="264"/>
              <w:jc w:val="center"/>
            </w:pPr>
            <w:r>
              <w:rPr>
                <w:rFonts w:ascii="Georgia" w:cs="Georgia" w:eastAsia="Georgia" w:hAnsi="Georgia"/>
                <w:b w:val="false"/>
                <w:bCs w:val="false"/>
                <w:color w:val="1A1A1A"/>
                <w:sz w:val="17"/>
                <w:szCs w:val="17"/>
              </w:rPr>
              <w:t xml:space="preserve">$7,500</w:t>
            </w:r>
          </w:p>
        </w:tc>
        <w:tc>
          <w:tcPr>
            <w:tcW w:type="dxa" w:w="3460"/>
            <w:tcBorders>
              <w:top w:val="single" w:color="C4CFD9" w:sz="1"/>
              <w:left w:val="single" w:color="C4CFD9" w:sz="1"/>
              <w:bottom w:val="single" w:color="C4CFD9" w:sz="1"/>
              <w:right w:val="single" w:color="C4CFD9" w:sz="1"/>
            </w:tcBorders>
            <w:shd w:fill="FFFFFF"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Single Roth phase-out applies at higher income</w:t>
            </w:r>
          </w:p>
        </w:tc>
      </w:tr>
      <w:tr>
        <w:tc>
          <w:tcPr>
            <w:tcW w:type="dxa" w:w="4200"/>
            <w:tcBorders>
              <w:top w:val="single" w:color="C4CFD9" w:sz="1"/>
              <w:left w:val="single" w:color="C4CFD9" w:sz="1"/>
              <w:bottom w:val="single" w:color="C4CFD9" w:sz="1"/>
              <w:right w:val="single" w:color="C4CFD9" w:sz="1"/>
            </w:tcBorders>
            <w:shd w:fill="F4F6F9"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SEP-IRA (employer)</w:t>
            </w:r>
          </w:p>
        </w:tc>
        <w:tc>
          <w:tcPr>
            <w:tcW w:type="dxa" w:w="1700"/>
            <w:tcBorders>
              <w:top w:val="single" w:color="C4CFD9" w:sz="1"/>
              <w:left w:val="single" w:color="C4CFD9" w:sz="1"/>
              <w:bottom w:val="single" w:color="C4CFD9" w:sz="1"/>
              <w:right w:val="single" w:color="C4CFD9" w:sz="1"/>
            </w:tcBorders>
            <w:shd w:fill="F4F6F9" w:val="clear"/>
            <w:tcMar>
              <w:top w:type="dxa" w:w="50"/>
              <w:left w:type="dxa" w:w="90"/>
              <w:bottom w:type="dxa" w:w="50"/>
              <w:right w:type="dxa" w:w="90"/>
            </w:tcMar>
            <w:vAlign w:val="center"/>
          </w:tcPr>
          <w:p>
            <w:pPr>
              <w:spacing w:after="0" w:line="264"/>
              <w:jc w:val="center"/>
            </w:pPr>
            <w:r>
              <w:rPr>
                <w:rFonts w:ascii="Georgia" w:cs="Georgia" w:eastAsia="Georgia" w:hAnsi="Georgia"/>
                <w:b w:val="false"/>
                <w:bCs w:val="false"/>
                <w:color w:val="1A1A1A"/>
                <w:sz w:val="17"/>
                <w:szCs w:val="17"/>
              </w:rPr>
              <w:t xml:space="preserve">$72,000</w:t>
            </w:r>
          </w:p>
        </w:tc>
        <w:tc>
          <w:tcPr>
            <w:tcW w:type="dxa" w:w="3460"/>
            <w:tcBorders>
              <w:top w:val="single" w:color="C4CFD9" w:sz="1"/>
              <w:left w:val="single" w:color="C4CFD9" w:sz="1"/>
              <w:bottom w:val="single" w:color="C4CFD9" w:sz="1"/>
              <w:right w:val="single" w:color="C4CFD9" w:sz="1"/>
            </w:tcBorders>
            <w:shd w:fill="F4F6F9"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Up to 25% of compensation, within the cap</w:t>
            </w:r>
          </w:p>
        </w:tc>
      </w:tr>
      <w:tr>
        <w:tc>
          <w:tcPr>
            <w:tcW w:type="dxa" w:w="4200"/>
            <w:tcBorders>
              <w:top w:val="single" w:color="C4CFD9" w:sz="1"/>
              <w:left w:val="single" w:color="C4CFD9" w:sz="1"/>
              <w:bottom w:val="single" w:color="C4CFD9" w:sz="1"/>
              <w:right w:val="single" w:color="C4CFD9" w:sz="1"/>
            </w:tcBorders>
            <w:shd w:fill="FFFFFF"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HSA (self-only)</w:t>
            </w:r>
          </w:p>
        </w:tc>
        <w:tc>
          <w:tcPr>
            <w:tcW w:type="dxa" w:w="1700"/>
            <w:tcBorders>
              <w:top w:val="single" w:color="C4CFD9" w:sz="1"/>
              <w:left w:val="single" w:color="C4CFD9" w:sz="1"/>
              <w:bottom w:val="single" w:color="C4CFD9" w:sz="1"/>
              <w:right w:val="single" w:color="C4CFD9" w:sz="1"/>
            </w:tcBorders>
            <w:shd w:fill="FFFFFF" w:val="clear"/>
            <w:tcMar>
              <w:top w:type="dxa" w:w="50"/>
              <w:left w:type="dxa" w:w="90"/>
              <w:bottom w:type="dxa" w:w="50"/>
              <w:right w:type="dxa" w:w="90"/>
            </w:tcMar>
            <w:vAlign w:val="center"/>
          </w:tcPr>
          <w:p>
            <w:pPr>
              <w:spacing w:after="0" w:line="264"/>
              <w:jc w:val="center"/>
            </w:pPr>
            <w:r>
              <w:rPr>
                <w:rFonts w:ascii="Georgia" w:cs="Georgia" w:eastAsia="Georgia" w:hAnsi="Georgia"/>
                <w:b w:val="false"/>
                <w:bCs w:val="false"/>
                <w:color w:val="1A1A1A"/>
                <w:sz w:val="17"/>
                <w:szCs w:val="17"/>
              </w:rPr>
              <w:t xml:space="preserve">$4,300</w:t>
            </w:r>
          </w:p>
        </w:tc>
        <w:tc>
          <w:tcPr>
            <w:tcW w:type="dxa" w:w="3460"/>
            <w:tcBorders>
              <w:top w:val="single" w:color="C4CFD9" w:sz="1"/>
              <w:left w:val="single" w:color="C4CFD9" w:sz="1"/>
              <w:bottom w:val="single" w:color="C4CFD9" w:sz="1"/>
              <w:right w:val="single" w:color="C4CFD9" w:sz="1"/>
            </w:tcBorders>
            <w:shd w:fill="FFFFFF"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Requires a qualifying high-deductible plan</w:t>
            </w:r>
          </w:p>
        </w:tc>
      </w:tr>
    </w:tbl>
    <w:p>
      <w:pPr>
        <w:spacing w:after="140" w:before="40"/>
        <w:jc w:val="left"/>
      </w:pPr>
      <w:r>
        <w:rPr>
          <w:rFonts w:ascii="Georgia" w:cs="Georgia" w:eastAsia="Georgia" w:hAnsi="Georgia"/>
          <w:i/>
          <w:iCs/>
          <w:color w:val="555555"/>
          <w:sz w:val="17"/>
          <w:szCs w:val="17"/>
        </w:rPr>
        <w:t xml:space="preserve">Source: Internal Revenue Service (2025a, 2025b), 2026 cost-of-living adjustments (Notice 2025-67). A new rule requires higher-earning participants to make catch-up contributions on a Roth basis. Figures are statutory maxima, not targets.</w:t>
      </w:r>
    </w:p>
    <w:p>
      <w:pPr>
        <w:spacing w:after="120" w:line="300"/>
        <w:ind w:firstLine="360"/>
        <w:jc w:val="both"/>
      </w:pPr>
      <w:r>
        <w:rPr>
          <w:rFonts w:ascii="Georgia" w:cs="Georgia" w:eastAsia="Georgia" w:hAnsi="Georgia"/>
          <w:color w:val="1A1A1A"/>
          <w:sz w:val="21"/>
          <w:szCs w:val="21"/>
        </w:rPr>
        <w:t xml:space="preserve">Each defined-contribution dollar may be contributed on a traditional (pre-tax, taxed on withdrawal) or Roth (after-tax, tax-free on qualified withdrawal) basis, and the choice between them is a bet on the relationship between one’s current and future marginal tax rates. For a young saver in a low bracket, the Roth treatment is generally advantageous, because it locks in a low rate now and shelters decades of growth from taxation; the tax-diversification literature nonetheless cautions that holding both types hedges the uncertainty about future tax rates and tax policy.</w:t>
      </w:r>
    </w:p>
    <w:p>
      <w:pPr>
        <w:pStyle w:val="Heading2"/>
        <w:spacing w:after="120" w:before="240"/>
      </w:pPr>
      <w:r>
        <w:t xml:space="preserve">11.2  The primacy of the employer match</w:t>
      </w:r>
    </w:p>
    <w:p>
      <w:pPr>
        <w:spacing w:after="120" w:line="300"/>
        <w:jc w:val="both"/>
      </w:pPr>
      <w:r>
        <w:rPr>
          <w:rFonts w:ascii="Georgia" w:cs="Georgia" w:eastAsia="Georgia" w:hAnsi="Georgia"/>
          <w:color w:val="1A1A1A"/>
          <w:sz w:val="21"/>
          <w:szCs w:val="21"/>
        </w:rPr>
        <w:t xml:space="preserve">Where an employer or service matches employee contributions, capturing that match is the highest-return action available in the entire accumulation problem, because a dollar-for-dollar match is an immediate, riskless hundred-percent return that no market investment can promise. Matching formulas vary, and are frequently subject to vesting schedules that condition ownership of the employer contribution on tenure, but the analytical priority is unambiguous: fund at least to the full match before directing dollars anywhere else. The reserve-component retirement system furnishes a concrete example, automatically contributing a percentage of basic pay and matching further employee contributions up to a capped total, with the automatic contributions vesting after a service threshold (Defense Finance and Accounting Service, 2024; Thrift Savings Plan, 2025). The behavioral literature further shows that automatic enrollment and automatic escalation of contributions raise participation and saving dramatically, so that plan defaults and inertia shape retirement outcomes as powerfully as the matching formulas themselves (Madrian and Shea, 2001; Thaler and Benartzi, 2004; Benartzi and Thaler, 2007).</w:t>
      </w:r>
    </w:p>
    <w:p>
      <w:pPr>
        <w:pStyle w:val="Heading2"/>
        <w:spacing w:after="120" w:before="240"/>
      </w:pPr>
      <w:r>
        <w:t xml:space="preserve">11.3  Vehicles for self-directed income</w:t>
      </w:r>
    </w:p>
    <w:p>
      <w:pPr>
        <w:spacing w:after="120" w:line="300"/>
        <w:jc w:val="both"/>
      </w:pPr>
      <w:r>
        <w:rPr>
          <w:rFonts w:ascii="Georgia" w:cs="Georgia" w:eastAsia="Georgia" w:hAnsi="Georgia"/>
          <w:color w:val="1A1A1A"/>
          <w:sz w:val="21"/>
          <w:szCs w:val="21"/>
        </w:rPr>
        <w:t xml:space="preserve">The self-employed—including the technology entrepreneur—have access to plans that shelter far more than an individual retirement account alone. A solo defined-contribution plan permits contributions in two capacities, as employee (up to the elective-deferral limit) and as employer (a share of net business income), within the overall additions cap, and it may offer a Roth sub-account. A simplified employer plan permits employer contributions of up to a quarter of compensation with minimal administration. These vehicles allow business income to be converted into tax-advantaged retirement saving before it is taxed as ordinary income, which is one of the underappreciated financial advantages of proprietorship.</w:t>
      </w:r>
    </w:p>
    <w:p>
      <w:pPr>
        <w:pStyle w:val="Heading2"/>
        <w:spacing w:after="120" w:before="240"/>
      </w:pPr>
      <w:r>
        <w:t xml:space="preserve">11.4  The health savings account as a retirement vehicle</w:t>
      </w:r>
    </w:p>
    <w:p>
      <w:pPr>
        <w:spacing w:after="120" w:line="300"/>
        <w:jc w:val="both"/>
      </w:pPr>
      <w:r>
        <w:rPr>
          <w:rFonts w:ascii="Georgia" w:cs="Georgia" w:eastAsia="Georgia" w:hAnsi="Georgia"/>
          <w:color w:val="1A1A1A"/>
          <w:sz w:val="21"/>
          <w:szCs w:val="21"/>
        </w:rPr>
        <w:t xml:space="preserve">As noted in Section 4, the health savings account carries a triple tax advantage that, when the account is funded and invested rather than spent on current medical costs, makes it a uniquely efficient supplemental retirement vehicle; after a threshold age it permits penalty-free non-medical withdrawals taxed as ordinary income, so that it behaves like a traditional retirement account with an additional tax-free channel for medical spending. Its use in this role is conditional on eligibility for a qualifying high-deductible health plan, which not every household has, and which the pooled reserve-component plan discussed earlier does not provide.</w:t>
      </w:r>
    </w:p>
    <w:p>
      <w:pPr>
        <w:pStyle w:val="Heading2"/>
        <w:spacing w:after="120" w:before="240"/>
      </w:pPr>
      <w:r>
        <w:t xml:space="preserve">11.5  Portfolio construction: the case for low-cost indexing</w:t>
      </w:r>
    </w:p>
    <w:p>
      <w:pPr>
        <w:spacing w:after="120" w:line="300"/>
        <w:jc w:val="both"/>
      </w:pPr>
      <w:r>
        <w:rPr>
          <w:rFonts w:ascii="Georgia" w:cs="Georgia" w:eastAsia="Georgia" w:hAnsi="Georgia"/>
          <w:color w:val="1A1A1A"/>
          <w:sz w:val="21"/>
          <w:szCs w:val="21"/>
        </w:rPr>
        <w:t xml:space="preserve">How accumulated assets should be invested is among the most thoroughly studied questions in finance, and the evidence converges on a unifying conclusion: costs are the most reliable predictor of net returns, and broad, low-cost, passively managed index funds outperform the majority of actively managed alternatives over long horizons. The theoretical argument is Sharpe’s (1991) “arithmetic of active management”—before costs, the average actively managed dollar must earn the market return, so after costs it must underperform the market in aggregate—reinforced by the empirical asset-pricing literature on the difficulty of persistent outperformance (Jensen, 1968; Carhart, 1997; Malkiel, 2003; Fama and French, 1993, 2010; Barber and Odean, 2000; Bogle, 2017).</w:t>
      </w:r>
    </w:p>
    <w:p>
      <w:pPr>
        <w:spacing w:after="120" w:line="300"/>
        <w:ind w:firstLine="360"/>
        <w:jc w:val="both"/>
      </w:pPr>
      <w:r>
        <w:rPr>
          <w:rFonts w:ascii="Georgia" w:cs="Georgia" w:eastAsia="Georgia" w:hAnsi="Georgia"/>
          <w:color w:val="1A1A1A"/>
          <w:sz w:val="21"/>
          <w:szCs w:val="21"/>
        </w:rPr>
        <w:t xml:space="preserve">The most systematic ongoing measurement, the SPIVA scorecards, finds that a substantial majority of active U.S. equity funds underperform their benchmarks over the long run: on the order of two-thirds fail to beat the large-capitalization benchmark over a single recent year, and roughly nine in ten fail over fifteen-year horizons, with the scorecard reporting no U.S. equity category in which a majority of active managers outperformed over the fifteen-year window (S&amp;P Dow Jones Indices, 2025). Intellectual honesty requires noting a scholarly counter-argument: critics contend that the equal-weighting and survivorship conventions of such scorecards understate active performance, and that the gap narrows under alternative methodologies (Cremers, Fulkerson, and Riley, 2019). The balance of evidence nonetheless supports low-cost indexing as the default for the household investor, precisely because it does not require identifying the minority of managers who outperform in advance.</w:t>
      </w:r>
    </w:p>
    <w:p>
      <w:pPr>
        <w:pStyle w:val="Heading2"/>
        <w:spacing w:after="120" w:before="240"/>
      </w:pPr>
      <w:r>
        <w:t xml:space="preserve">11.6  The arithmetic of compounding</w:t>
      </w:r>
    </w:p>
    <w:p>
      <w:pPr>
        <w:spacing w:after="120" w:line="300"/>
        <w:jc w:val="both"/>
      </w:pPr>
      <w:r>
        <w:rPr>
          <w:rFonts w:ascii="Georgia" w:cs="Georgia" w:eastAsia="Georgia" w:hAnsi="Georgia"/>
          <w:color w:val="1A1A1A"/>
          <w:sz w:val="21"/>
          <w:szCs w:val="21"/>
        </w:rPr>
        <w:t xml:space="preserve">The final element of the accumulation problem is time. Because returns compound, a contribution made early in life produces a far larger terminal balance than an identical contribution made later, and the difference is often startlingly large across a multi-decade horizon (U.S. Securities and Exchange Commission, 2024a; Skinner, 2007; Poterba, Venti, and Wise, 2011). For the emerging-adult population this is the single most valuable structural advantage available—a long horizon—and it reframes even modest early contributions as high-value commitments rather than trivial ones. The unbundling argument of Section 5 and the compounding arithmetic here are two halves of one proposition: keep protection cheap and separate, and route the savings into low-cost, tax-advantaged accounts as early as possible.</w:t>
      </w:r>
    </w:p>
    <w:tbl>
      <w:tblPr>
        <w:tblW w:type="dxa" w:w="9360"/>
        <w:tblBorders>
          <w:top w:val="single" w:color="F2F5F8" w:sz="1"/>
          <w:left w:val="single" w:color="2E5077" w:sz="22"/>
          <w:bottom w:val="single" w:color="F2F5F8" w:sz="1"/>
          <w:right w:val="single" w:color="F2F5F8" w:sz="1"/>
          <w:insideH w:val="single" w:color="auto" w:sz="4"/>
          <w:insideV w:val="single" w:color="auto" w:sz="4"/>
        </w:tblBorders>
      </w:tblPr>
      <w:tblGrid>
        <w:gridCol w:w="9360"/>
      </w:tblGrid>
      <w:tr>
        <w:tc>
          <w:tcPr>
            <w:tcW w:type="dxa" w:w="9360"/>
            <w:shd w:fill="F2F5F8" w:val="clear"/>
            <w:tcMar>
              <w:top w:type="dxa" w:w="130"/>
              <w:left w:type="dxa" w:w="200"/>
              <w:bottom w:type="dxa" w:w="130"/>
              <w:right w:type="dxa" w:w="170"/>
            </w:tcMar>
          </w:tcPr>
          <w:p>
            <w:pPr>
              <w:spacing w:after="70"/>
            </w:pPr>
            <w:r>
              <w:rPr>
                <w:rFonts w:ascii="Georgia" w:cs="Georgia" w:eastAsia="Georgia" w:hAnsi="Georgia"/>
                <w:b/>
                <w:bCs/>
                <w:color w:val="1F3A5F"/>
                <w:sz w:val="20"/>
                <w:szCs w:val="20"/>
              </w:rPr>
              <w:t xml:space="preserve">Summary of Section 11</w:t>
            </w:r>
          </w:p>
          <w:p>
            <w:pPr>
              <w:spacing w:after="40" w:line="288"/>
              <w:jc w:val="both"/>
            </w:pPr>
            <w:r>
              <w:rPr>
                <w:rFonts w:ascii="Georgia" w:cs="Georgia" w:eastAsia="Georgia" w:hAnsi="Georgia"/>
                <w:color w:val="1A1A1A"/>
                <w:sz w:val="20"/>
                <w:szCs w:val="20"/>
              </w:rPr>
              <w:t xml:space="preserve">Accumulation runs through a tiered system of tax-advantaged accounts with defined 2026 limits. Capturing any employer match comes first, as a riskless hundred-percent return; Roth treatment generally suits young, low-bracket savers; the self-employed and HSA-eligible have additional sheltering capacity. Assets should be invested in low-cost index funds, which outperform most active management over long horizons, and contributed as early as possible to exploit compounding.</w:t>
            </w:r>
          </w:p>
        </w:tc>
      </w:tr>
    </w:tbl>
    <w:p>
      <w:r>
        <w:br w:type="page"/>
      </w:r>
    </w:p>
    <w:p>
      <w:pPr>
        <w:pStyle w:val="Heading1"/>
        <w:spacing w:after="160" w:before="340"/>
      </w:pPr>
      <w:r>
        <w:t xml:space="preserve">12  The Annuity Puzzle and Decumulation</w:t>
      </w:r>
    </w:p>
    <w:p>
      <w:pPr>
        <w:pBdr>
          <w:bottom w:val="single" w:color="6B4F2A" w:sz="6" w:space="1"/>
        </w:pBdr>
        <w:spacing w:after="140"/>
      </w:pPr>
      <w:r>
        <w:rPr>
          <w:rFonts w:ascii="Georgia" w:cs="Georgia" w:eastAsia="Georgia" w:hAnsi="Georgia"/>
          <w:color w:val="1A1A1A"/>
          <w:sz w:val="21"/>
          <w:szCs w:val="21"/>
        </w:rPr>
        <w:t xml:space="preserve"/>
      </w:r>
    </w:p>
    <w:p>
      <w:pPr>
        <w:spacing w:after="120" w:line="300"/>
        <w:jc w:val="both"/>
      </w:pPr>
      <w:r>
        <w:rPr>
          <w:rFonts w:ascii="Georgia" w:cs="Georgia" w:eastAsia="Georgia" w:hAnsi="Georgia"/>
          <w:color w:val="1A1A1A"/>
          <w:sz w:val="21"/>
          <w:szCs w:val="21"/>
        </w:rPr>
        <w:t xml:space="preserve">Accumulation eventually gives way to decumulation—the conversion of a stock of wealth into a stream of retirement income under uncertainty about the length of life. The instrument designed for this problem is the life annuity, and the gap between its theoretical appeal and its observed use is one of the celebrated puzzles of household finance. Resolving that puzzle clarifies where annuities belong in a lifetime plan and, by implication, where they do not.</w:t>
      </w:r>
    </w:p>
    <w:p>
      <w:pPr>
        <w:pStyle w:val="Heading2"/>
        <w:spacing w:after="120" w:before="240"/>
      </w:pPr>
      <w:r>
        <w:t xml:space="preserve">12.1  The theoretical case for annuitization</w:t>
      </w:r>
    </w:p>
    <w:p>
      <w:pPr>
        <w:spacing w:after="120" w:line="300"/>
        <w:jc w:val="both"/>
      </w:pPr>
      <w:r>
        <w:rPr>
          <w:rFonts w:ascii="Georgia" w:cs="Georgia" w:eastAsia="Georgia" w:hAnsi="Georgia"/>
          <w:color w:val="1A1A1A"/>
          <w:sz w:val="21"/>
          <w:szCs w:val="21"/>
        </w:rPr>
        <w:t xml:space="preserve">The foundational result is Yaari’s (1965): a life-cycle consumer with no bequest motive and access to actuarially fair annuities should annuitize all of her wealth, because an annuity dominates conventional assets for such a consumer—it pays a survival premium funded by the pooled assets of those who die, delivering a higher return in every state in which the consumer is alive to enjoy it. Davidoff, Brown, and Diamond (2005) substantially generalized the result, showing that full or at least substantial annuitization remains optimal under far weaker conditions than Yaari assumed—incomplete markets and a wide range of preferences—so long as the annuity offers a return premium over conventional assets and the consumer lacks a bequest motive. Longevity risk, in this framing, is exactly the kind of risk insurance exists to pool: the individual cannot diversify her own uncertain lifespan, but a pool of annuitants can.</w:t>
      </w:r>
    </w:p>
    <w:p>
      <w:pPr>
        <w:pStyle w:val="Heading2"/>
        <w:spacing w:after="120" w:before="240"/>
      </w:pPr>
      <w:r>
        <w:t xml:space="preserve">12.2  The puzzle of low take-up</w:t>
      </w:r>
    </w:p>
    <w:p>
      <w:pPr>
        <w:spacing w:after="120" w:line="300"/>
        <w:jc w:val="both"/>
      </w:pPr>
      <w:r>
        <w:rPr>
          <w:rFonts w:ascii="Georgia" w:cs="Georgia" w:eastAsia="Georgia" w:hAnsi="Georgia"/>
          <w:color w:val="1A1A1A"/>
          <w:sz w:val="21"/>
          <w:szCs w:val="21"/>
        </w:rPr>
        <w:t xml:space="preserve">Against this theoretical backdrop stands a robust empirical fact: voluntary annuitization is low, far below what the models predict (Mitchell, Poterba, Warshawsky, and Brown, 1999; Brown, 2001, 2007; Finkelstein and Poterba, 2004; Benartzi, Previtero, and Thaler, 2011). The proposed resolutions of this “annuity puzzle” include bequest motives, the presence of pre-existing annuitized wealth in the form of public pensions, precautionary demand for liquidity against health shocks, adverse selection that raises annuity prices, and a range of behavioral and framing factors that make annuitization psychologically unattractive even when it is financially advantageous. The puzzle matters here because its resolution locates annuities precisely: they are instruments for the decumulation phase, addressing longevity risk for a retiree, and their low take-up reflects frictions and competing motives rather than any defect in the underlying logic of longevity pooling.</w:t>
      </w:r>
    </w:p>
    <w:p>
      <w:pPr>
        <w:pStyle w:val="Heading2"/>
        <w:spacing w:after="120" w:before="240"/>
      </w:pPr>
      <w:r>
        <w:t xml:space="preserve">12.3  Annuity types and their costs</w:t>
      </w:r>
    </w:p>
    <w:p>
      <w:pPr>
        <w:spacing w:after="120" w:line="300"/>
        <w:jc w:val="both"/>
      </w:pPr>
      <w:r>
        <w:rPr>
          <w:rFonts w:ascii="Georgia" w:cs="Georgia" w:eastAsia="Georgia" w:hAnsi="Georgia"/>
          <w:color w:val="1A1A1A"/>
          <w:sz w:val="21"/>
          <w:szCs w:val="21"/>
        </w:rPr>
        <w:t xml:space="preserve">The annuity market offers several distinct products, and conflating them is a common source of confusion. A fixed annuity pays a guaranteed rate and functions as a conservative, insured savings or income instrument. A variable annuity invests in market sub-accounts and carries mortality-and-expense, administrative, and rider charges that can materially erode returns. An indexed annuity credits a return linked to a market index subject to caps, participation rates, and floors, through crediting formulas whose complexity is itself a hazard for the buyer. A single-premium immediate annuity converts a lump sum into income beginning at once, and is the instrument that most directly implements the Yaari logic of longevity pooling. Regulators emphasize that the fees and surrender charges embedded in the more complex products—particularly variable and indexed annuities—can be substantial and are easily overlooked, and that suitability depends on matching the product to a genuine decumulation need (U.S. Securities and Exchange Commission, 2024b; Financial Industry Regulatory Authority, 2023; National Association of Insurance Commissioners, 2023).</w:t>
      </w:r>
    </w:p>
    <w:p>
      <w:pPr>
        <w:spacing w:after="20"/>
      </w:pPr>
      <w:r>
        <w:rPr>
          <w:rFonts w:ascii="Georgia" w:cs="Georgia" w:eastAsia="Georgia" w:hAnsi="Georgia"/>
          <w:color w:val="1A1A1A"/>
          <w:sz w:val="21"/>
          <w:szCs w:val="21"/>
        </w:rPr>
        <w:t xml:space="preserve"/>
      </w:r>
    </w:p>
    <w:p>
      <w:pPr>
        <w:spacing w:after="60" w:before="60"/>
      </w:pPr>
      <w:r>
        <w:rPr>
          <w:rFonts w:ascii="Georgia" w:cs="Georgia" w:eastAsia="Georgia" w:hAnsi="Georgia"/>
          <w:b/>
          <w:bCs/>
          <w:color w:val="1F3A5F"/>
          <w:sz w:val="18"/>
          <w:szCs w:val="18"/>
        </w:rPr>
        <w:t xml:space="preserve">Table 12.1  Annuity types, mechanics, and appropriate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50"/>
        <w:gridCol w:w="4210"/>
        <w:gridCol w:w="3500"/>
      </w:tblGrid>
      <w:tr>
        <w:trPr>
          <w:tblHeader/>
        </w:trPr>
        <w:tc>
          <w:tcPr>
            <w:tcW w:type="dxa" w:w="1650"/>
            <w:tcBorders>
              <w:top w:val="single" w:color="C4CFD9" w:sz="1"/>
              <w:left w:val="single" w:color="C4CFD9" w:sz="1"/>
              <w:bottom w:val="single" w:color="C4CFD9" w:sz="1"/>
              <w:right w:val="single" w:color="C4CFD9" w:sz="1"/>
            </w:tcBorders>
            <w:shd w:fill="1F3A5F" w:val="clear"/>
            <w:tcMar>
              <w:top w:type="dxa" w:w="60"/>
              <w:left w:type="dxa" w:w="90"/>
              <w:bottom w:type="dxa" w:w="60"/>
              <w:right w:type="dxa" w:w="90"/>
            </w:tcMar>
            <w:vAlign w:val="center"/>
          </w:tcPr>
          <w:p>
            <w:pPr>
              <w:spacing w:after="0"/>
              <w:jc w:val="left"/>
            </w:pPr>
            <w:r>
              <w:rPr>
                <w:rFonts w:ascii="Georgia" w:cs="Georgia" w:eastAsia="Georgia" w:hAnsi="Georgia"/>
                <w:b/>
                <w:bCs/>
                <w:color w:val="FFFFFF"/>
                <w:sz w:val="18"/>
                <w:szCs w:val="18"/>
              </w:rPr>
              <w:t xml:space="preserve">Type</w:t>
            </w:r>
          </w:p>
        </w:tc>
        <w:tc>
          <w:tcPr>
            <w:tcW w:type="dxa" w:w="4210"/>
            <w:tcBorders>
              <w:top w:val="single" w:color="C4CFD9" w:sz="1"/>
              <w:left w:val="single" w:color="C4CFD9" w:sz="1"/>
              <w:bottom w:val="single" w:color="C4CFD9" w:sz="1"/>
              <w:right w:val="single" w:color="C4CFD9" w:sz="1"/>
            </w:tcBorders>
            <w:shd w:fill="1F3A5F" w:val="clear"/>
            <w:tcMar>
              <w:top w:type="dxa" w:w="60"/>
              <w:left w:type="dxa" w:w="90"/>
              <w:bottom w:type="dxa" w:w="60"/>
              <w:right w:type="dxa" w:w="90"/>
            </w:tcMar>
            <w:vAlign w:val="center"/>
          </w:tcPr>
          <w:p>
            <w:pPr>
              <w:spacing w:after="0"/>
              <w:jc w:val="left"/>
            </w:pPr>
            <w:r>
              <w:rPr>
                <w:rFonts w:ascii="Georgia" w:cs="Georgia" w:eastAsia="Georgia" w:hAnsi="Georgia"/>
                <w:b/>
                <w:bCs/>
                <w:color w:val="FFFFFF"/>
                <w:sz w:val="18"/>
                <w:szCs w:val="18"/>
              </w:rPr>
              <w:t xml:space="preserve">Mechanics</w:t>
            </w:r>
          </w:p>
        </w:tc>
        <w:tc>
          <w:tcPr>
            <w:tcW w:type="dxa" w:w="3500"/>
            <w:tcBorders>
              <w:top w:val="single" w:color="C4CFD9" w:sz="1"/>
              <w:left w:val="single" w:color="C4CFD9" w:sz="1"/>
              <w:bottom w:val="single" w:color="C4CFD9" w:sz="1"/>
              <w:right w:val="single" w:color="C4CFD9" w:sz="1"/>
            </w:tcBorders>
            <w:shd w:fill="1F3A5F" w:val="clear"/>
            <w:tcMar>
              <w:top w:type="dxa" w:w="60"/>
              <w:left w:type="dxa" w:w="90"/>
              <w:bottom w:type="dxa" w:w="60"/>
              <w:right w:type="dxa" w:w="90"/>
            </w:tcMar>
            <w:vAlign w:val="center"/>
          </w:tcPr>
          <w:p>
            <w:pPr>
              <w:spacing w:after="0"/>
              <w:jc w:val="left"/>
            </w:pPr>
            <w:r>
              <w:rPr>
                <w:rFonts w:ascii="Georgia" w:cs="Georgia" w:eastAsia="Georgia" w:hAnsi="Georgia"/>
                <w:b/>
                <w:bCs/>
                <w:color w:val="FFFFFF"/>
                <w:sz w:val="18"/>
                <w:szCs w:val="18"/>
              </w:rPr>
              <w:t xml:space="preserve">Appropriate use</w:t>
            </w:r>
          </w:p>
        </w:tc>
      </w:tr>
      <w:tr>
        <w:tc>
          <w:tcPr>
            <w:tcW w:type="dxa" w:w="1650"/>
            <w:tcBorders>
              <w:top w:val="single" w:color="C4CFD9" w:sz="1"/>
              <w:left w:val="single" w:color="C4CFD9" w:sz="1"/>
              <w:bottom w:val="single" w:color="C4CFD9" w:sz="1"/>
              <w:right w:val="single" w:color="C4CFD9" w:sz="1"/>
            </w:tcBorders>
            <w:shd w:fill="FFFFFF"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Fixed</w:t>
            </w:r>
          </w:p>
        </w:tc>
        <w:tc>
          <w:tcPr>
            <w:tcW w:type="dxa" w:w="4210"/>
            <w:tcBorders>
              <w:top w:val="single" w:color="C4CFD9" w:sz="1"/>
              <w:left w:val="single" w:color="C4CFD9" w:sz="1"/>
              <w:bottom w:val="single" w:color="C4CFD9" w:sz="1"/>
              <w:right w:val="single" w:color="C4CFD9" w:sz="1"/>
            </w:tcBorders>
            <w:shd w:fill="FFFFFF"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Guaranteed interest rate; principal protected</w:t>
            </w:r>
          </w:p>
        </w:tc>
        <w:tc>
          <w:tcPr>
            <w:tcW w:type="dxa" w:w="3500"/>
            <w:tcBorders>
              <w:top w:val="single" w:color="C4CFD9" w:sz="1"/>
              <w:left w:val="single" w:color="C4CFD9" w:sz="1"/>
              <w:bottom w:val="single" w:color="C4CFD9" w:sz="1"/>
              <w:right w:val="single" w:color="C4CFD9" w:sz="1"/>
            </w:tcBorders>
            <w:shd w:fill="FFFFFF"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Conservative insured income in decumulation</w:t>
            </w:r>
          </w:p>
        </w:tc>
      </w:tr>
      <w:tr>
        <w:tc>
          <w:tcPr>
            <w:tcW w:type="dxa" w:w="1650"/>
            <w:tcBorders>
              <w:top w:val="single" w:color="C4CFD9" w:sz="1"/>
              <w:left w:val="single" w:color="C4CFD9" w:sz="1"/>
              <w:bottom w:val="single" w:color="C4CFD9" w:sz="1"/>
              <w:right w:val="single" w:color="C4CFD9" w:sz="1"/>
            </w:tcBorders>
            <w:shd w:fill="F4F6F9"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Variable</w:t>
            </w:r>
          </w:p>
        </w:tc>
        <w:tc>
          <w:tcPr>
            <w:tcW w:type="dxa" w:w="4210"/>
            <w:tcBorders>
              <w:top w:val="single" w:color="C4CFD9" w:sz="1"/>
              <w:left w:val="single" w:color="C4CFD9" w:sz="1"/>
              <w:bottom w:val="single" w:color="C4CFD9" w:sz="1"/>
              <w:right w:val="single" w:color="C4CFD9" w:sz="1"/>
            </w:tcBorders>
            <w:shd w:fill="F4F6F9"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Market sub-accounts; layered fees and riders</w:t>
            </w:r>
          </w:p>
        </w:tc>
        <w:tc>
          <w:tcPr>
            <w:tcW w:type="dxa" w:w="3500"/>
            <w:tcBorders>
              <w:top w:val="single" w:color="C4CFD9" w:sz="1"/>
              <w:left w:val="single" w:color="C4CFD9" w:sz="1"/>
              <w:bottom w:val="single" w:color="C4CFD9" w:sz="1"/>
              <w:right w:val="single" w:color="C4CFD9" w:sz="1"/>
            </w:tcBorders>
            <w:shd w:fill="F4F6F9"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Rarely; only after exhausting lower-cost tax-advantaged space</w:t>
            </w:r>
          </w:p>
        </w:tc>
      </w:tr>
      <w:tr>
        <w:tc>
          <w:tcPr>
            <w:tcW w:type="dxa" w:w="1650"/>
            <w:tcBorders>
              <w:top w:val="single" w:color="C4CFD9" w:sz="1"/>
              <w:left w:val="single" w:color="C4CFD9" w:sz="1"/>
              <w:bottom w:val="single" w:color="C4CFD9" w:sz="1"/>
              <w:right w:val="single" w:color="C4CFD9" w:sz="1"/>
            </w:tcBorders>
            <w:shd w:fill="FFFFFF"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Indexed</w:t>
            </w:r>
          </w:p>
        </w:tc>
        <w:tc>
          <w:tcPr>
            <w:tcW w:type="dxa" w:w="4210"/>
            <w:tcBorders>
              <w:top w:val="single" w:color="C4CFD9" w:sz="1"/>
              <w:left w:val="single" w:color="C4CFD9" w:sz="1"/>
              <w:bottom w:val="single" w:color="C4CFD9" w:sz="1"/>
              <w:right w:val="single" w:color="C4CFD9" w:sz="1"/>
            </w:tcBorders>
            <w:shd w:fill="FFFFFF"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Index-linked return with cap, participation, and floor</w:t>
            </w:r>
          </w:p>
        </w:tc>
        <w:tc>
          <w:tcPr>
            <w:tcW w:type="dxa" w:w="3500"/>
            <w:tcBorders>
              <w:top w:val="single" w:color="C4CFD9" w:sz="1"/>
              <w:left w:val="single" w:color="C4CFD9" w:sz="1"/>
              <w:bottom w:val="single" w:color="C4CFD9" w:sz="1"/>
              <w:right w:val="single" w:color="C4CFD9" w:sz="1"/>
            </w:tcBorders>
            <w:shd w:fill="FFFFFF"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Downside-averse buyers who scrutinize the crediting formula</w:t>
            </w:r>
          </w:p>
        </w:tc>
      </w:tr>
      <w:tr>
        <w:tc>
          <w:tcPr>
            <w:tcW w:type="dxa" w:w="1650"/>
            <w:tcBorders>
              <w:top w:val="single" w:color="C4CFD9" w:sz="1"/>
              <w:left w:val="single" w:color="C4CFD9" w:sz="1"/>
              <w:bottom w:val="single" w:color="C4CFD9" w:sz="1"/>
              <w:right w:val="single" w:color="C4CFD9" w:sz="1"/>
            </w:tcBorders>
            <w:shd w:fill="F4F6F9"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Immediate (SPIA)</w:t>
            </w:r>
          </w:p>
        </w:tc>
        <w:tc>
          <w:tcPr>
            <w:tcW w:type="dxa" w:w="4210"/>
            <w:tcBorders>
              <w:top w:val="single" w:color="C4CFD9" w:sz="1"/>
              <w:left w:val="single" w:color="C4CFD9" w:sz="1"/>
              <w:bottom w:val="single" w:color="C4CFD9" w:sz="1"/>
              <w:right w:val="single" w:color="C4CFD9" w:sz="1"/>
            </w:tcBorders>
            <w:shd w:fill="F4F6F9"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Lump sum converted to lifetime income now</w:t>
            </w:r>
          </w:p>
        </w:tc>
        <w:tc>
          <w:tcPr>
            <w:tcW w:type="dxa" w:w="3500"/>
            <w:tcBorders>
              <w:top w:val="single" w:color="C4CFD9" w:sz="1"/>
              <w:left w:val="single" w:color="C4CFD9" w:sz="1"/>
              <w:bottom w:val="single" w:color="C4CFD9" w:sz="1"/>
              <w:right w:val="single" w:color="C4CFD9" w:sz="1"/>
            </w:tcBorders>
            <w:shd w:fill="F4F6F9"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At or near retirement, to pool longevity risk</w:t>
            </w:r>
          </w:p>
        </w:tc>
      </w:tr>
    </w:tbl>
    <w:p>
      <w:pPr>
        <w:spacing w:after="140" w:before="40"/>
        <w:jc w:val="left"/>
      </w:pPr>
      <w:r>
        <w:rPr>
          <w:rFonts w:ascii="Georgia" w:cs="Georgia" w:eastAsia="Georgia" w:hAnsi="Georgia"/>
          <w:i/>
          <w:iCs/>
          <w:color w:val="555555"/>
          <w:sz w:val="17"/>
          <w:szCs w:val="17"/>
        </w:rPr>
        <w:t xml:space="preserve">Sources: U.S. Securities and Exchange Commission (2024b); Financial Industry Regulatory Authority (2023). The suitability of any annuity depends on a decumulation-stage need for guaranteed income and longevity protection.</w:t>
      </w:r>
    </w:p>
    <w:p>
      <w:pPr>
        <w:pStyle w:val="Heading2"/>
        <w:spacing w:after="120" w:before="240"/>
      </w:pPr>
      <w:r>
        <w:t xml:space="preserve">12.4  Implications: decumulation, not accumulation</w:t>
      </w:r>
    </w:p>
    <w:p>
      <w:pPr>
        <w:spacing w:after="120" w:line="300"/>
        <w:jc w:val="both"/>
      </w:pPr>
      <w:r>
        <w:rPr>
          <w:rFonts w:ascii="Georgia" w:cs="Georgia" w:eastAsia="Georgia" w:hAnsi="Georgia"/>
          <w:color w:val="1A1A1A"/>
          <w:sz w:val="21"/>
          <w:szCs w:val="21"/>
        </w:rPr>
        <w:t xml:space="preserve">The synthesis of theory, evidence, and product structure yields a clear placement. Annuities—above all the single-premium immediate annuity—are optimal instruments for pooling longevity risk in the decumulation phase, for a retiree seeking to secure essential expenses against the possibility of a long life. They are correspondingly ill-suited to the accumulation phase of a young saver, who gives up the equity growth and liquidity that a long horizon makes valuable in exchange for a guarantee that addresses a risk—outliving one’s assets—that is still decades away and against which the accumulation strategy of Section 11 is the appropriate preparation. The marketing of complex annuities as accumulation vehicles for the young inverts the instrument’s logic and is a reliable signal for heightened scrutiny.</w:t>
      </w:r>
    </w:p>
    <w:tbl>
      <w:tblPr>
        <w:tblW w:type="dxa" w:w="9360"/>
        <w:tblBorders>
          <w:top w:val="single" w:color="F2F5F8" w:sz="1"/>
          <w:left w:val="single" w:color="2E5077" w:sz="22"/>
          <w:bottom w:val="single" w:color="F2F5F8" w:sz="1"/>
          <w:right w:val="single" w:color="F2F5F8" w:sz="1"/>
          <w:insideH w:val="single" w:color="auto" w:sz="4"/>
          <w:insideV w:val="single" w:color="auto" w:sz="4"/>
        </w:tblBorders>
      </w:tblPr>
      <w:tblGrid>
        <w:gridCol w:w="9360"/>
      </w:tblGrid>
      <w:tr>
        <w:tc>
          <w:tcPr>
            <w:tcW w:type="dxa" w:w="9360"/>
            <w:shd w:fill="F2F5F8" w:val="clear"/>
            <w:tcMar>
              <w:top w:type="dxa" w:w="130"/>
              <w:left w:type="dxa" w:w="200"/>
              <w:bottom w:type="dxa" w:w="130"/>
              <w:right w:type="dxa" w:w="170"/>
            </w:tcMar>
          </w:tcPr>
          <w:p>
            <w:pPr>
              <w:spacing w:after="70"/>
            </w:pPr>
            <w:r>
              <w:rPr>
                <w:rFonts w:ascii="Georgia" w:cs="Georgia" w:eastAsia="Georgia" w:hAnsi="Georgia"/>
                <w:b/>
                <w:bCs/>
                <w:color w:val="1F3A5F"/>
                <w:sz w:val="20"/>
                <w:szCs w:val="20"/>
              </w:rPr>
              <w:t xml:space="preserve">Summary of Section 12</w:t>
            </w:r>
          </w:p>
          <w:p>
            <w:pPr>
              <w:spacing w:after="40" w:line="288"/>
              <w:jc w:val="both"/>
            </w:pPr>
            <w:r>
              <w:rPr>
                <w:rFonts w:ascii="Georgia" w:cs="Georgia" w:eastAsia="Georgia" w:hAnsi="Georgia"/>
                <w:color w:val="1A1A1A"/>
                <w:sz w:val="20"/>
                <w:szCs w:val="20"/>
              </w:rPr>
              <w:t xml:space="preserve">Theory implies substantial annuitization for a retiree without a bequest motive (Yaari; Davidoff-Brown-Diamond), yet observed take-up is low—the annuity puzzle—for reasons of bequests, liquidity, existing public pensions, and framing. The resolution places annuities firmly in decumulation: the single-premium immediate annuity pools longevity risk for a retiree, while complex annuities marketed to young accumulators invert the instrument’s purpose.</w:t>
            </w:r>
          </w:p>
        </w:tc>
      </w:tr>
    </w:tbl>
    <w:p>
      <w:r>
        <w:br w:type="page"/>
      </w:r>
    </w:p>
    <w:p>
      <w:pPr>
        <w:pStyle w:val="Heading1"/>
        <w:spacing w:after="160" w:before="340"/>
      </w:pPr>
      <w:r>
        <w:t xml:space="preserve">13  Consumer Credit, Lending, and the Value of Pooled Benefits</w:t>
      </w:r>
    </w:p>
    <w:p>
      <w:pPr>
        <w:pBdr>
          <w:bottom w:val="single" w:color="6B4F2A" w:sz="6" w:space="1"/>
        </w:pBdr>
        <w:spacing w:after="140"/>
      </w:pPr>
      <w:r>
        <w:rPr>
          <w:rFonts w:ascii="Georgia" w:cs="Georgia" w:eastAsia="Georgia" w:hAnsi="Georgia"/>
          <w:color w:val="1A1A1A"/>
          <w:sz w:val="21"/>
          <w:szCs w:val="21"/>
        </w:rPr>
        <w:t xml:space="preserve"/>
      </w:r>
    </w:p>
    <w:p>
      <w:pPr>
        <w:spacing w:after="120" w:line="300"/>
        <w:jc w:val="both"/>
      </w:pPr>
      <w:r>
        <w:rPr>
          <w:rFonts w:ascii="Georgia" w:cs="Georgia" w:eastAsia="Georgia" w:hAnsi="Georgia"/>
          <w:color w:val="1A1A1A"/>
          <w:sz w:val="21"/>
          <w:szCs w:val="21"/>
        </w:rPr>
        <w:t xml:space="preserve">Credit is the mirror image of insurance and saving: where those instruments move resources across states of the world and across time to smooth consumption, credit does the same by borrowing against the future. This section examines the economics of consumer credit—with particular attention to a striking distributional finding—the protective regulation that applies to service members, secured lending and the mortgage guaranty, and, drawing the threads together, a structured case study of pooled public benefits as an alternative to individually purchased protection.</w:t>
      </w:r>
    </w:p>
    <w:p>
      <w:pPr>
        <w:pStyle w:val="Heading2"/>
        <w:spacing w:after="120" w:before="240"/>
      </w:pPr>
      <w:r>
        <w:t xml:space="preserve">13.1  Credit-card rewards as a regressive transfer</w:t>
      </w:r>
    </w:p>
    <w:p>
      <w:pPr>
        <w:spacing w:after="120" w:line="300"/>
        <w:jc w:val="both"/>
      </w:pPr>
      <w:r>
        <w:rPr>
          <w:rFonts w:ascii="Georgia" w:cs="Georgia" w:eastAsia="Georgia" w:hAnsi="Georgia"/>
          <w:color w:val="1A1A1A"/>
          <w:sz w:val="21"/>
          <w:szCs w:val="21"/>
        </w:rPr>
        <w:t xml:space="preserve">Credit-card reward programs are widely regarded as a consumer benefit, but recent research establishes that in aggregate they operate as a regressive transfer from lower- to higher-income households. The mechanism runs through merchant fees: because merchants face limits on surcharging and tend to set uniform prices, the interchange fees that fund rewards are embedded in retail prices paid by all customers, while the rewards flow disproportionately to affluent, financially sophisticated cardholders who pay no interest and hold premium cards.</w:t>
      </w:r>
    </w:p>
    <w:p>
      <w:pPr>
        <w:spacing w:after="120" w:line="300"/>
        <w:ind w:firstLine="360"/>
        <w:jc w:val="both"/>
      </w:pPr>
      <w:r>
        <w:rPr>
          <w:rFonts w:ascii="Georgia" w:cs="Georgia" w:eastAsia="Georgia" w:hAnsi="Georgia"/>
          <w:color w:val="1A1A1A"/>
          <w:sz w:val="21"/>
          <w:szCs w:val="21"/>
        </w:rPr>
        <w:t xml:space="preserve">Using data on a large sample of accounts, Agarwal, Presbitero, Silva, and Wix (2023) estimate an annualized redistribution on the order of fifteen billion dollars induced by credit-card rewards, flowing, in their summary, from less- to more-educated, poorer to richer, and higher- to lower-minority areas; they find that sophisticated consumers profit from reward cards at the expense of naive ones regardless of income. Earlier work by the Federal Reserve Bank of Boston reached a compatible conclusion, estimating that the interaction of card rewards and merchant fees transfers resources from cash-using to card-using households and, on net, from lower- to higher-income households (Schuh, Shy, and Stavins, 2010). More recent analysis of interchange finds transfers on the order of tens of billions of dollars annually from cash and debit users to credit users, alongside a marked shift toward premium reward cards over the past two decades (National Bureau of Economic Research, 2026). The normative upshot is not that an individual should forgo rewards—declining them simply forfeits one’s share of a transfer that persists regardless—but that the system’s distributional character should be understood, and that the dominant cost for any household that revolves a balance is interest, which swamps the value of any rewards earned.</w:t>
      </w:r>
    </w:p>
    <w:p>
      <w:pPr>
        <w:pStyle w:val="Heading2"/>
        <w:spacing w:after="120" w:before="240"/>
      </w:pPr>
      <w:r>
        <w:t xml:space="preserve">13.2  Optimal use and credit scoring</w:t>
      </w:r>
    </w:p>
    <w:p>
      <w:pPr>
        <w:spacing w:after="120" w:line="300"/>
        <w:jc w:val="both"/>
      </w:pPr>
      <w:r>
        <w:rPr>
          <w:rFonts w:ascii="Georgia" w:cs="Georgia" w:eastAsia="Georgia" w:hAnsi="Georgia"/>
          <w:color w:val="1A1A1A"/>
          <w:sz w:val="21"/>
          <w:szCs w:val="21"/>
        </w:rPr>
        <w:t xml:space="preserve">For the household, the analytics of card use reduce to a single distinction. A borrower who revolves a balance should prioritize minimizing interest above all reward considerations, because card interest rates far exceed plausible reward yields; a borrower who pays in full each month can treat rewards as free and should optimize among cash-back and transferable-point structures according to spending patterns and redemption discipline. Underlying access to credit on favorable terms is the credit score, a statistical summary of credit history whose principal determinants—payment history, utilization, length of history, new credit, and credit mix—are well documented and largely within the borrower’s control (Consumer Financial Protection Bureau, 2024).</w:t>
      </w:r>
    </w:p>
    <w:p>
      <w:pPr>
        <w:pStyle w:val="Heading2"/>
        <w:spacing w:after="120" w:before="240"/>
      </w:pPr>
      <w:r>
        <w:t xml:space="preserve">13.3  Statutory protection for service members</w:t>
      </w:r>
    </w:p>
    <w:p>
      <w:pPr>
        <w:spacing w:after="120" w:line="300"/>
        <w:jc w:val="both"/>
      </w:pPr>
      <w:r>
        <w:rPr>
          <w:rFonts w:ascii="Georgia" w:cs="Georgia" w:eastAsia="Georgia" w:hAnsi="Georgia"/>
          <w:color w:val="1A1A1A"/>
          <w:sz w:val="21"/>
          <w:szCs w:val="21"/>
        </w:rPr>
        <w:t xml:space="preserve">Consumer-credit regulation includes two statutes that materially alter the terms of credit for military service members, and that furnish a further instance of the paper’s pooled-and-protected-provision theme. The Servicemembers Civil Relief Act caps the interest rate on obligations incurred before service at six percent during active duty, and the excess interest must be forgiven rather than merely deferred, on written request with a copy of orders (50 U.S.C. § 3937; U.S. Department of Justice, 2023). The Military Lending Act caps the all-in “military annual percentage rate” on most consumer credit extended during service at thirty-six percent, applies automatically, extends to dependents, and voids non-compliant contracts; it has been actively enforced (10 U.S.C. § 987; Consumer Financial Protection Bureau, 2024). Because annual fees count toward the capped rate, major issuers waive the annual fees on premium cards for covered service members—an incidental consequence of the statute that converts otherwise-expensive products into no-fee ones for the protected population.</w:t>
      </w:r>
    </w:p>
    <w:p>
      <w:pPr>
        <w:pStyle w:val="Heading2"/>
        <w:spacing w:after="120" w:before="240"/>
      </w:pPr>
      <w:r>
        <w:t xml:space="preserve">13.4  Secured lending and the mortgage guaranty</w:t>
      </w:r>
    </w:p>
    <w:p>
      <w:pPr>
        <w:spacing w:after="120" w:line="300"/>
        <w:jc w:val="both"/>
      </w:pPr>
      <w:r>
        <w:rPr>
          <w:rFonts w:ascii="Georgia" w:cs="Georgia" w:eastAsia="Georgia" w:hAnsi="Georgia"/>
          <w:color w:val="1A1A1A"/>
          <w:sz w:val="21"/>
          <w:szCs w:val="21"/>
        </w:rPr>
        <w:t xml:space="preserve">In secured lending, the most consequential instrument for the populations examined here is the government-guaranteed mortgage available to service members and veterans, which permits purchase with no down payment and without the private mortgage insurance that conventional low-down-payment loans require, in exchange for a one-time funding fee that is itself waived for certain disabled veterans (U.S. Department of Veterans Affairs, 2024). The absence of mortgage insurance alone can save a borrower a meaningful sum each month relative to conventional or federally insured alternatives, and over the life of a loan the cumulative saving is substantial. For the beginning real-estate investor the guaranty is best deployed on an owner-occupied property, preserving conventional financing capacity for subsequent investment properties. Military-affiliated depository institutions and credit unions round out the lending landscape with competitively priced consumer products for the same population.</w:t>
      </w:r>
    </w:p>
    <w:p>
      <w:pPr>
        <w:pStyle w:val="Heading2"/>
        <w:spacing w:after="120" w:before="240"/>
      </w:pPr>
      <w:r>
        <w:t xml:space="preserve">13.5  A case study in pooled and subsidized provision</w:t>
      </w:r>
    </w:p>
    <w:p>
      <w:pPr>
        <w:spacing w:after="120" w:line="300"/>
        <w:jc w:val="both"/>
      </w:pPr>
      <w:r>
        <w:rPr>
          <w:rFonts w:ascii="Georgia" w:cs="Georgia" w:eastAsia="Georgia" w:hAnsi="Georgia"/>
          <w:color w:val="1A1A1A"/>
          <w:sz w:val="21"/>
          <w:szCs w:val="21"/>
        </w:rPr>
        <w:t xml:space="preserve">The military benefit programs referenced throughout this paper—subsidized reserve-component health coverage, group life insurance issued without underwriting, a matched retirement plan with rock-bottom costs, the mortgage guaranty, and the interest-rate protections just described—together constitute a natural case study in how pooled and subsidized provision compares with individually purchased protection. The comparison is instructive precisely because the same individual can often access both, making the welfare difference observable rather than hypothetical.</w:t>
      </w:r>
    </w:p>
    <w:p>
      <w:pPr>
        <w:spacing w:after="120" w:line="300"/>
        <w:ind w:firstLine="360"/>
        <w:jc w:val="both"/>
      </w:pPr>
      <w:r>
        <w:rPr>
          <w:rFonts w:ascii="Georgia" w:cs="Georgia" w:eastAsia="Georgia" w:hAnsi="Georgia"/>
          <w:color w:val="1A1A1A"/>
          <w:sz w:val="21"/>
          <w:szCs w:val="21"/>
        </w:rPr>
        <w:t xml:space="preserve">Three mechanisms explain the advantage of the pooled arrangements. First, community rating without individual underwriting—flat-rate group life coverage that ignores age and health—delivers coverage at prices that a competitive individual market cannot offer, because in that market the adverse selection identified by Rothschild and Stiglitz (1976) forces risk-based pricing that penalizes the very individuals group provision protects. Second, explicit subsidy—health premiums set below actuarial cost to serve an institutional objective—transfers resources to the insured in a way no unsubsidized market product can replicate. Third, a public guaranty substitutes the government’s balance sheet for the private risk mitigant (mortgage insurance), lowering the borrower’s cost. The analysis is positive rather than advocative: it documents that pooled, community-rated, and subsidized provision dominates individual-market coverage on price for the covered population, and it notes the corresponding equity question that such dominance raises—namely that access to markedly superior pooled protection is, in the United States, frequently contingent on employment or service status rather than available universally. That observation connects the household-finance analysis of this paper to the broader policy literature on social insurance, without resolving the policy question it poses.</w:t>
      </w:r>
    </w:p>
    <w:tbl>
      <w:tblPr>
        <w:tblW w:type="dxa" w:w="9360"/>
        <w:tblBorders>
          <w:top w:val="single" w:color="F2F5F8" w:sz="1"/>
          <w:left w:val="single" w:color="2E5077" w:sz="22"/>
          <w:bottom w:val="single" w:color="F2F5F8" w:sz="1"/>
          <w:right w:val="single" w:color="F2F5F8" w:sz="1"/>
          <w:insideH w:val="single" w:color="auto" w:sz="4"/>
          <w:insideV w:val="single" w:color="auto" w:sz="4"/>
        </w:tblBorders>
      </w:tblPr>
      <w:tblGrid>
        <w:gridCol w:w="9360"/>
      </w:tblGrid>
      <w:tr>
        <w:tc>
          <w:tcPr>
            <w:tcW w:type="dxa" w:w="9360"/>
            <w:shd w:fill="F2F5F8" w:val="clear"/>
            <w:tcMar>
              <w:top w:type="dxa" w:w="130"/>
              <w:left w:type="dxa" w:w="200"/>
              <w:bottom w:type="dxa" w:w="130"/>
              <w:right w:type="dxa" w:w="170"/>
            </w:tcMar>
          </w:tcPr>
          <w:p>
            <w:pPr>
              <w:spacing w:after="70"/>
            </w:pPr>
            <w:r>
              <w:rPr>
                <w:rFonts w:ascii="Georgia" w:cs="Georgia" w:eastAsia="Georgia" w:hAnsi="Georgia"/>
                <w:b/>
                <w:bCs/>
                <w:color w:val="1F3A5F"/>
                <w:sz w:val="20"/>
                <w:szCs w:val="20"/>
              </w:rPr>
              <w:t xml:space="preserve">Summary of Section 13</w:t>
            </w:r>
          </w:p>
          <w:p>
            <w:pPr>
              <w:spacing w:after="40" w:line="288"/>
              <w:jc w:val="both"/>
            </w:pPr>
            <w:r>
              <w:rPr>
                <w:rFonts w:ascii="Georgia" w:cs="Georgia" w:eastAsia="Georgia" w:hAnsi="Georgia"/>
                <w:color w:val="1A1A1A"/>
                <w:sz w:val="20"/>
                <w:szCs w:val="20"/>
              </w:rPr>
              <w:t xml:space="preserve">Credit-card rewards operate as a documented regressive transfer, though an individual gains nothing by declining them; for any revolver, interest dominates rewards. Statutory protections cap service-member borrowing costs and, incidentally, waive premium-card fees. The government mortgage guaranty removes the down payment and mortgage-insurance cost. Together these programs form a case study in which pooled, community-rated, and subsidized provision measurably dominates individual-market coverage for the covered population—raising an equity question the paper notes but does not adjudicate.</w:t>
            </w:r>
          </w:p>
        </w:tc>
      </w:tr>
    </w:tbl>
    <w:p>
      <w:r>
        <w:br w:type="page"/>
      </w:r>
    </w:p>
    <w:p>
      <w:pPr>
        <w:pStyle w:val="Heading1"/>
        <w:spacing w:after="160" w:before="340"/>
      </w:pPr>
      <w:r>
        <w:t xml:space="preserve">14  Synthesis: A Severity-Ordered Framework for Household Protection</w:t>
      </w:r>
    </w:p>
    <w:p>
      <w:pPr>
        <w:pBdr>
          <w:bottom w:val="single" w:color="6B4F2A" w:sz="6" w:space="1"/>
        </w:pBdr>
        <w:spacing w:after="140"/>
      </w:pPr>
      <w:r>
        <w:rPr>
          <w:rFonts w:ascii="Georgia" w:cs="Georgia" w:eastAsia="Georgia" w:hAnsi="Georgia"/>
          <w:color w:val="1A1A1A"/>
          <w:sz w:val="21"/>
          <w:szCs w:val="21"/>
        </w:rPr>
        <w:t xml:space="preserve"/>
      </w:r>
    </w:p>
    <w:p>
      <w:pPr>
        <w:spacing w:after="120" w:line="300"/>
        <w:jc w:val="both"/>
      </w:pPr>
      <w:r>
        <w:rPr>
          <w:rFonts w:ascii="Georgia" w:cs="Georgia" w:eastAsia="Georgia" w:hAnsi="Georgia"/>
          <w:color w:val="1A1A1A"/>
          <w:sz w:val="21"/>
          <w:szCs w:val="21"/>
        </w:rPr>
        <w:t xml:space="preserve">The preceding sections examined each line of protection and accumulation on its own terms. This section draws them into a single ordering principle and a staged sequence, translating the paper’s positive findings into an organizing framework—still general and non-prescriptive, but concrete enough to structure decision-making for the populations of interest.</w:t>
      </w:r>
    </w:p>
    <w:p>
      <w:pPr>
        <w:pStyle w:val="Heading2"/>
        <w:spacing w:after="120" w:before="240"/>
      </w:pPr>
      <w:r>
        <w:t xml:space="preserve">14.1  The ordering principle</w:t>
      </w:r>
    </w:p>
    <w:p>
      <w:pPr>
        <w:spacing w:after="120" w:line="300"/>
        <w:jc w:val="both"/>
      </w:pPr>
      <w:r>
        <w:rPr>
          <w:rFonts w:ascii="Georgia" w:cs="Georgia" w:eastAsia="Georgia" w:hAnsi="Georgia"/>
          <w:color w:val="1A1A1A"/>
          <w:sz w:val="21"/>
          <w:szCs w:val="21"/>
        </w:rPr>
        <w:t xml:space="preserve">The unifying principle follows from the theory of Section 2 and the behavioral evidence of Section 3: protection should be sequenced by the severity of the risk—the magnitude of the potential loss relative to the household’s resources—rather than by the salience, familiarity, or frequency of the hazard. Because insurance is valuable in proportion to the size of the loss it transfers, and because full insurance of small losses is inefficient under any positive premium loading, scarce protection dollars should flow first to the low-probability, high-consequence risks that can be financially catastrophic, and only afterward to smaller, self-fundable exposures. This principle directly counters the documented behavioral tendency to over-insure the trivial and neglect the catastrophic, and it applies with equal force across personal, commercial, and investment risk.</w:t>
      </w:r>
    </w:p>
    <w:p>
      <w:pPr>
        <w:pStyle w:val="Heading2"/>
        <w:spacing w:after="120" w:before="240"/>
      </w:pPr>
      <w:r>
        <w:t xml:space="preserve">14.2  A staged sequence</w:t>
      </w:r>
    </w:p>
    <w:p>
      <w:pPr>
        <w:spacing w:after="120" w:line="300"/>
        <w:jc w:val="both"/>
      </w:pPr>
      <w:r>
        <w:rPr>
          <w:rFonts w:ascii="Georgia" w:cs="Georgia" w:eastAsia="Georgia" w:hAnsi="Georgia"/>
          <w:color w:val="1A1A1A"/>
          <w:sz w:val="21"/>
          <w:szCs w:val="21"/>
        </w:rPr>
        <w:t xml:space="preserve">Applied to the populations examined here, the ordering principle implies a staged sequence in which each stage is substantially addressed before the next. The sequence integrates protection and accumulation, because the two compete for the same household resources and because the theory treats them as complementary components of a single problem.</w:t>
      </w:r>
    </w:p>
    <w:p>
      <w:pPr>
        <w:pStyle w:val="ListParagraph"/>
        <w:numPr>
          <w:ilvl w:val="0"/>
          <w:numId w:val="4"/>
        </w:numPr>
        <w:spacing w:after="90" w:line="288"/>
        <w:jc w:val="both"/>
      </w:pPr>
      <w:r>
        <w:rPr>
          <w:rFonts w:ascii="Georgia" w:cs="Georgia" w:eastAsia="Georgia" w:hAnsi="Georgia"/>
          <w:b/>
          <w:bCs/>
          <w:color w:val="1A1A1A"/>
          <w:sz w:val="21"/>
          <w:szCs w:val="21"/>
        </w:rPr>
        <w:t xml:space="preserve">Establish a liquid reserve. </w:t>
      </w:r>
      <w:r>
        <w:rPr>
          <w:rFonts w:ascii="Georgia" w:cs="Georgia" w:eastAsia="Georgia" w:hAnsi="Georgia"/>
          <w:color w:val="1A1A1A"/>
          <w:sz w:val="21"/>
          <w:szCs w:val="21"/>
        </w:rPr>
        <w:t xml:space="preserve">A cash emergency fund in an insured, liquid account is the foundation that allows every riskier position above it to remain undisturbed through a shock; standard guidance is several months of essential expenses.</w:t>
      </w:r>
    </w:p>
    <w:p>
      <w:pPr>
        <w:pStyle w:val="ListParagraph"/>
        <w:numPr>
          <w:ilvl w:val="0"/>
          <w:numId w:val="4"/>
        </w:numPr>
        <w:spacing w:after="90" w:line="288"/>
        <w:jc w:val="both"/>
      </w:pPr>
      <w:r>
        <w:rPr>
          <w:rFonts w:ascii="Georgia" w:cs="Georgia" w:eastAsia="Georgia" w:hAnsi="Georgia"/>
          <w:b/>
          <w:bCs/>
          <w:color w:val="1A1A1A"/>
          <w:sz w:val="21"/>
          <w:szCs w:val="21"/>
        </w:rPr>
        <w:t xml:space="preserve">Secure catastrophic personal coverage. </w:t>
      </w:r>
      <w:r>
        <w:rPr>
          <w:rFonts w:ascii="Georgia" w:cs="Georgia" w:eastAsia="Georgia" w:hAnsi="Georgia"/>
          <w:color w:val="1A1A1A"/>
          <w:sz w:val="21"/>
          <w:szCs w:val="21"/>
        </w:rPr>
        <w:t xml:space="preserve">Health insurance, disability-income insurance, adequate liability (including umbrella) coverage, and—only where dependents exist—term life insurance address the losses large enough to be ruinous, and come before any optimization of smaller risks.</w:t>
      </w:r>
    </w:p>
    <w:p>
      <w:pPr>
        <w:pStyle w:val="ListParagraph"/>
        <w:numPr>
          <w:ilvl w:val="0"/>
          <w:numId w:val="4"/>
        </w:numPr>
        <w:spacing w:after="90" w:line="288"/>
        <w:jc w:val="both"/>
      </w:pPr>
      <w:r>
        <w:rPr>
          <w:rFonts w:ascii="Georgia" w:cs="Georgia" w:eastAsia="Georgia" w:hAnsi="Georgia"/>
          <w:b/>
          <w:bCs/>
          <w:color w:val="1A1A1A"/>
          <w:sz w:val="21"/>
          <w:szCs w:val="21"/>
        </w:rPr>
        <w:t xml:space="preserve">Capture guaranteed returns. </w:t>
      </w:r>
      <w:r>
        <w:rPr>
          <w:rFonts w:ascii="Georgia" w:cs="Georgia" w:eastAsia="Georgia" w:hAnsi="Georgia"/>
          <w:color w:val="1A1A1A"/>
          <w:sz w:val="21"/>
          <w:szCs w:val="21"/>
        </w:rPr>
        <w:t xml:space="preserve">Any employer or service retirement match is a riskless hundred-percent return and precedes discretionary investing; high-interest debt should be retired in parallel, invoking applicable statutory rate protections.</w:t>
      </w:r>
    </w:p>
    <w:p>
      <w:pPr>
        <w:pStyle w:val="ListParagraph"/>
        <w:numPr>
          <w:ilvl w:val="0"/>
          <w:numId w:val="4"/>
        </w:numPr>
        <w:spacing w:after="90" w:line="288"/>
        <w:jc w:val="both"/>
      </w:pPr>
      <w:r>
        <w:rPr>
          <w:rFonts w:ascii="Georgia" w:cs="Georgia" w:eastAsia="Georgia" w:hAnsi="Georgia"/>
          <w:b/>
          <w:bCs/>
          <w:color w:val="1A1A1A"/>
          <w:sz w:val="21"/>
          <w:szCs w:val="21"/>
        </w:rPr>
        <w:t xml:space="preserve">Fund tax-advantaged accumulation. </w:t>
      </w:r>
      <w:r>
        <w:rPr>
          <w:rFonts w:ascii="Georgia" w:cs="Georgia" w:eastAsia="Georgia" w:hAnsi="Georgia"/>
          <w:color w:val="1A1A1A"/>
          <w:sz w:val="21"/>
          <w:szCs w:val="21"/>
        </w:rPr>
        <w:t xml:space="preserve">Individual retirement accounts, health savings accounts where eligible, and self-employed plans should be funded with low-cost index investments, exploiting the long horizon and the arithmetic of compounding.</w:t>
      </w:r>
    </w:p>
    <w:p>
      <w:pPr>
        <w:pStyle w:val="ListParagraph"/>
        <w:numPr>
          <w:ilvl w:val="0"/>
          <w:numId w:val="4"/>
        </w:numPr>
        <w:spacing w:after="90" w:line="288"/>
        <w:jc w:val="both"/>
      </w:pPr>
      <w:r>
        <w:rPr>
          <w:rFonts w:ascii="Georgia" w:cs="Georgia" w:eastAsia="Georgia" w:hAnsi="Georgia"/>
          <w:b/>
          <w:bCs/>
          <w:color w:val="1A1A1A"/>
          <w:sz w:val="21"/>
          <w:szCs w:val="21"/>
        </w:rPr>
        <w:t xml:space="preserve">Add commercial coverage as ventures require. </w:t>
      </w:r>
      <w:r>
        <w:rPr>
          <w:rFonts w:ascii="Georgia" w:cs="Georgia" w:eastAsia="Georgia" w:hAnsi="Georgia"/>
          <w:color w:val="1A1A1A"/>
          <w:sz w:val="21"/>
          <w:szCs w:val="21"/>
        </w:rPr>
        <w:t xml:space="preserve">For the entrepreneur, professional-liability and cyber coverage attach as customers and data exposure appear, with governance and statutory coverages following as the firm raises capital and hires.</w:t>
      </w:r>
    </w:p>
    <w:p>
      <w:pPr>
        <w:pStyle w:val="ListParagraph"/>
        <w:numPr>
          <w:ilvl w:val="0"/>
          <w:numId w:val="4"/>
        </w:numPr>
        <w:spacing w:after="90" w:line="288"/>
        <w:jc w:val="both"/>
      </w:pPr>
      <w:r>
        <w:rPr>
          <w:rFonts w:ascii="Georgia" w:cs="Georgia" w:eastAsia="Georgia" w:hAnsi="Georgia"/>
          <w:b/>
          <w:bCs/>
          <w:color w:val="1A1A1A"/>
          <w:sz w:val="21"/>
          <w:szCs w:val="21"/>
        </w:rPr>
        <w:t xml:space="preserve">Add property-specific coverage as assets are acquired. </w:t>
      </w:r>
      <w:r>
        <w:rPr>
          <w:rFonts w:ascii="Georgia" w:cs="Georgia" w:eastAsia="Georgia" w:hAnsi="Georgia"/>
          <w:color w:val="1A1A1A"/>
          <w:sz w:val="21"/>
          <w:szCs w:val="21"/>
        </w:rPr>
        <w:t xml:space="preserve">For the investor, landlord, title, and flood coverage attach at acquisition, with excess liability layered across the portfolio.</w:t>
      </w:r>
    </w:p>
    <w:p>
      <w:pPr>
        <w:pStyle w:val="ListParagraph"/>
        <w:numPr>
          <w:ilvl w:val="0"/>
          <w:numId w:val="4"/>
        </w:numPr>
        <w:spacing w:after="90" w:line="288"/>
        <w:jc w:val="both"/>
      </w:pPr>
      <w:r>
        <w:rPr>
          <w:rFonts w:ascii="Georgia" w:cs="Georgia" w:eastAsia="Georgia" w:hAnsi="Georgia"/>
          <w:b/>
          <w:bCs/>
          <w:color w:val="1A1A1A"/>
          <w:sz w:val="21"/>
          <w:szCs w:val="21"/>
        </w:rPr>
        <w:t xml:space="preserve">Optimize the remainder. </w:t>
      </w:r>
      <w:r>
        <w:rPr>
          <w:rFonts w:ascii="Georgia" w:cs="Georgia" w:eastAsia="Georgia" w:hAnsi="Georgia"/>
          <w:color w:val="1A1A1A"/>
          <w:sz w:val="21"/>
          <w:szCs w:val="21"/>
        </w:rPr>
        <w:t xml:space="preserve">Only after the catastrophic layers are in place do smaller and discretionary items—supplemental health lines, reward-optimized credit, and taxable investing beyond the tax-advantaged ceilings—warrant attention.</w:t>
      </w:r>
    </w:p>
    <w:p>
      <w:pPr>
        <w:spacing w:after="120" w:line="300"/>
        <w:ind w:firstLine="360"/>
        <w:jc w:val="both"/>
      </w:pPr>
      <w:r>
        <w:rPr>
          <w:rFonts w:ascii="Georgia" w:cs="Georgia" w:eastAsia="Georgia" w:hAnsi="Georgia"/>
          <w:color w:val="1A1A1A"/>
          <w:sz w:val="21"/>
          <w:szCs w:val="21"/>
        </w:rPr>
        <w:t xml:space="preserve">Life annuities and any permanent insurance appear, if at all, far later—the former as decumulation instruments in retirement, the latter only in the narrow circumstances where a lifelong need or estate-liquidity motive genuinely exists. Their placement at the end of the sequence, rather than the beginning, is one of the paper’s clearest departures from the order in which such products are typically marketed.</w:t>
      </w:r>
    </w:p>
    <w:p>
      <w:pPr>
        <w:pStyle w:val="Heading2"/>
        <w:spacing w:after="120" w:before="240"/>
      </w:pPr>
      <w:r>
        <w:t xml:space="preserve">14.3  Trigger events that revise the plan</w:t>
      </w:r>
    </w:p>
    <w:p>
      <w:pPr>
        <w:spacing w:after="120" w:line="300"/>
        <w:jc w:val="both"/>
      </w:pPr>
      <w:r>
        <w:rPr>
          <w:rFonts w:ascii="Georgia" w:cs="Georgia" w:eastAsia="Georgia" w:hAnsi="Georgia"/>
          <w:color w:val="1A1A1A"/>
          <w:sz w:val="21"/>
          <w:szCs w:val="21"/>
        </w:rPr>
        <w:t xml:space="preserve">A protection architecture is not static; specific life events change the risk profile and should trigger revision. Table 14.1 collects the principal triggers identified across the paper.</w:t>
      </w:r>
    </w:p>
    <w:p>
      <w:pPr>
        <w:spacing w:after="20"/>
      </w:pPr>
      <w:r>
        <w:rPr>
          <w:rFonts w:ascii="Georgia" w:cs="Georgia" w:eastAsia="Georgia" w:hAnsi="Georgia"/>
          <w:color w:val="1A1A1A"/>
          <w:sz w:val="21"/>
          <w:szCs w:val="21"/>
        </w:rPr>
        <w:t xml:space="preserve"/>
      </w:r>
    </w:p>
    <w:p>
      <w:pPr>
        <w:spacing w:after="60" w:before="60"/>
      </w:pPr>
      <w:r>
        <w:rPr>
          <w:rFonts w:ascii="Georgia" w:cs="Georgia" w:eastAsia="Georgia" w:hAnsi="Georgia"/>
          <w:b/>
          <w:bCs/>
          <w:color w:val="1F3A5F"/>
          <w:sz w:val="18"/>
          <w:szCs w:val="18"/>
        </w:rPr>
        <w:t xml:space="preserve">Table 14.1  Life events and the protection revisions they trigger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tcBorders>
              <w:top w:val="single" w:color="C4CFD9" w:sz="1"/>
              <w:left w:val="single" w:color="C4CFD9" w:sz="1"/>
              <w:bottom w:val="single" w:color="C4CFD9" w:sz="1"/>
              <w:right w:val="single" w:color="C4CFD9" w:sz="1"/>
            </w:tcBorders>
            <w:shd w:fill="1F3A5F" w:val="clear"/>
            <w:tcMar>
              <w:top w:type="dxa" w:w="60"/>
              <w:left w:type="dxa" w:w="90"/>
              <w:bottom w:type="dxa" w:w="60"/>
              <w:right w:type="dxa" w:w="90"/>
            </w:tcMar>
            <w:vAlign w:val="center"/>
          </w:tcPr>
          <w:p>
            <w:pPr>
              <w:spacing w:after="0"/>
              <w:jc w:val="left"/>
            </w:pPr>
            <w:r>
              <w:rPr>
                <w:rFonts w:ascii="Georgia" w:cs="Georgia" w:eastAsia="Georgia" w:hAnsi="Georgia"/>
                <w:b/>
                <w:bCs/>
                <w:color w:val="FFFFFF"/>
                <w:sz w:val="18"/>
                <w:szCs w:val="18"/>
              </w:rPr>
              <w:t xml:space="preserve">Trigger event</w:t>
            </w:r>
          </w:p>
        </w:tc>
        <w:tc>
          <w:tcPr>
            <w:tcW w:type="dxa" w:w="6260"/>
            <w:tcBorders>
              <w:top w:val="single" w:color="C4CFD9" w:sz="1"/>
              <w:left w:val="single" w:color="C4CFD9" w:sz="1"/>
              <w:bottom w:val="single" w:color="C4CFD9" w:sz="1"/>
              <w:right w:val="single" w:color="C4CFD9" w:sz="1"/>
            </w:tcBorders>
            <w:shd w:fill="1F3A5F" w:val="clear"/>
            <w:tcMar>
              <w:top w:type="dxa" w:w="60"/>
              <w:left w:type="dxa" w:w="90"/>
              <w:bottom w:type="dxa" w:w="60"/>
              <w:right w:type="dxa" w:w="90"/>
            </w:tcMar>
            <w:vAlign w:val="center"/>
          </w:tcPr>
          <w:p>
            <w:pPr>
              <w:spacing w:after="0"/>
              <w:jc w:val="left"/>
            </w:pPr>
            <w:r>
              <w:rPr>
                <w:rFonts w:ascii="Georgia" w:cs="Georgia" w:eastAsia="Georgia" w:hAnsi="Georgia"/>
                <w:b/>
                <w:bCs/>
                <w:color w:val="FFFFFF"/>
                <w:sz w:val="18"/>
                <w:szCs w:val="18"/>
              </w:rPr>
              <w:t xml:space="preserve">Revision indicated</w:t>
            </w:r>
          </w:p>
        </w:tc>
      </w:tr>
      <w:tr>
        <w:tc>
          <w:tcPr>
            <w:tcW w:type="dxa" w:w="3100"/>
            <w:tcBorders>
              <w:top w:val="single" w:color="C4CFD9" w:sz="1"/>
              <w:left w:val="single" w:color="C4CFD9" w:sz="1"/>
              <w:bottom w:val="single" w:color="C4CFD9" w:sz="1"/>
              <w:right w:val="single" w:color="C4CFD9" w:sz="1"/>
            </w:tcBorders>
            <w:shd w:fill="FFFFFF"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Acquiring a dependent</w:t>
            </w:r>
          </w:p>
        </w:tc>
        <w:tc>
          <w:tcPr>
            <w:tcW w:type="dxa" w:w="6260"/>
            <w:tcBorders>
              <w:top w:val="single" w:color="C4CFD9" w:sz="1"/>
              <w:left w:val="single" w:color="C4CFD9" w:sz="1"/>
              <w:bottom w:val="single" w:color="C4CFD9" w:sz="1"/>
              <w:right w:val="single" w:color="C4CFD9" w:sz="1"/>
            </w:tcBorders>
            <w:shd w:fill="FFFFFF"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Add term life sized to income replacement; revisit health and disability coverage; begin education saving</w:t>
            </w:r>
          </w:p>
        </w:tc>
      </w:tr>
      <w:tr>
        <w:tc>
          <w:tcPr>
            <w:tcW w:type="dxa" w:w="3100"/>
            <w:tcBorders>
              <w:top w:val="single" w:color="C4CFD9" w:sz="1"/>
              <w:left w:val="single" w:color="C4CFD9" w:sz="1"/>
              <w:bottom w:val="single" w:color="C4CFD9" w:sz="1"/>
              <w:right w:val="single" w:color="C4CFD9" w:sz="1"/>
            </w:tcBorders>
            <w:shd w:fill="F4F6F9"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Becoming self-employed</w:t>
            </w:r>
          </w:p>
        </w:tc>
        <w:tc>
          <w:tcPr>
            <w:tcW w:type="dxa" w:w="6260"/>
            <w:tcBorders>
              <w:top w:val="single" w:color="C4CFD9" w:sz="1"/>
              <w:left w:val="single" w:color="C4CFD9" w:sz="1"/>
              <w:bottom w:val="single" w:color="C4CFD9" w:sz="1"/>
              <w:right w:val="single" w:color="C4CFD9" w:sz="1"/>
            </w:tcBorders>
            <w:shd w:fill="F4F6F9"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Add individual disability, professional-liability, and cyber coverage; open a self-employed retirement plan</w:t>
            </w:r>
          </w:p>
        </w:tc>
      </w:tr>
      <w:tr>
        <w:tc>
          <w:tcPr>
            <w:tcW w:type="dxa" w:w="3100"/>
            <w:tcBorders>
              <w:top w:val="single" w:color="C4CFD9" w:sz="1"/>
              <w:left w:val="single" w:color="C4CFD9" w:sz="1"/>
              <w:bottom w:val="single" w:color="C4CFD9" w:sz="1"/>
              <w:right w:val="single" w:color="C4CFD9" w:sz="1"/>
            </w:tcBorders>
            <w:shd w:fill="FFFFFF"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Rising net worth</w:t>
            </w:r>
          </w:p>
        </w:tc>
        <w:tc>
          <w:tcPr>
            <w:tcW w:type="dxa" w:w="6260"/>
            <w:tcBorders>
              <w:top w:val="single" w:color="C4CFD9" w:sz="1"/>
              <w:left w:val="single" w:color="C4CFD9" w:sz="1"/>
              <w:bottom w:val="single" w:color="C4CFD9" w:sz="1"/>
              <w:right w:val="single" w:color="C4CFD9" w:sz="1"/>
            </w:tcBorders>
            <w:shd w:fill="FFFFFF"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Add or increase umbrella liability once assets exceed underlying policy limits</w:t>
            </w:r>
          </w:p>
        </w:tc>
      </w:tr>
      <w:tr>
        <w:tc>
          <w:tcPr>
            <w:tcW w:type="dxa" w:w="3100"/>
            <w:tcBorders>
              <w:top w:val="single" w:color="C4CFD9" w:sz="1"/>
              <w:left w:val="single" w:color="C4CFD9" w:sz="1"/>
              <w:bottom w:val="single" w:color="C4CFD9" w:sz="1"/>
              <w:right w:val="single" w:color="C4CFD9" w:sz="1"/>
            </w:tcBorders>
            <w:shd w:fill="F4F6F9"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Acquiring real property</w:t>
            </w:r>
          </w:p>
        </w:tc>
        <w:tc>
          <w:tcPr>
            <w:tcW w:type="dxa" w:w="6260"/>
            <w:tcBorders>
              <w:top w:val="single" w:color="C4CFD9" w:sz="1"/>
              <w:left w:val="single" w:color="C4CFD9" w:sz="1"/>
              <w:bottom w:val="single" w:color="C4CFD9" w:sz="1"/>
              <w:right w:val="single" w:color="C4CFD9" w:sz="1"/>
            </w:tcBorders>
            <w:shd w:fill="F4F6F9"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Add homeowners or landlord, title, and—where exposed—flood coverage; verify flood-zone status before purchase</w:t>
            </w:r>
          </w:p>
        </w:tc>
      </w:tr>
      <w:tr>
        <w:tc>
          <w:tcPr>
            <w:tcW w:type="dxa" w:w="3100"/>
            <w:tcBorders>
              <w:top w:val="single" w:color="C4CFD9" w:sz="1"/>
              <w:left w:val="single" w:color="C4CFD9" w:sz="1"/>
              <w:bottom w:val="single" w:color="C4CFD9" w:sz="1"/>
              <w:right w:val="single" w:color="C4CFD9" w:sz="1"/>
            </w:tcBorders>
            <w:shd w:fill="FFFFFF"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Income exceeding Roth thresholds</w:t>
            </w:r>
          </w:p>
        </w:tc>
        <w:tc>
          <w:tcPr>
            <w:tcW w:type="dxa" w:w="6260"/>
            <w:tcBorders>
              <w:top w:val="single" w:color="C4CFD9" w:sz="1"/>
              <w:left w:val="single" w:color="C4CFD9" w:sz="1"/>
              <w:bottom w:val="single" w:color="C4CFD9" w:sz="1"/>
              <w:right w:val="single" w:color="C4CFD9" w:sz="1"/>
            </w:tcBorders>
            <w:shd w:fill="FFFFFF"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Adopt the alternative contribution route to preserve tax-advantaged access</w:t>
            </w:r>
          </w:p>
        </w:tc>
      </w:tr>
      <w:tr>
        <w:tc>
          <w:tcPr>
            <w:tcW w:type="dxa" w:w="3100"/>
            <w:tcBorders>
              <w:top w:val="single" w:color="C4CFD9" w:sz="1"/>
              <w:left w:val="single" w:color="C4CFD9" w:sz="1"/>
              <w:bottom w:val="single" w:color="C4CFD9" w:sz="1"/>
              <w:right w:val="single" w:color="C4CFD9" w:sz="1"/>
            </w:tcBorders>
            <w:shd w:fill="F4F6F9"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Approaching retirement</w:t>
            </w:r>
          </w:p>
        </w:tc>
        <w:tc>
          <w:tcPr>
            <w:tcW w:type="dxa" w:w="6260"/>
            <w:tcBorders>
              <w:top w:val="single" w:color="C4CFD9" w:sz="1"/>
              <w:left w:val="single" w:color="C4CFD9" w:sz="1"/>
              <w:bottom w:val="single" w:color="C4CFD9" w:sz="1"/>
              <w:right w:val="single" w:color="C4CFD9" w:sz="1"/>
            </w:tcBorders>
            <w:shd w:fill="F4F6F9"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Shift from accumulation toward partial annuitization to pool longevity risk</w:t>
            </w:r>
          </w:p>
        </w:tc>
      </w:tr>
      <w:tr>
        <w:tc>
          <w:tcPr>
            <w:tcW w:type="dxa" w:w="3100"/>
            <w:tcBorders>
              <w:top w:val="single" w:color="C4CFD9" w:sz="1"/>
              <w:left w:val="single" w:color="C4CFD9" w:sz="1"/>
              <w:bottom w:val="single" w:color="C4CFD9" w:sz="1"/>
              <w:right w:val="single" w:color="C4CFD9" w:sz="1"/>
            </w:tcBorders>
            <w:shd w:fill="FFFFFF"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Losing pooled coverage</w:t>
            </w:r>
          </w:p>
        </w:tc>
        <w:tc>
          <w:tcPr>
            <w:tcW w:type="dxa" w:w="6260"/>
            <w:tcBorders>
              <w:top w:val="single" w:color="C4CFD9" w:sz="1"/>
              <w:left w:val="single" w:color="C4CFD9" w:sz="1"/>
              <w:bottom w:val="single" w:color="C4CFD9" w:sz="1"/>
              <w:right w:val="single" w:color="C4CFD9" w:sz="1"/>
            </w:tcBorders>
            <w:shd w:fill="FFFFFF"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Re-solve health and life coverage; evaluate conversion and continuation options promptly</w:t>
            </w:r>
          </w:p>
        </w:tc>
      </w:tr>
    </w:tbl>
    <w:p>
      <w:pPr>
        <w:spacing w:after="140" w:before="40"/>
        <w:jc w:val="left"/>
      </w:pPr>
      <w:r>
        <w:rPr>
          <w:rFonts w:ascii="Georgia" w:cs="Georgia" w:eastAsia="Georgia" w:hAnsi="Georgia"/>
          <w:i/>
          <w:iCs/>
          <w:color w:val="555555"/>
          <w:sz w:val="17"/>
          <w:szCs w:val="17"/>
        </w:rPr>
        <w:t xml:space="preserve">Note. The triggers are general; the appropriate response depends on individual circumstances and, for consequential decisions, on qualified professional advice.</w:t>
      </w:r>
    </w:p>
    <w:p>
      <w:r>
        <w:br w:type="page"/>
      </w:r>
    </w:p>
    <w:p>
      <w:pPr>
        <w:pStyle w:val="Heading1"/>
        <w:spacing w:after="160" w:before="340"/>
      </w:pPr>
      <w:r>
        <w:t xml:space="preserve">15  Conclusion</w:t>
      </w:r>
    </w:p>
    <w:p>
      <w:pPr>
        <w:pBdr>
          <w:bottom w:val="single" w:color="6B4F2A" w:sz="6" w:space="1"/>
        </w:pBdr>
        <w:spacing w:after="140"/>
      </w:pPr>
      <w:r>
        <w:rPr>
          <w:rFonts w:ascii="Georgia" w:cs="Georgia" w:eastAsia="Georgia" w:hAnsi="Georgia"/>
          <w:color w:val="1A1A1A"/>
          <w:sz w:val="21"/>
          <w:szCs w:val="21"/>
        </w:rPr>
        <w:t xml:space="preserve"/>
      </w:r>
    </w:p>
    <w:p>
      <w:pPr>
        <w:spacing w:after="120" w:line="300"/>
        <w:jc w:val="both"/>
      </w:pPr>
      <w:r>
        <w:rPr>
          <w:rFonts w:ascii="Georgia" w:cs="Georgia" w:eastAsia="Georgia" w:hAnsi="Georgia"/>
          <w:color w:val="1A1A1A"/>
          <w:sz w:val="21"/>
          <w:szCs w:val="21"/>
        </w:rPr>
        <w:t xml:space="preserve">This paper has argued that the protection of household finances is best understood not as a series of disconnected purchases but as a single, sequenced problem governed by a small number of principles. The economic theory of insurance establishes that coverage is valuable in proportion to the size of the loss it transfers, that small losses are efficiently retained, that asymmetric information constrains what markets can offer and thereby elevates the value of pooled provision, and that actual behavior departs from these prescriptions in a specific direction—the neglect of catastrophic risk. The empirical record confirms that under-protection, not over-protection, is the pervasive condition, concentrated among younger and lower-income households and concerning the adequacy of coverage rather than merely its presence.</w:t>
      </w:r>
    </w:p>
    <w:p>
      <w:pPr>
        <w:spacing w:after="120" w:line="300"/>
        <w:ind w:firstLine="360"/>
        <w:jc w:val="both"/>
      </w:pPr>
      <w:r>
        <w:rPr>
          <w:rFonts w:ascii="Georgia" w:cs="Georgia" w:eastAsia="Georgia" w:hAnsi="Georgia"/>
          <w:color w:val="1A1A1A"/>
          <w:sz w:val="21"/>
          <w:szCs w:val="21"/>
        </w:rPr>
        <w:t xml:space="preserve">Line by line, the analysis yielded consistent conclusions: that health-insurance design embodies an unavoidable trade-off between restraining moral hazard and protecting the vulnerable; that life insurance should be unbundled from savings and sized to genuine dependence; that disability coverage is neglected relative to a risk comparable to mortality during working years; that property-casualty markets raise contested pricing questions and a real catastrophe-financing problem; that commercial and cyber exposures require their own coverages for the entrepreneur; and that the long-term-care market exhibits a well-understood failure. On the accumulation side, the evidence favors low-cost, tax-advantaged, index-based investing and an early start, with annuities reserved for the decumulation of longevity risk rather than the accumulation of wealth. And in consumer credit, the analysis documented a regressive transfer embedded in reward programs and a set of statutory protections that, together with subsidized public benefits, illustrate the recurring superiority of pooled and community-rated provision for those able to access it.</w:t>
      </w:r>
    </w:p>
    <w:p>
      <w:pPr>
        <w:spacing w:after="120" w:line="300"/>
        <w:ind w:firstLine="360"/>
        <w:jc w:val="both"/>
      </w:pPr>
      <w:r>
        <w:rPr>
          <w:rFonts w:ascii="Georgia" w:cs="Georgia" w:eastAsia="Georgia" w:hAnsi="Georgia"/>
          <w:color w:val="1A1A1A"/>
          <w:sz w:val="21"/>
          <w:szCs w:val="21"/>
        </w:rPr>
        <w:t xml:space="preserve">Two themes run through the whole. The first is the primacy of severity: a household that insures its catastrophic risks first, retains its small ones, and directs the savings into low-cost long-horizon accumulation will have solved the greater part of the problem, whatever the details of product selection. The second is the value of pooling: wherever coverage can be obtained on a group, community-rated, or subsidized basis, it tends to dominate what an individual can buy alone—a fact of practical importance to any household with access to such arrangements, and a matter of equity for a system in which that access is unevenly distributed. The framework offered here is general by design, intended to organize decisions rather than to dictate them, and to be specialized to particular circumstances—ideally with qualified professional guidance—by those who use it.</w:t>
      </w:r>
    </w:p>
    <w:p>
      <w:pPr>
        <w:spacing w:after="60"/>
      </w:pPr>
      <w:r>
        <w:rPr>
          <w:rFonts w:ascii="Georgia" w:cs="Georgia" w:eastAsia="Georgia" w:hAnsi="Georgia"/>
          <w:color w:val="1A1A1A"/>
          <w:sz w:val="21"/>
          <w:szCs w:val="21"/>
        </w:rPr>
        <w:t xml:space="preserve"/>
      </w:r>
    </w:p>
    <w:p>
      <w:pPr>
        <w:pBdr>
          <w:top w:val="single" w:color="8AA0B8" w:sz="4" w:space="8"/>
        </w:pBdr>
        <w:spacing w:after="40" w:before="40"/>
        <w:jc w:val="center"/>
      </w:pPr>
      <w:r>
        <w:rPr>
          <w:rFonts w:ascii="Georgia" w:cs="Georgia" w:eastAsia="Georgia" w:hAnsi="Georgia"/>
          <w:sz w:val="18"/>
          <w:szCs w:val="18"/>
        </w:rPr>
        <w:t xml:space="preserve"/>
      </w:r>
    </w:p>
    <w:p>
      <w:r>
        <w:br w:type="page"/>
      </w:r>
    </w:p>
    <w:p>
      <w:pPr>
        <w:pStyle w:val="Heading1"/>
        <w:spacing w:after="160" w:before="340"/>
      </w:pPr>
      <w:r>
        <w:t xml:space="preserve">Appendix A  Glossary of Key Terms</w:t>
      </w:r>
    </w:p>
    <w:p>
      <w:pPr>
        <w:pBdr>
          <w:bottom w:val="single" w:color="6B4F2A" w:sz="6" w:space="1"/>
        </w:pBdr>
        <w:spacing w:after="140"/>
      </w:pPr>
      <w:r>
        <w:rPr>
          <w:rFonts w:ascii="Georgia" w:cs="Georgia" w:eastAsia="Georgia" w:hAnsi="Georgia"/>
          <w:color w:val="1A1A1A"/>
          <w:sz w:val="21"/>
          <w:szCs w:val="21"/>
        </w:rPr>
        <w:t xml:space="preserve"/>
      </w:r>
    </w:p>
    <w:p>
      <w:pPr>
        <w:spacing w:after="120" w:line="300"/>
        <w:jc w:val="both"/>
      </w:pPr>
      <w:r>
        <w:rPr>
          <w:rFonts w:ascii="Georgia" w:cs="Georgia" w:eastAsia="Georgia" w:hAnsi="Georgia"/>
          <w:color w:val="1A1A1A"/>
          <w:sz w:val="21"/>
          <w:szCs w:val="21"/>
        </w:rPr>
        <w:t xml:space="preserve">The following terms recur throughout the paper. Definitions are framed for the general reader and are necessarily brief; the body of the paper develops each concept in context.</w:t>
      </w:r>
    </w:p>
    <w:p>
      <w:pPr>
        <w:spacing w:after="20"/>
      </w:pPr>
      <w:r>
        <w:rPr>
          <w:rFonts w:ascii="Georgia" w:cs="Georgia" w:eastAsia="Georgia" w:hAnsi="Georgia"/>
          <w:color w:val="1A1A1A"/>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0"/>
        <w:gridCol w:w="7010"/>
      </w:tblGrid>
      <w:tr>
        <w:trPr>
          <w:tblHeader/>
        </w:trPr>
        <w:tc>
          <w:tcPr>
            <w:tcW w:type="dxa" w:w="2350"/>
            <w:tcBorders>
              <w:top w:val="single" w:color="C4CFD9" w:sz="1"/>
              <w:left w:val="single" w:color="C4CFD9" w:sz="1"/>
              <w:bottom w:val="single" w:color="C4CFD9" w:sz="1"/>
              <w:right w:val="single" w:color="C4CFD9" w:sz="1"/>
            </w:tcBorders>
            <w:shd w:fill="1F3A5F" w:val="clear"/>
            <w:tcMar>
              <w:top w:type="dxa" w:w="60"/>
              <w:left w:type="dxa" w:w="90"/>
              <w:bottom w:type="dxa" w:w="60"/>
              <w:right w:type="dxa" w:w="90"/>
            </w:tcMar>
            <w:vAlign w:val="center"/>
          </w:tcPr>
          <w:p>
            <w:pPr>
              <w:spacing w:after="0"/>
              <w:jc w:val="left"/>
            </w:pPr>
            <w:r>
              <w:rPr>
                <w:rFonts w:ascii="Georgia" w:cs="Georgia" w:eastAsia="Georgia" w:hAnsi="Georgia"/>
                <w:b/>
                <w:bCs/>
                <w:color w:val="FFFFFF"/>
                <w:sz w:val="18"/>
                <w:szCs w:val="18"/>
              </w:rPr>
              <w:t xml:space="preserve">Term</w:t>
            </w:r>
          </w:p>
        </w:tc>
        <w:tc>
          <w:tcPr>
            <w:tcW w:type="dxa" w:w="7010"/>
            <w:tcBorders>
              <w:top w:val="single" w:color="C4CFD9" w:sz="1"/>
              <w:left w:val="single" w:color="C4CFD9" w:sz="1"/>
              <w:bottom w:val="single" w:color="C4CFD9" w:sz="1"/>
              <w:right w:val="single" w:color="C4CFD9" w:sz="1"/>
            </w:tcBorders>
            <w:shd w:fill="1F3A5F" w:val="clear"/>
            <w:tcMar>
              <w:top w:type="dxa" w:w="60"/>
              <w:left w:type="dxa" w:w="90"/>
              <w:bottom w:type="dxa" w:w="60"/>
              <w:right w:type="dxa" w:w="90"/>
            </w:tcMar>
            <w:vAlign w:val="center"/>
          </w:tcPr>
          <w:p>
            <w:pPr>
              <w:spacing w:after="0"/>
              <w:jc w:val="left"/>
            </w:pPr>
            <w:r>
              <w:rPr>
                <w:rFonts w:ascii="Georgia" w:cs="Georgia" w:eastAsia="Georgia" w:hAnsi="Georgia"/>
                <w:b/>
                <w:bCs/>
                <w:color w:val="FFFFFF"/>
                <w:sz w:val="18"/>
                <w:szCs w:val="18"/>
              </w:rPr>
              <w:t xml:space="preserve">Definition</w:t>
            </w:r>
          </w:p>
        </w:tc>
      </w:tr>
      <w:tr>
        <w:tc>
          <w:tcPr>
            <w:tcW w:type="dxa" w:w="2350"/>
            <w:tcBorders>
              <w:top w:val="single" w:color="C4CFD9" w:sz="1"/>
              <w:left w:val="single" w:color="C4CFD9" w:sz="1"/>
              <w:bottom w:val="single" w:color="C4CFD9" w:sz="1"/>
              <w:right w:val="single" w:color="C4CFD9" w:sz="1"/>
            </w:tcBorders>
            <w:shd w:fill="FFFFFF"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Actuarial value</w:t>
            </w:r>
          </w:p>
        </w:tc>
        <w:tc>
          <w:tcPr>
            <w:tcW w:type="dxa" w:w="7010"/>
            <w:tcBorders>
              <w:top w:val="single" w:color="C4CFD9" w:sz="1"/>
              <w:left w:val="single" w:color="C4CFD9" w:sz="1"/>
              <w:bottom w:val="single" w:color="C4CFD9" w:sz="1"/>
              <w:right w:val="single" w:color="C4CFD9" w:sz="1"/>
            </w:tcBorders>
            <w:shd w:fill="FFFFFF"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The share of expected covered health costs a plan pays on average; higher tiers have higher actuarial value and lower cost-sharing.</w:t>
            </w:r>
          </w:p>
        </w:tc>
      </w:tr>
      <w:tr>
        <w:tc>
          <w:tcPr>
            <w:tcW w:type="dxa" w:w="2350"/>
            <w:tcBorders>
              <w:top w:val="single" w:color="C4CFD9" w:sz="1"/>
              <w:left w:val="single" w:color="C4CFD9" w:sz="1"/>
              <w:bottom w:val="single" w:color="C4CFD9" w:sz="1"/>
              <w:right w:val="single" w:color="C4CFD9" w:sz="1"/>
            </w:tcBorders>
            <w:shd w:fill="F4F6F9"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Adverse selection</w:t>
            </w:r>
          </w:p>
        </w:tc>
        <w:tc>
          <w:tcPr>
            <w:tcW w:type="dxa" w:w="7010"/>
            <w:tcBorders>
              <w:top w:val="single" w:color="C4CFD9" w:sz="1"/>
              <w:left w:val="single" w:color="C4CFD9" w:sz="1"/>
              <w:bottom w:val="single" w:color="C4CFD9" w:sz="1"/>
              <w:right w:val="single" w:color="C4CFD9" w:sz="1"/>
            </w:tcBorders>
            <w:shd w:fill="F4F6F9"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A market failure in which those most likely to claim are most likely to buy coverage, raising prices and driving out lower-risk buyers.</w:t>
            </w:r>
          </w:p>
        </w:tc>
      </w:tr>
      <w:tr>
        <w:tc>
          <w:tcPr>
            <w:tcW w:type="dxa" w:w="2350"/>
            <w:tcBorders>
              <w:top w:val="single" w:color="C4CFD9" w:sz="1"/>
              <w:left w:val="single" w:color="C4CFD9" w:sz="1"/>
              <w:bottom w:val="single" w:color="C4CFD9" w:sz="1"/>
              <w:right w:val="single" w:color="C4CFD9" w:sz="1"/>
            </w:tcBorders>
            <w:shd w:fill="FFFFFF"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Annuity</w:t>
            </w:r>
          </w:p>
        </w:tc>
        <w:tc>
          <w:tcPr>
            <w:tcW w:type="dxa" w:w="7010"/>
            <w:tcBorders>
              <w:top w:val="single" w:color="C4CFD9" w:sz="1"/>
              <w:left w:val="single" w:color="C4CFD9" w:sz="1"/>
              <w:bottom w:val="single" w:color="C4CFD9" w:sz="1"/>
              <w:right w:val="single" w:color="C4CFD9" w:sz="1"/>
            </w:tcBorders>
            <w:shd w:fill="FFFFFF"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A contract in which an insurer provides tax-deferred growth or a stream of income, often for life, in exchange for a premium.</w:t>
            </w:r>
          </w:p>
        </w:tc>
      </w:tr>
      <w:tr>
        <w:tc>
          <w:tcPr>
            <w:tcW w:type="dxa" w:w="2350"/>
            <w:tcBorders>
              <w:top w:val="single" w:color="C4CFD9" w:sz="1"/>
              <w:left w:val="single" w:color="C4CFD9" w:sz="1"/>
              <w:bottom w:val="single" w:color="C4CFD9" w:sz="1"/>
              <w:right w:val="single" w:color="C4CFD9" w:sz="1"/>
            </w:tcBorders>
            <w:shd w:fill="F4F6F9"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Combined ratio</w:t>
            </w:r>
          </w:p>
        </w:tc>
        <w:tc>
          <w:tcPr>
            <w:tcW w:type="dxa" w:w="7010"/>
            <w:tcBorders>
              <w:top w:val="single" w:color="C4CFD9" w:sz="1"/>
              <w:left w:val="single" w:color="C4CFD9" w:sz="1"/>
              <w:bottom w:val="single" w:color="C4CFD9" w:sz="1"/>
              <w:right w:val="single" w:color="C4CFD9" w:sz="1"/>
            </w:tcBorders>
            <w:shd w:fill="F4F6F9"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An insurer’s losses plus expenses divided by premiums; below one indicates an underwriting profit, above one a loss.</w:t>
            </w:r>
          </w:p>
        </w:tc>
      </w:tr>
      <w:tr>
        <w:tc>
          <w:tcPr>
            <w:tcW w:type="dxa" w:w="2350"/>
            <w:tcBorders>
              <w:top w:val="single" w:color="C4CFD9" w:sz="1"/>
              <w:left w:val="single" w:color="C4CFD9" w:sz="1"/>
              <w:bottom w:val="single" w:color="C4CFD9" w:sz="1"/>
              <w:right w:val="single" w:color="C4CFD9" w:sz="1"/>
            </w:tcBorders>
            <w:shd w:fill="FFFFFF"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Community rating</w:t>
            </w:r>
          </w:p>
        </w:tc>
        <w:tc>
          <w:tcPr>
            <w:tcW w:type="dxa" w:w="7010"/>
            <w:tcBorders>
              <w:top w:val="single" w:color="C4CFD9" w:sz="1"/>
              <w:left w:val="single" w:color="C4CFD9" w:sz="1"/>
              <w:bottom w:val="single" w:color="C4CFD9" w:sz="1"/>
              <w:right w:val="single" w:color="C4CFD9" w:sz="1"/>
            </w:tcBorders>
            <w:shd w:fill="FFFFFF"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Pricing coverage without regard to an individual’s risk, so that all members of a group pay similar premiums.</w:t>
            </w:r>
          </w:p>
        </w:tc>
      </w:tr>
      <w:tr>
        <w:tc>
          <w:tcPr>
            <w:tcW w:type="dxa" w:w="2350"/>
            <w:tcBorders>
              <w:top w:val="single" w:color="C4CFD9" w:sz="1"/>
              <w:left w:val="single" w:color="C4CFD9" w:sz="1"/>
              <w:bottom w:val="single" w:color="C4CFD9" w:sz="1"/>
              <w:right w:val="single" w:color="C4CFD9" w:sz="1"/>
            </w:tcBorders>
            <w:shd w:fill="F4F6F9"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Coinsurance</w:t>
            </w:r>
          </w:p>
        </w:tc>
        <w:tc>
          <w:tcPr>
            <w:tcW w:type="dxa" w:w="7010"/>
            <w:tcBorders>
              <w:top w:val="single" w:color="C4CFD9" w:sz="1"/>
              <w:left w:val="single" w:color="C4CFD9" w:sz="1"/>
              <w:bottom w:val="single" w:color="C4CFD9" w:sz="1"/>
              <w:right w:val="single" w:color="C4CFD9" w:sz="1"/>
            </w:tcBorders>
            <w:shd w:fill="F4F6F9"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The share of a covered cost the insured pays after any deductible, expressed as a percentage.</w:t>
            </w:r>
          </w:p>
        </w:tc>
      </w:tr>
      <w:tr>
        <w:tc>
          <w:tcPr>
            <w:tcW w:type="dxa" w:w="2350"/>
            <w:tcBorders>
              <w:top w:val="single" w:color="C4CFD9" w:sz="1"/>
              <w:left w:val="single" w:color="C4CFD9" w:sz="1"/>
              <w:bottom w:val="single" w:color="C4CFD9" w:sz="1"/>
              <w:right w:val="single" w:color="C4CFD9" w:sz="1"/>
            </w:tcBorders>
            <w:shd w:fill="FFFFFF"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Decumulation</w:t>
            </w:r>
          </w:p>
        </w:tc>
        <w:tc>
          <w:tcPr>
            <w:tcW w:type="dxa" w:w="7010"/>
            <w:tcBorders>
              <w:top w:val="single" w:color="C4CFD9" w:sz="1"/>
              <w:left w:val="single" w:color="C4CFD9" w:sz="1"/>
              <w:bottom w:val="single" w:color="C4CFD9" w:sz="1"/>
              <w:right w:val="single" w:color="C4CFD9" w:sz="1"/>
            </w:tcBorders>
            <w:shd w:fill="FFFFFF"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The retirement phase in which accumulated wealth is drawn down to fund consumption, under uncertainty about length of life.</w:t>
            </w:r>
          </w:p>
        </w:tc>
      </w:tr>
      <w:tr>
        <w:tc>
          <w:tcPr>
            <w:tcW w:type="dxa" w:w="2350"/>
            <w:tcBorders>
              <w:top w:val="single" w:color="C4CFD9" w:sz="1"/>
              <w:left w:val="single" w:color="C4CFD9" w:sz="1"/>
              <w:bottom w:val="single" w:color="C4CFD9" w:sz="1"/>
              <w:right w:val="single" w:color="C4CFD9" w:sz="1"/>
            </w:tcBorders>
            <w:shd w:fill="F4F6F9"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Deductible</w:t>
            </w:r>
          </w:p>
        </w:tc>
        <w:tc>
          <w:tcPr>
            <w:tcW w:type="dxa" w:w="7010"/>
            <w:tcBorders>
              <w:top w:val="single" w:color="C4CFD9" w:sz="1"/>
              <w:left w:val="single" w:color="C4CFD9" w:sz="1"/>
              <w:bottom w:val="single" w:color="C4CFD9" w:sz="1"/>
              <w:right w:val="single" w:color="C4CFD9" w:sz="1"/>
            </w:tcBorders>
            <w:shd w:fill="F4F6F9"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The amount an insured pays out of pocket before coverage begins to pay.</w:t>
            </w:r>
          </w:p>
        </w:tc>
      </w:tr>
      <w:tr>
        <w:tc>
          <w:tcPr>
            <w:tcW w:type="dxa" w:w="2350"/>
            <w:tcBorders>
              <w:top w:val="single" w:color="C4CFD9" w:sz="1"/>
              <w:left w:val="single" w:color="C4CFD9" w:sz="1"/>
              <w:bottom w:val="single" w:color="C4CFD9" w:sz="1"/>
              <w:right w:val="single" w:color="C4CFD9" w:sz="1"/>
            </w:tcBorders>
            <w:shd w:fill="FFFFFF"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Defined-contribution plan</w:t>
            </w:r>
          </w:p>
        </w:tc>
        <w:tc>
          <w:tcPr>
            <w:tcW w:type="dxa" w:w="7010"/>
            <w:tcBorders>
              <w:top w:val="single" w:color="C4CFD9" w:sz="1"/>
              <w:left w:val="single" w:color="C4CFD9" w:sz="1"/>
              <w:bottom w:val="single" w:color="C4CFD9" w:sz="1"/>
              <w:right w:val="single" w:color="C4CFD9" w:sz="1"/>
            </w:tcBorders>
            <w:shd w:fill="FFFFFF"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A retirement plan (such as a 401(k) or the Thrift Savings Plan) in which contributions are defined and the eventual benefit depends on investment returns.</w:t>
            </w:r>
          </w:p>
        </w:tc>
      </w:tr>
      <w:tr>
        <w:tc>
          <w:tcPr>
            <w:tcW w:type="dxa" w:w="2350"/>
            <w:tcBorders>
              <w:top w:val="single" w:color="C4CFD9" w:sz="1"/>
              <w:left w:val="single" w:color="C4CFD9" w:sz="1"/>
              <w:bottom w:val="single" w:color="C4CFD9" w:sz="1"/>
              <w:right w:val="single" w:color="C4CFD9" w:sz="1"/>
            </w:tcBorders>
            <w:shd w:fill="F4F6F9"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Elimination period</w:t>
            </w:r>
          </w:p>
        </w:tc>
        <w:tc>
          <w:tcPr>
            <w:tcW w:type="dxa" w:w="7010"/>
            <w:tcBorders>
              <w:top w:val="single" w:color="C4CFD9" w:sz="1"/>
              <w:left w:val="single" w:color="C4CFD9" w:sz="1"/>
              <w:bottom w:val="single" w:color="C4CFD9" w:sz="1"/>
              <w:right w:val="single" w:color="C4CFD9" w:sz="1"/>
            </w:tcBorders>
            <w:shd w:fill="F4F6F9"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The waiting period in a disability policy between the onset of disability and the start of benefit payments.</w:t>
            </w:r>
          </w:p>
        </w:tc>
      </w:tr>
      <w:tr>
        <w:tc>
          <w:tcPr>
            <w:tcW w:type="dxa" w:w="2350"/>
            <w:tcBorders>
              <w:top w:val="single" w:color="C4CFD9" w:sz="1"/>
              <w:left w:val="single" w:color="C4CFD9" w:sz="1"/>
              <w:bottom w:val="single" w:color="C4CFD9" w:sz="1"/>
              <w:right w:val="single" w:color="C4CFD9" w:sz="1"/>
            </w:tcBorders>
            <w:shd w:fill="FFFFFF"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Expected-utility theory</w:t>
            </w:r>
          </w:p>
        </w:tc>
        <w:tc>
          <w:tcPr>
            <w:tcW w:type="dxa" w:w="7010"/>
            <w:tcBorders>
              <w:top w:val="single" w:color="C4CFD9" w:sz="1"/>
              <w:left w:val="single" w:color="C4CFD9" w:sz="1"/>
              <w:bottom w:val="single" w:color="C4CFD9" w:sz="1"/>
              <w:right w:val="single" w:color="C4CFD9" w:sz="1"/>
            </w:tcBorders>
            <w:shd w:fill="FFFFFF"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The standard model in which a rational agent chooses among risky options to maximize the probability-weighted average of the utility of outcomes.</w:t>
            </w:r>
          </w:p>
        </w:tc>
      </w:tr>
      <w:tr>
        <w:tc>
          <w:tcPr>
            <w:tcW w:type="dxa" w:w="2350"/>
            <w:tcBorders>
              <w:top w:val="single" w:color="C4CFD9" w:sz="1"/>
              <w:left w:val="single" w:color="C4CFD9" w:sz="1"/>
              <w:bottom w:val="single" w:color="C4CFD9" w:sz="1"/>
              <w:right w:val="single" w:color="C4CFD9" w:sz="1"/>
            </w:tcBorders>
            <w:shd w:fill="F4F6F9"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Guaranteed issue</w:t>
            </w:r>
          </w:p>
        </w:tc>
        <w:tc>
          <w:tcPr>
            <w:tcW w:type="dxa" w:w="7010"/>
            <w:tcBorders>
              <w:top w:val="single" w:color="C4CFD9" w:sz="1"/>
              <w:left w:val="single" w:color="C4CFD9" w:sz="1"/>
              <w:bottom w:val="single" w:color="C4CFD9" w:sz="1"/>
              <w:right w:val="single" w:color="C4CFD9" w:sz="1"/>
            </w:tcBorders>
            <w:shd w:fill="F4F6F9"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A requirement that an insurer offer coverage to applicants regardless of health status.</w:t>
            </w:r>
          </w:p>
        </w:tc>
      </w:tr>
      <w:tr>
        <w:tc>
          <w:tcPr>
            <w:tcW w:type="dxa" w:w="2350"/>
            <w:tcBorders>
              <w:top w:val="single" w:color="C4CFD9" w:sz="1"/>
              <w:left w:val="single" w:color="C4CFD9" w:sz="1"/>
              <w:bottom w:val="single" w:color="C4CFD9" w:sz="1"/>
              <w:right w:val="single" w:color="C4CFD9" w:sz="1"/>
            </w:tcBorders>
            <w:shd w:fill="FFFFFF"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Human-life-value method</w:t>
            </w:r>
          </w:p>
        </w:tc>
        <w:tc>
          <w:tcPr>
            <w:tcW w:type="dxa" w:w="7010"/>
            <w:tcBorders>
              <w:top w:val="single" w:color="C4CFD9" w:sz="1"/>
              <w:left w:val="single" w:color="C4CFD9" w:sz="1"/>
              <w:bottom w:val="single" w:color="C4CFD9" w:sz="1"/>
              <w:right w:val="single" w:color="C4CFD9" w:sz="1"/>
            </w:tcBorders>
            <w:shd w:fill="FFFFFF"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An approach to sizing life insurance that capitalizes the insured’s expected future earnings net of self-consumption.</w:t>
            </w:r>
          </w:p>
        </w:tc>
      </w:tr>
      <w:tr>
        <w:tc>
          <w:tcPr>
            <w:tcW w:type="dxa" w:w="2350"/>
            <w:tcBorders>
              <w:top w:val="single" w:color="C4CFD9" w:sz="1"/>
              <w:left w:val="single" w:color="C4CFD9" w:sz="1"/>
              <w:bottom w:val="single" w:color="C4CFD9" w:sz="1"/>
              <w:right w:val="single" w:color="C4CFD9" w:sz="1"/>
            </w:tcBorders>
            <w:shd w:fill="F4F6F9"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Index fund</w:t>
            </w:r>
          </w:p>
        </w:tc>
        <w:tc>
          <w:tcPr>
            <w:tcW w:type="dxa" w:w="7010"/>
            <w:tcBorders>
              <w:top w:val="single" w:color="C4CFD9" w:sz="1"/>
              <w:left w:val="single" w:color="C4CFD9" w:sz="1"/>
              <w:bottom w:val="single" w:color="C4CFD9" w:sz="1"/>
              <w:right w:val="single" w:color="C4CFD9" w:sz="1"/>
            </w:tcBorders>
            <w:shd w:fill="F4F6F9"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A fund that holds a broad market basket to track an index at low cost, rather than attempting to select outperforming securities.</w:t>
            </w:r>
          </w:p>
        </w:tc>
      </w:tr>
      <w:tr>
        <w:tc>
          <w:tcPr>
            <w:tcW w:type="dxa" w:w="2350"/>
            <w:tcBorders>
              <w:top w:val="single" w:color="C4CFD9" w:sz="1"/>
              <w:left w:val="single" w:color="C4CFD9" w:sz="1"/>
              <w:bottom w:val="single" w:color="C4CFD9" w:sz="1"/>
              <w:right w:val="single" w:color="C4CFD9" w:sz="1"/>
            </w:tcBorders>
            <w:shd w:fill="FFFFFF"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Loss ratio</w:t>
            </w:r>
          </w:p>
        </w:tc>
        <w:tc>
          <w:tcPr>
            <w:tcW w:type="dxa" w:w="7010"/>
            <w:tcBorders>
              <w:top w:val="single" w:color="C4CFD9" w:sz="1"/>
              <w:left w:val="single" w:color="C4CFD9" w:sz="1"/>
              <w:bottom w:val="single" w:color="C4CFD9" w:sz="1"/>
              <w:right w:val="single" w:color="C4CFD9" w:sz="1"/>
            </w:tcBorders>
            <w:shd w:fill="FFFFFF"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Incurred losses divided by earned premiums; a measure of the share of premium paid out as claims.</w:t>
            </w:r>
          </w:p>
        </w:tc>
      </w:tr>
      <w:tr>
        <w:tc>
          <w:tcPr>
            <w:tcW w:type="dxa" w:w="2350"/>
            <w:tcBorders>
              <w:top w:val="single" w:color="C4CFD9" w:sz="1"/>
              <w:left w:val="single" w:color="C4CFD9" w:sz="1"/>
              <w:bottom w:val="single" w:color="C4CFD9" w:sz="1"/>
              <w:right w:val="single" w:color="C4CFD9" w:sz="1"/>
            </w:tcBorders>
            <w:shd w:fill="F4F6F9"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Moral hazard</w:t>
            </w:r>
          </w:p>
        </w:tc>
        <w:tc>
          <w:tcPr>
            <w:tcW w:type="dxa" w:w="7010"/>
            <w:tcBorders>
              <w:top w:val="single" w:color="C4CFD9" w:sz="1"/>
              <w:left w:val="single" w:color="C4CFD9" w:sz="1"/>
              <w:bottom w:val="single" w:color="C4CFD9" w:sz="1"/>
              <w:right w:val="single" w:color="C4CFD9" w:sz="1"/>
            </w:tcBorders>
            <w:shd w:fill="F4F6F9"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The tendency of insurance to reduce the insured’s incentive to prevent or limit a loss once coverage is in place.</w:t>
            </w:r>
          </w:p>
        </w:tc>
      </w:tr>
      <w:tr>
        <w:tc>
          <w:tcPr>
            <w:tcW w:type="dxa" w:w="2350"/>
            <w:tcBorders>
              <w:top w:val="single" w:color="C4CFD9" w:sz="1"/>
              <w:left w:val="single" w:color="C4CFD9" w:sz="1"/>
              <w:bottom w:val="single" w:color="C4CFD9" w:sz="1"/>
              <w:right w:val="single" w:color="C4CFD9" w:sz="1"/>
            </w:tcBorders>
            <w:shd w:fill="FFFFFF"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Own-occupation coverage</w:t>
            </w:r>
          </w:p>
        </w:tc>
        <w:tc>
          <w:tcPr>
            <w:tcW w:type="dxa" w:w="7010"/>
            <w:tcBorders>
              <w:top w:val="single" w:color="C4CFD9" w:sz="1"/>
              <w:left w:val="single" w:color="C4CFD9" w:sz="1"/>
              <w:bottom w:val="single" w:color="C4CFD9" w:sz="1"/>
              <w:right w:val="single" w:color="C4CFD9" w:sz="1"/>
            </w:tcBorders>
            <w:shd w:fill="FFFFFF"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A disability definition that pays benefits when the insured cannot perform her specific occupation, a stronger standard than “any-occupation.”</w:t>
            </w:r>
          </w:p>
        </w:tc>
      </w:tr>
      <w:tr>
        <w:tc>
          <w:tcPr>
            <w:tcW w:type="dxa" w:w="2350"/>
            <w:tcBorders>
              <w:top w:val="single" w:color="C4CFD9" w:sz="1"/>
              <w:left w:val="single" w:color="C4CFD9" w:sz="1"/>
              <w:bottom w:val="single" w:color="C4CFD9" w:sz="1"/>
              <w:right w:val="single" w:color="C4CFD9" w:sz="1"/>
            </w:tcBorders>
            <w:shd w:fill="F4F6F9"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Prospect theory</w:t>
            </w:r>
          </w:p>
        </w:tc>
        <w:tc>
          <w:tcPr>
            <w:tcW w:type="dxa" w:w="7010"/>
            <w:tcBorders>
              <w:top w:val="single" w:color="C4CFD9" w:sz="1"/>
              <w:left w:val="single" w:color="C4CFD9" w:sz="1"/>
              <w:bottom w:val="single" w:color="C4CFD9" w:sz="1"/>
              <w:right w:val="single" w:color="C4CFD9" w:sz="1"/>
            </w:tcBorders>
            <w:shd w:fill="F4F6F9"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A behavioral model in which people evaluate outcomes relative to a reference point, are loss-averse, and weight probabilities non-linearly.</w:t>
            </w:r>
          </w:p>
        </w:tc>
      </w:tr>
      <w:tr>
        <w:tc>
          <w:tcPr>
            <w:tcW w:type="dxa" w:w="2350"/>
            <w:tcBorders>
              <w:top w:val="single" w:color="C4CFD9" w:sz="1"/>
              <w:left w:val="single" w:color="C4CFD9" w:sz="1"/>
              <w:bottom w:val="single" w:color="C4CFD9" w:sz="1"/>
              <w:right w:val="single" w:color="C4CFD9" w:sz="1"/>
            </w:tcBorders>
            <w:shd w:fill="FFFFFF"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Protection gap</w:t>
            </w:r>
          </w:p>
        </w:tc>
        <w:tc>
          <w:tcPr>
            <w:tcW w:type="dxa" w:w="7010"/>
            <w:tcBorders>
              <w:top w:val="single" w:color="C4CFD9" w:sz="1"/>
              <w:left w:val="single" w:color="C4CFD9" w:sz="1"/>
              <w:bottom w:val="single" w:color="C4CFD9" w:sz="1"/>
              <w:right w:val="single" w:color="C4CFD9" w:sz="1"/>
            </w:tcBorders>
            <w:shd w:fill="FFFFFF"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The difference between the coverage that would be economically warranted and the coverage actually held, across a population or risk.</w:t>
            </w:r>
          </w:p>
        </w:tc>
      </w:tr>
      <w:tr>
        <w:tc>
          <w:tcPr>
            <w:tcW w:type="dxa" w:w="2350"/>
            <w:tcBorders>
              <w:top w:val="single" w:color="C4CFD9" w:sz="1"/>
              <w:left w:val="single" w:color="C4CFD9" w:sz="1"/>
              <w:bottom w:val="single" w:color="C4CFD9" w:sz="1"/>
              <w:right w:val="single" w:color="C4CFD9" w:sz="1"/>
            </w:tcBorders>
            <w:shd w:fill="F4F6F9"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Risk aversion</w:t>
            </w:r>
          </w:p>
        </w:tc>
        <w:tc>
          <w:tcPr>
            <w:tcW w:type="dxa" w:w="7010"/>
            <w:tcBorders>
              <w:top w:val="single" w:color="C4CFD9" w:sz="1"/>
              <w:left w:val="single" w:color="C4CFD9" w:sz="1"/>
              <w:bottom w:val="single" w:color="C4CFD9" w:sz="1"/>
              <w:right w:val="single" w:color="C4CFD9" w:sz="1"/>
            </w:tcBorders>
            <w:shd w:fill="F4F6F9"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A preference for a certain outcome over a risky one of equal expected value; the basic reason insurance is valuable.</w:t>
            </w:r>
          </w:p>
        </w:tc>
      </w:tr>
      <w:tr>
        <w:tc>
          <w:tcPr>
            <w:tcW w:type="dxa" w:w="2350"/>
            <w:tcBorders>
              <w:top w:val="single" w:color="C4CFD9" w:sz="1"/>
              <w:left w:val="single" w:color="C4CFD9" w:sz="1"/>
              <w:bottom w:val="single" w:color="C4CFD9" w:sz="1"/>
              <w:right w:val="single" w:color="C4CFD9" w:sz="1"/>
            </w:tcBorders>
            <w:shd w:fill="FFFFFF"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Risk pooling</w:t>
            </w:r>
          </w:p>
        </w:tc>
        <w:tc>
          <w:tcPr>
            <w:tcW w:type="dxa" w:w="7010"/>
            <w:tcBorders>
              <w:top w:val="single" w:color="C4CFD9" w:sz="1"/>
              <w:left w:val="single" w:color="C4CFD9" w:sz="1"/>
              <w:bottom w:val="single" w:color="C4CFD9" w:sz="1"/>
              <w:right w:val="single" w:color="C4CFD9" w:sz="1"/>
            </w:tcBorders>
            <w:shd w:fill="FFFFFF"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Combining many independent exposures so that the average loss becomes predictable, allowing the group to bear risk each member could not.</w:t>
            </w:r>
          </w:p>
        </w:tc>
      </w:tr>
      <w:tr>
        <w:tc>
          <w:tcPr>
            <w:tcW w:type="dxa" w:w="2350"/>
            <w:tcBorders>
              <w:top w:val="single" w:color="C4CFD9" w:sz="1"/>
              <w:left w:val="single" w:color="C4CFD9" w:sz="1"/>
              <w:bottom w:val="single" w:color="C4CFD9" w:sz="1"/>
              <w:right w:val="single" w:color="C4CFD9" w:sz="1"/>
            </w:tcBorders>
            <w:shd w:fill="F4F6F9"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Term vs. permanent life</w:t>
            </w:r>
          </w:p>
        </w:tc>
        <w:tc>
          <w:tcPr>
            <w:tcW w:type="dxa" w:w="7010"/>
            <w:tcBorders>
              <w:top w:val="single" w:color="C4CFD9" w:sz="1"/>
              <w:left w:val="single" w:color="C4CFD9" w:sz="1"/>
              <w:bottom w:val="single" w:color="C4CFD9" w:sz="1"/>
              <w:right w:val="single" w:color="C4CFD9" w:sz="1"/>
            </w:tcBorders>
            <w:shd w:fill="F4F6F9"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Term life covers a fixed period with no cash value; permanent life adds a lifelong death benefit and a tax-advantaged savings component at higher cost.</w:t>
            </w:r>
          </w:p>
        </w:tc>
      </w:tr>
      <w:tr>
        <w:tc>
          <w:tcPr>
            <w:tcW w:type="dxa" w:w="2350"/>
            <w:tcBorders>
              <w:top w:val="single" w:color="C4CFD9" w:sz="1"/>
              <w:left w:val="single" w:color="C4CFD9" w:sz="1"/>
              <w:bottom w:val="single" w:color="C4CFD9" w:sz="1"/>
              <w:right w:val="single" w:color="C4CFD9" w:sz="1"/>
            </w:tcBorders>
            <w:shd w:fill="FFFFFF"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Underwriting</w:t>
            </w:r>
          </w:p>
        </w:tc>
        <w:tc>
          <w:tcPr>
            <w:tcW w:type="dxa" w:w="7010"/>
            <w:tcBorders>
              <w:top w:val="single" w:color="C4CFD9" w:sz="1"/>
              <w:left w:val="single" w:color="C4CFD9" w:sz="1"/>
              <w:bottom w:val="single" w:color="C4CFD9" w:sz="1"/>
              <w:right w:val="single" w:color="C4CFD9" w:sz="1"/>
            </w:tcBorders>
            <w:shd w:fill="FFFFFF" w:val="clear"/>
            <w:tcMar>
              <w:top w:type="dxa" w:w="50"/>
              <w:left w:type="dxa" w:w="90"/>
              <w:bottom w:type="dxa" w:w="50"/>
              <w:right w:type="dxa" w:w="90"/>
            </w:tcMar>
            <w:vAlign w:val="center"/>
          </w:tcPr>
          <w:p>
            <w:pPr>
              <w:spacing w:after="0" w:line="264"/>
              <w:jc w:val="left"/>
            </w:pPr>
            <w:r>
              <w:rPr>
                <w:rFonts w:ascii="Georgia" w:cs="Georgia" w:eastAsia="Georgia" w:hAnsi="Georgia"/>
                <w:b w:val="false"/>
                <w:bCs w:val="false"/>
                <w:color w:val="1A1A1A"/>
                <w:sz w:val="17"/>
                <w:szCs w:val="17"/>
              </w:rPr>
              <w:t xml:space="preserve">The process by which an insurer assesses an applicant’s risk and sets terms and price accordingly.</w:t>
            </w:r>
          </w:p>
        </w:tc>
      </w:tr>
    </w:tbl>
    <w:p>
      <w:pPr>
        <w:spacing w:after="140" w:before="40"/>
        <w:jc w:val="left"/>
      </w:pPr>
      <w:r>
        <w:rPr>
          <w:rFonts w:ascii="Georgia" w:cs="Georgia" w:eastAsia="Georgia" w:hAnsi="Georgia"/>
          <w:i/>
          <w:iCs/>
          <w:color w:val="555555"/>
          <w:sz w:val="17"/>
          <w:szCs w:val="17"/>
        </w:rPr>
        <w:t xml:space="preserve">Note. Definitions are simplified for general readership; see the corresponding sections for fuller treatment.</w:t>
      </w:r>
    </w:p>
    <w:p>
      <w:r>
        <w:br w:type="page"/>
      </w:r>
    </w:p>
    <w:p>
      <w:pPr>
        <w:pStyle w:val="Heading1"/>
        <w:spacing w:after="160" w:before="340"/>
      </w:pPr>
      <w:r>
        <w:t xml:space="preserve">References</w:t>
      </w:r>
    </w:p>
    <w:p>
      <w:pPr>
        <w:pBdr>
          <w:bottom w:val="single" w:color="6B4F2A" w:sz="6" w:space="1"/>
        </w:pBdr>
        <w:spacing w:after="140"/>
      </w:pPr>
      <w:r>
        <w:rPr>
          <w:rFonts w:ascii="Georgia" w:cs="Georgia" w:eastAsia="Georgia" w:hAnsi="Georgia"/>
          <w:color w:val="1A1A1A"/>
          <w:sz w:val="21"/>
          <w:szCs w:val="21"/>
        </w:rPr>
        <w:t xml:space="preserve"/>
      </w:r>
    </w:p>
    <w:p>
      <w:pPr>
        <w:spacing w:after="160" w:line="288"/>
        <w:jc w:val="both"/>
      </w:pPr>
      <w:r>
        <w:rPr>
          <w:rFonts w:ascii="Georgia" w:cs="Georgia" w:eastAsia="Georgia" w:hAnsi="Georgia"/>
          <w:color w:val="444444"/>
          <w:sz w:val="19"/>
          <w:szCs w:val="19"/>
        </w:rPr>
        <w:t xml:space="preserve">The list below collects the works cited in the text. It comprises peer-reviewed journal articles and scholarly books in insurance economics, household finance, and behavioral economics; government and regulatory reports; and industry and actuarial studies. Where a figure is drawn from a periodically updated source, the edition consulted is the one cited.</w:t>
      </w:r>
    </w:p>
    <w:p>
      <w:pPr>
        <w:spacing w:after="70" w:line="268"/>
        <w:ind w:left="400" w:hanging="400"/>
        <w:jc w:val="both"/>
      </w:pPr>
      <w:r>
        <w:rPr>
          <w:rFonts w:ascii="Georgia" w:cs="Georgia" w:eastAsia="Georgia" w:hAnsi="Georgia"/>
          <w:color w:val="1A1A1A"/>
          <w:sz w:val="18"/>
          <w:szCs w:val="18"/>
        </w:rPr>
        <w:t xml:space="preserve">A.M. Best. (2024). Best’s credit rating methodology: Understanding financial strength ratings. A.M. Best Company.</w:t>
      </w:r>
    </w:p>
    <w:p>
      <w:pPr>
        <w:spacing w:after="70" w:line="268"/>
        <w:ind w:left="400" w:hanging="400"/>
        <w:jc w:val="both"/>
      </w:pPr>
      <w:r>
        <w:rPr>
          <w:rFonts w:ascii="Georgia" w:cs="Georgia" w:eastAsia="Georgia" w:hAnsi="Georgia"/>
          <w:color w:val="1A1A1A"/>
          <w:sz w:val="18"/>
          <w:szCs w:val="18"/>
        </w:rPr>
        <w:t xml:space="preserve">Administration for Community Living. (2020). How much care will you need? U.S. Department of Health and Human Services, LongTermCare.gov.</w:t>
      </w:r>
    </w:p>
    <w:p>
      <w:pPr>
        <w:spacing w:after="70" w:line="268"/>
        <w:ind w:left="400" w:hanging="400"/>
        <w:jc w:val="both"/>
      </w:pPr>
      <w:r>
        <w:rPr>
          <w:rFonts w:ascii="Georgia" w:cs="Georgia" w:eastAsia="Georgia" w:hAnsi="Georgia"/>
          <w:color w:val="1A1A1A"/>
          <w:sz w:val="18"/>
          <w:szCs w:val="18"/>
        </w:rPr>
        <w:t xml:space="preserve">Agarwal, S., Presbitero, A., Silva, A. F., &amp; Wix, C. (2023). Who pays for your rewards? Redistribution in the credit card market (Finance and Economics Discussion Series 2023-007). Board of Governors of the Federal Reserve System.</w:t>
      </w:r>
    </w:p>
    <w:p>
      <w:pPr>
        <w:spacing w:after="70" w:line="268"/>
        <w:ind w:left="400" w:hanging="400"/>
        <w:jc w:val="both"/>
      </w:pPr>
      <w:r>
        <w:rPr>
          <w:rFonts w:ascii="Georgia" w:cs="Georgia" w:eastAsia="Georgia" w:hAnsi="Georgia"/>
          <w:color w:val="1A1A1A"/>
          <w:sz w:val="18"/>
          <w:szCs w:val="18"/>
        </w:rPr>
        <w:t xml:space="preserve">Akerlof, G. A. (1970). The market for “lemons”: Quality uncertainty and the market mechanism. Quarterly Journal of Economics, 84(3), 488–500.</w:t>
      </w:r>
    </w:p>
    <w:p>
      <w:pPr>
        <w:spacing w:after="70" w:line="268"/>
        <w:ind w:left="400" w:hanging="400"/>
        <w:jc w:val="both"/>
      </w:pPr>
      <w:r>
        <w:rPr>
          <w:rFonts w:ascii="Georgia" w:cs="Georgia" w:eastAsia="Georgia" w:hAnsi="Georgia"/>
          <w:color w:val="1A1A1A"/>
          <w:sz w:val="18"/>
          <w:szCs w:val="18"/>
        </w:rPr>
        <w:t xml:space="preserve">American Council of Life Insurers. (2024). Life insurers fact book 2024. ACLI.</w:t>
      </w:r>
    </w:p>
    <w:p>
      <w:pPr>
        <w:spacing w:after="70" w:line="268"/>
        <w:ind w:left="400" w:hanging="400"/>
        <w:jc w:val="both"/>
      </w:pPr>
      <w:r>
        <w:rPr>
          <w:rFonts w:ascii="Georgia" w:cs="Georgia" w:eastAsia="Georgia" w:hAnsi="Georgia"/>
          <w:color w:val="1A1A1A"/>
          <w:sz w:val="18"/>
          <w:szCs w:val="18"/>
        </w:rPr>
        <w:t xml:space="preserve">Arrow, K. J. (1963). Uncertainty and the welfare economics of medical care. American Economic Review, 53(5), 941–973.</w:t>
      </w:r>
    </w:p>
    <w:p>
      <w:pPr>
        <w:spacing w:after="70" w:line="268"/>
        <w:ind w:left="400" w:hanging="400"/>
        <w:jc w:val="both"/>
      </w:pPr>
      <w:r>
        <w:rPr>
          <w:rFonts w:ascii="Georgia" w:cs="Georgia" w:eastAsia="Georgia" w:hAnsi="Georgia"/>
          <w:color w:val="1A1A1A"/>
          <w:sz w:val="18"/>
          <w:szCs w:val="18"/>
        </w:rPr>
        <w:t xml:space="preserve">Azevedo, E. M., &amp; Gottlieb, D. (2017). Perfect competition in markets with adverse selection. Econometrica, 85(1), 67–105.</w:t>
      </w:r>
    </w:p>
    <w:p>
      <w:pPr>
        <w:spacing w:after="70" w:line="268"/>
        <w:ind w:left="400" w:hanging="400"/>
        <w:jc w:val="both"/>
      </w:pPr>
      <w:r>
        <w:rPr>
          <w:rFonts w:ascii="Georgia" w:cs="Georgia" w:eastAsia="Georgia" w:hAnsi="Georgia"/>
          <w:color w:val="1A1A1A"/>
          <w:sz w:val="18"/>
          <w:szCs w:val="18"/>
        </w:rPr>
        <w:t xml:space="preserve">Babbel, D. F., &amp; Ohtsuka, E. (1989). Aspects of optimal multiperiod life insurance. Journal of Risk and Insurance, 56(3), 460–481.</w:t>
      </w:r>
    </w:p>
    <w:p>
      <w:pPr>
        <w:spacing w:after="70" w:line="268"/>
        <w:ind w:left="400" w:hanging="400"/>
        <w:jc w:val="both"/>
      </w:pPr>
      <w:r>
        <w:rPr>
          <w:rFonts w:ascii="Georgia" w:cs="Georgia" w:eastAsia="Georgia" w:hAnsi="Georgia"/>
          <w:color w:val="1A1A1A"/>
          <w:sz w:val="18"/>
          <w:szCs w:val="18"/>
        </w:rPr>
        <w:t xml:space="preserve">Barber, B. M., &amp; Odean, T. (2000). Trading is hazardous to your wealth: The common stock investment performance of individual investors. Journal of Finance, 55(2), 773–806.</w:t>
      </w:r>
    </w:p>
    <w:p>
      <w:pPr>
        <w:spacing w:after="70" w:line="268"/>
        <w:ind w:left="400" w:hanging="400"/>
        <w:jc w:val="both"/>
      </w:pPr>
      <w:r>
        <w:rPr>
          <w:rFonts w:ascii="Georgia" w:cs="Georgia" w:eastAsia="Georgia" w:hAnsi="Georgia"/>
          <w:color w:val="1A1A1A"/>
          <w:sz w:val="18"/>
          <w:szCs w:val="18"/>
        </w:rPr>
        <w:t xml:space="preserve">Barseghyan, L., Molinari, F., O’Donoghue, T., &amp; Teitelbaum, J. C. (2013). The nature of risk preferences: Evidence from insurance choices. American Economic Review, 103(6), 2499–2529.</w:t>
      </w:r>
    </w:p>
    <w:p>
      <w:pPr>
        <w:spacing w:after="70" w:line="268"/>
        <w:ind w:left="400" w:hanging="400"/>
        <w:jc w:val="both"/>
      </w:pPr>
      <w:r>
        <w:rPr>
          <w:rFonts w:ascii="Georgia" w:cs="Georgia" w:eastAsia="Georgia" w:hAnsi="Georgia"/>
          <w:color w:val="1A1A1A"/>
          <w:sz w:val="18"/>
          <w:szCs w:val="18"/>
        </w:rPr>
        <w:t xml:space="preserve">Benartzi, S., &amp; Thaler, R. H. (2007). Heuristics and biases in retirement savings behavior. Journal of Economic Perspectives, 21(3), 81–104.</w:t>
      </w:r>
    </w:p>
    <w:p>
      <w:pPr>
        <w:spacing w:after="70" w:line="268"/>
        <w:ind w:left="400" w:hanging="400"/>
        <w:jc w:val="both"/>
      </w:pPr>
      <w:r>
        <w:rPr>
          <w:rFonts w:ascii="Georgia" w:cs="Georgia" w:eastAsia="Georgia" w:hAnsi="Georgia"/>
          <w:color w:val="1A1A1A"/>
          <w:sz w:val="18"/>
          <w:szCs w:val="18"/>
        </w:rPr>
        <w:t xml:space="preserve">Benartzi, S., Previtero, A., &amp; Thaler, R. H. (2011). Annuitization puzzles. Journal of Economic Perspectives, 25(4), 143–164.</w:t>
      </w:r>
    </w:p>
    <w:p>
      <w:pPr>
        <w:spacing w:after="70" w:line="268"/>
        <w:ind w:left="400" w:hanging="400"/>
        <w:jc w:val="both"/>
      </w:pPr>
      <w:r>
        <w:rPr>
          <w:rFonts w:ascii="Georgia" w:cs="Georgia" w:eastAsia="Georgia" w:hAnsi="Georgia"/>
          <w:color w:val="1A1A1A"/>
          <w:sz w:val="18"/>
          <w:szCs w:val="18"/>
        </w:rPr>
        <w:t xml:space="preserve">Bernheim, B. D., Forni, L., Gokhale, J., &amp; Kotlikoff, L. J. (2003). The mismatch between life insurance holdings and financial vulnerabilities: Evidence from the Health and Retirement Study. American Economic Review, 93(1), 354–365.</w:t>
      </w:r>
    </w:p>
    <w:p>
      <w:pPr>
        <w:spacing w:after="70" w:line="268"/>
        <w:ind w:left="400" w:hanging="400"/>
        <w:jc w:val="both"/>
      </w:pPr>
      <w:r>
        <w:rPr>
          <w:rFonts w:ascii="Georgia" w:cs="Georgia" w:eastAsia="Georgia" w:hAnsi="Georgia"/>
          <w:color w:val="1A1A1A"/>
          <w:sz w:val="18"/>
          <w:szCs w:val="18"/>
        </w:rPr>
        <w:t xml:space="preserve">Bhargava, S., Loewenstein, G., &amp; Sydnor, J. (2017). Choose to lose: Health plan choices from a menu with dominated options. Quarterly Journal of Economics, 132(3), 1319–1372.</w:t>
      </w:r>
    </w:p>
    <w:p>
      <w:pPr>
        <w:spacing w:after="70" w:line="268"/>
        <w:ind w:left="400" w:hanging="400"/>
        <w:jc w:val="both"/>
      </w:pPr>
      <w:r>
        <w:rPr>
          <w:rFonts w:ascii="Georgia" w:cs="Georgia" w:eastAsia="Georgia" w:hAnsi="Georgia"/>
          <w:color w:val="1A1A1A"/>
          <w:sz w:val="18"/>
          <w:szCs w:val="18"/>
        </w:rPr>
        <w:t xml:space="preserve">Bogle, J. C. (2017). The little book of common sense investing (10th anniversary ed.). Wiley.</w:t>
      </w:r>
    </w:p>
    <w:p>
      <w:pPr>
        <w:spacing w:after="70" w:line="268"/>
        <w:ind w:left="400" w:hanging="400"/>
        <w:jc w:val="both"/>
      </w:pPr>
      <w:r>
        <w:rPr>
          <w:rFonts w:ascii="Georgia" w:cs="Georgia" w:eastAsia="Georgia" w:hAnsi="Georgia"/>
          <w:color w:val="1A1A1A"/>
          <w:sz w:val="18"/>
          <w:szCs w:val="18"/>
        </w:rPr>
        <w:t xml:space="preserve">Brook, R. H., Ware, J. E., Rogers, W. H., Keeler, E. B., Davies, A. R., Donald, C. A., … Newhouse, J. P. (1983). Does free care improve adults’ health? Results from a randomized controlled trial. New England Journal of Medicine, 309(23), 1426–1434.</w:t>
      </w:r>
    </w:p>
    <w:p>
      <w:pPr>
        <w:spacing w:after="70" w:line="268"/>
        <w:ind w:left="400" w:hanging="400"/>
        <w:jc w:val="both"/>
      </w:pPr>
      <w:r>
        <w:rPr>
          <w:rFonts w:ascii="Georgia" w:cs="Georgia" w:eastAsia="Georgia" w:hAnsi="Georgia"/>
          <w:color w:val="1A1A1A"/>
          <w:sz w:val="18"/>
          <w:szCs w:val="18"/>
        </w:rPr>
        <w:t xml:space="preserve">Brown, J. R. (2001). Private pensions, mortality risk, and the decision to annuitize. Journal of Public Economics, 82(1), 29–62.</w:t>
      </w:r>
    </w:p>
    <w:p>
      <w:pPr>
        <w:spacing w:after="70" w:line="268"/>
        <w:ind w:left="400" w:hanging="400"/>
        <w:jc w:val="both"/>
      </w:pPr>
      <w:r>
        <w:rPr>
          <w:rFonts w:ascii="Georgia" w:cs="Georgia" w:eastAsia="Georgia" w:hAnsi="Georgia"/>
          <w:color w:val="1A1A1A"/>
          <w:sz w:val="18"/>
          <w:szCs w:val="18"/>
        </w:rPr>
        <w:t xml:space="preserve">Brown, J. R. (2007). Rational and behavioral perspectives on the role of annuities in retirement planning (NBER Working Paper No. 13537). National Bureau of Economic Research.</w:t>
      </w:r>
    </w:p>
    <w:p>
      <w:pPr>
        <w:spacing w:after="70" w:line="268"/>
        <w:ind w:left="400" w:hanging="400"/>
        <w:jc w:val="both"/>
      </w:pPr>
      <w:r>
        <w:rPr>
          <w:rFonts w:ascii="Georgia" w:cs="Georgia" w:eastAsia="Georgia" w:hAnsi="Georgia"/>
          <w:color w:val="1A1A1A"/>
          <w:sz w:val="18"/>
          <w:szCs w:val="18"/>
        </w:rPr>
        <w:t xml:space="preserve">Brown, J. R., &amp; Finkelstein, A. (2007). Why is the market for long-term care insurance so small? Journal of Public Economics, 91(10), 1967–1991.</w:t>
      </w:r>
    </w:p>
    <w:p>
      <w:pPr>
        <w:spacing w:after="70" w:line="268"/>
        <w:ind w:left="400" w:hanging="400"/>
        <w:jc w:val="both"/>
      </w:pPr>
      <w:r>
        <w:rPr>
          <w:rFonts w:ascii="Georgia" w:cs="Georgia" w:eastAsia="Georgia" w:hAnsi="Georgia"/>
          <w:color w:val="1A1A1A"/>
          <w:sz w:val="18"/>
          <w:szCs w:val="18"/>
        </w:rPr>
        <w:t xml:space="preserve">Brown, J. R., &amp; Finkelstein, A. (2008). The interaction of public and private insurance: Medicaid and the long-term care insurance market. American Economic Review, 98(3), 1083–1102.</w:t>
      </w:r>
    </w:p>
    <w:p>
      <w:pPr>
        <w:spacing w:after="70" w:line="268"/>
        <w:ind w:left="400" w:hanging="400"/>
        <w:jc w:val="both"/>
      </w:pPr>
      <w:r>
        <w:rPr>
          <w:rFonts w:ascii="Georgia" w:cs="Georgia" w:eastAsia="Georgia" w:hAnsi="Georgia"/>
          <w:color w:val="1A1A1A"/>
          <w:sz w:val="18"/>
          <w:szCs w:val="18"/>
        </w:rPr>
        <w:t xml:space="preserve">Campbell, J. Y. (2006). Household finance. Journal of Finance, 61(4), 1553–1604.</w:t>
      </w:r>
    </w:p>
    <w:p>
      <w:pPr>
        <w:spacing w:after="70" w:line="268"/>
        <w:ind w:left="400" w:hanging="400"/>
        <w:jc w:val="both"/>
      </w:pPr>
      <w:r>
        <w:rPr>
          <w:rFonts w:ascii="Georgia" w:cs="Georgia" w:eastAsia="Georgia" w:hAnsi="Georgia"/>
          <w:color w:val="1A1A1A"/>
          <w:sz w:val="18"/>
          <w:szCs w:val="18"/>
        </w:rPr>
        <w:t xml:space="preserve">Carhart, M. M. (1997). On persistence in mutual fund performance. Journal of Finance, 52(1), 57–82.</w:t>
      </w:r>
    </w:p>
    <w:p>
      <w:pPr>
        <w:spacing w:after="70" w:line="268"/>
        <w:ind w:left="400" w:hanging="400"/>
        <w:jc w:val="both"/>
      </w:pPr>
      <w:r>
        <w:rPr>
          <w:rFonts w:ascii="Georgia" w:cs="Georgia" w:eastAsia="Georgia" w:hAnsi="Georgia"/>
          <w:color w:val="1A1A1A"/>
          <w:sz w:val="18"/>
          <w:szCs w:val="18"/>
        </w:rPr>
        <w:t xml:space="preserve">Chiappori, P.-A., &amp; Salanié, B. (2000). Testing for asymmetric information in insurance markets. Journal of Political Economy, 108(1), 56–78.</w:t>
      </w:r>
    </w:p>
    <w:p>
      <w:pPr>
        <w:spacing w:after="70" w:line="268"/>
        <w:ind w:left="400" w:hanging="400"/>
        <w:jc w:val="both"/>
      </w:pPr>
      <w:r>
        <w:rPr>
          <w:rFonts w:ascii="Georgia" w:cs="Georgia" w:eastAsia="Georgia" w:hAnsi="Georgia"/>
          <w:color w:val="1A1A1A"/>
          <w:sz w:val="18"/>
          <w:szCs w:val="18"/>
        </w:rPr>
        <w:t xml:space="preserve">Collins, S. R., &amp; Gupta, A. (2024). The state of U.S. health insurance in 2024: Findings from the Commonwealth Fund Biennial Health Insurance Survey. The Commonwealth Fund.</w:t>
      </w:r>
    </w:p>
    <w:p>
      <w:pPr>
        <w:spacing w:after="70" w:line="268"/>
        <w:ind w:left="400" w:hanging="400"/>
        <w:jc w:val="both"/>
      </w:pPr>
      <w:r>
        <w:rPr>
          <w:rFonts w:ascii="Georgia" w:cs="Georgia" w:eastAsia="Georgia" w:hAnsi="Georgia"/>
          <w:color w:val="1A1A1A"/>
          <w:sz w:val="18"/>
          <w:szCs w:val="18"/>
        </w:rPr>
        <w:t xml:space="preserve">Collins, S. R., Aboulafia, G. N., &amp; Gunja, M. Z. (2025). The cost of coverage: How the expiration of enhanced premium tax credits will affect Marketplace enrollees. The Commonwealth Fund.</w:t>
      </w:r>
    </w:p>
    <w:p>
      <w:pPr>
        <w:spacing w:after="70" w:line="268"/>
        <w:ind w:left="400" w:hanging="400"/>
        <w:jc w:val="both"/>
      </w:pPr>
      <w:r>
        <w:rPr>
          <w:rFonts w:ascii="Georgia" w:cs="Georgia" w:eastAsia="Georgia" w:hAnsi="Georgia"/>
          <w:color w:val="1A1A1A"/>
          <w:sz w:val="18"/>
          <w:szCs w:val="18"/>
        </w:rPr>
        <w:t xml:space="preserve">Congressional Budget Office. (2024). Estimated budgetary effects of permanently extending the expanded premium tax credit. CBO.</w:t>
      </w:r>
    </w:p>
    <w:p>
      <w:pPr>
        <w:spacing w:after="70" w:line="268"/>
        <w:ind w:left="400" w:hanging="400"/>
        <w:jc w:val="both"/>
      </w:pPr>
      <w:r>
        <w:rPr>
          <w:rFonts w:ascii="Georgia" w:cs="Georgia" w:eastAsia="Georgia" w:hAnsi="Georgia"/>
          <w:color w:val="1A1A1A"/>
          <w:sz w:val="18"/>
          <w:szCs w:val="18"/>
        </w:rPr>
        <w:t xml:space="preserve">Congressional Research Service. (2023). Who pays for long-term services and supports? (In Focus No. IF10343). CRS.</w:t>
      </w:r>
    </w:p>
    <w:p>
      <w:pPr>
        <w:spacing w:after="70" w:line="268"/>
        <w:ind w:left="400" w:hanging="400"/>
        <w:jc w:val="both"/>
      </w:pPr>
      <w:r>
        <w:rPr>
          <w:rFonts w:ascii="Georgia" w:cs="Georgia" w:eastAsia="Georgia" w:hAnsi="Georgia"/>
          <w:color w:val="1A1A1A"/>
          <w:sz w:val="18"/>
          <w:szCs w:val="18"/>
        </w:rPr>
        <w:t xml:space="preserve">Congressional Research Service. (2025). The expiration of enhanced Marketplace subsidies: Coverage and premium effects (Report No. R48290). CRS.</w:t>
      </w:r>
    </w:p>
    <w:p>
      <w:pPr>
        <w:spacing w:after="70" w:line="268"/>
        <w:ind w:left="400" w:hanging="400"/>
        <w:jc w:val="both"/>
      </w:pPr>
      <w:r>
        <w:rPr>
          <w:rFonts w:ascii="Georgia" w:cs="Georgia" w:eastAsia="Georgia" w:hAnsi="Georgia"/>
          <w:color w:val="1A1A1A"/>
          <w:sz w:val="18"/>
          <w:szCs w:val="18"/>
        </w:rPr>
        <w:t xml:space="preserve">Consumer Federation of America. (2007). Statement on the Federal Trade Commission report on credit-based insurance scores. CFA.</w:t>
      </w:r>
    </w:p>
    <w:p>
      <w:pPr>
        <w:spacing w:after="70" w:line="268"/>
        <w:ind w:left="400" w:hanging="400"/>
        <w:jc w:val="both"/>
      </w:pPr>
      <w:r>
        <w:rPr>
          <w:rFonts w:ascii="Georgia" w:cs="Georgia" w:eastAsia="Georgia" w:hAnsi="Georgia"/>
          <w:color w:val="1A1A1A"/>
          <w:sz w:val="18"/>
          <w:szCs w:val="18"/>
        </w:rPr>
        <w:t xml:space="preserve">Consumer Financial Protection Bureau. (2024). Protecting servicemembers: The Military Lending Act and the Servicemembers Civil Relief Act. CFPB.</w:t>
      </w:r>
    </w:p>
    <w:p>
      <w:pPr>
        <w:spacing w:after="70" w:line="268"/>
        <w:ind w:left="400" w:hanging="400"/>
        <w:jc w:val="both"/>
      </w:pPr>
      <w:r>
        <w:rPr>
          <w:rFonts w:ascii="Georgia" w:cs="Georgia" w:eastAsia="Georgia" w:hAnsi="Georgia"/>
          <w:color w:val="1A1A1A"/>
          <w:sz w:val="18"/>
          <w:szCs w:val="18"/>
        </w:rPr>
        <w:t xml:space="preserve">Council for Disability Awareness. (2023). Disability statistics and the case for income protection. CDA.</w:t>
      </w:r>
    </w:p>
    <w:p>
      <w:pPr>
        <w:spacing w:after="70" w:line="268"/>
        <w:ind w:left="400" w:hanging="400"/>
        <w:jc w:val="both"/>
      </w:pPr>
      <w:r>
        <w:rPr>
          <w:rFonts w:ascii="Georgia" w:cs="Georgia" w:eastAsia="Georgia" w:hAnsi="Georgia"/>
          <w:color w:val="1A1A1A"/>
          <w:sz w:val="18"/>
          <w:szCs w:val="18"/>
        </w:rPr>
        <w:t xml:space="preserve">Cremers, K. J. M., Fulkerson, J. A., &amp; Riley, T. B. (2019). Challenging the conventional wisdom on active management: A review of the past 20 years of academic literature on actively managed mutual funds. Financial Analysts Journal, 75(4), 8–35.</w:t>
      </w:r>
    </w:p>
    <w:p>
      <w:pPr>
        <w:spacing w:after="70" w:line="268"/>
        <w:ind w:left="400" w:hanging="400"/>
        <w:jc w:val="both"/>
      </w:pPr>
      <w:r>
        <w:rPr>
          <w:rFonts w:ascii="Georgia" w:cs="Georgia" w:eastAsia="Georgia" w:hAnsi="Georgia"/>
          <w:color w:val="1A1A1A"/>
          <w:sz w:val="18"/>
          <w:szCs w:val="18"/>
        </w:rPr>
        <w:t xml:space="preserve">Cummins, J. D., &amp; Weiss, M. A. (2009). Convergence of insurance and financial markets: Hybrid and securitized risk-transfer solutions. Journal of Risk and Insurance, 76(3), 493–545.</w:t>
      </w:r>
    </w:p>
    <w:p>
      <w:pPr>
        <w:spacing w:after="70" w:line="268"/>
        <w:ind w:left="400" w:hanging="400"/>
        <w:jc w:val="both"/>
      </w:pPr>
      <w:r>
        <w:rPr>
          <w:rFonts w:ascii="Georgia" w:cs="Georgia" w:eastAsia="Georgia" w:hAnsi="Georgia"/>
          <w:color w:val="1A1A1A"/>
          <w:sz w:val="18"/>
          <w:szCs w:val="18"/>
        </w:rPr>
        <w:t xml:space="preserve">Cutler, D. M., &amp; Zeckhauser, R. J. (2004). Extending the theory to meet the practice of insurance. Brookings-Wharton Papers on Financial Services, 2004, 1–53.</w:t>
      </w:r>
    </w:p>
    <w:p>
      <w:pPr>
        <w:spacing w:after="70" w:line="268"/>
        <w:ind w:left="400" w:hanging="400"/>
        <w:jc w:val="both"/>
      </w:pPr>
      <w:r>
        <w:rPr>
          <w:rFonts w:ascii="Georgia" w:cs="Georgia" w:eastAsia="Georgia" w:hAnsi="Georgia"/>
          <w:color w:val="1A1A1A"/>
          <w:sz w:val="18"/>
          <w:szCs w:val="18"/>
        </w:rPr>
        <w:t xml:space="preserve">Davidoff, T., Brown, J. R., &amp; Diamond, P. A. (2005). Annuities and individual welfare. American Economic Review, 95(5), 1573–1590.</w:t>
      </w:r>
    </w:p>
    <w:p>
      <w:pPr>
        <w:spacing w:after="70" w:line="268"/>
        <w:ind w:left="400" w:hanging="400"/>
        <w:jc w:val="both"/>
      </w:pPr>
      <w:r>
        <w:rPr>
          <w:rFonts w:ascii="Georgia" w:cs="Georgia" w:eastAsia="Georgia" w:hAnsi="Georgia"/>
          <w:color w:val="1A1A1A"/>
          <w:sz w:val="18"/>
          <w:szCs w:val="18"/>
        </w:rPr>
        <w:t xml:space="preserve">Defense Finance and Accounting Service. (2024). Blended Retirement System. DFAS.</w:t>
      </w:r>
    </w:p>
    <w:p>
      <w:pPr>
        <w:spacing w:after="70" w:line="268"/>
        <w:ind w:left="400" w:hanging="400"/>
        <w:jc w:val="both"/>
      </w:pPr>
      <w:r>
        <w:rPr>
          <w:rFonts w:ascii="Georgia" w:cs="Georgia" w:eastAsia="Georgia" w:hAnsi="Georgia"/>
          <w:color w:val="1A1A1A"/>
          <w:sz w:val="18"/>
          <w:szCs w:val="18"/>
        </w:rPr>
        <w:t xml:space="preserve">Defense Health Agency. (2025). TRICARE costs and fees 2026. U.S. Department of Defense.</w:t>
      </w:r>
    </w:p>
    <w:p>
      <w:pPr>
        <w:spacing w:after="70" w:line="268"/>
        <w:ind w:left="400" w:hanging="400"/>
        <w:jc w:val="both"/>
      </w:pPr>
      <w:r>
        <w:rPr>
          <w:rFonts w:ascii="Georgia" w:cs="Georgia" w:eastAsia="Georgia" w:hAnsi="Georgia"/>
          <w:color w:val="1A1A1A"/>
          <w:sz w:val="18"/>
          <w:szCs w:val="18"/>
        </w:rPr>
        <w:t xml:space="preserve">Ehrlich, I., &amp; Becker, G. S. (1972). Market insurance, self-insurance, and self-protection. Journal of Political Economy, 80(4), 623–648.</w:t>
      </w:r>
    </w:p>
    <w:p>
      <w:pPr>
        <w:spacing w:after="70" w:line="268"/>
        <w:ind w:left="400" w:hanging="400"/>
        <w:jc w:val="both"/>
      </w:pPr>
      <w:r>
        <w:rPr>
          <w:rFonts w:ascii="Georgia" w:cs="Georgia" w:eastAsia="Georgia" w:hAnsi="Georgia"/>
          <w:color w:val="1A1A1A"/>
          <w:sz w:val="18"/>
          <w:szCs w:val="18"/>
        </w:rPr>
        <w:t xml:space="preserve">Einav, L., &amp; Finkelstein, A. (2011). Selection in insurance markets: Theory and empirics in pictures. Journal of Economic Perspectives, 25(1), 115–138.</w:t>
      </w:r>
    </w:p>
    <w:p>
      <w:pPr>
        <w:spacing w:after="70" w:line="268"/>
        <w:ind w:left="400" w:hanging="400"/>
        <w:jc w:val="both"/>
      </w:pPr>
      <w:r>
        <w:rPr>
          <w:rFonts w:ascii="Georgia" w:cs="Georgia" w:eastAsia="Georgia" w:hAnsi="Georgia"/>
          <w:color w:val="1A1A1A"/>
          <w:sz w:val="18"/>
          <w:szCs w:val="18"/>
        </w:rPr>
        <w:t xml:space="preserve">Einav, L., Finkelstein, A., &amp; Cullen, M. R. (2010). Estimating welfare in insurance markets using variation in prices. Quarterly Journal of Economics, 125(3), 877–921.</w:t>
      </w:r>
    </w:p>
    <w:p>
      <w:pPr>
        <w:spacing w:after="70" w:line="268"/>
        <w:ind w:left="400" w:hanging="400"/>
        <w:jc w:val="both"/>
      </w:pPr>
      <w:r>
        <w:rPr>
          <w:rFonts w:ascii="Georgia" w:cs="Georgia" w:eastAsia="Georgia" w:hAnsi="Georgia"/>
          <w:color w:val="1A1A1A"/>
          <w:sz w:val="18"/>
          <w:szCs w:val="18"/>
        </w:rPr>
        <w:t xml:space="preserve">Fama, E. F., &amp; French, K. R. (1993). Common risk factors in the returns on stocks and bonds. Journal of Financial Economics, 33(1), 3–56.</w:t>
      </w:r>
    </w:p>
    <w:p>
      <w:pPr>
        <w:spacing w:after="70" w:line="268"/>
        <w:ind w:left="400" w:hanging="400"/>
        <w:jc w:val="both"/>
      </w:pPr>
      <w:r>
        <w:rPr>
          <w:rFonts w:ascii="Georgia" w:cs="Georgia" w:eastAsia="Georgia" w:hAnsi="Georgia"/>
          <w:color w:val="1A1A1A"/>
          <w:sz w:val="18"/>
          <w:szCs w:val="18"/>
        </w:rPr>
        <w:t xml:space="preserve">Fama, E. F., &amp; French, K. R. (2010). Luck versus skill in the cross-section of mutual fund returns. Journal of Finance, 65(5), 1915–1947.</w:t>
      </w:r>
    </w:p>
    <w:p>
      <w:pPr>
        <w:spacing w:after="70" w:line="268"/>
        <w:ind w:left="400" w:hanging="400"/>
        <w:jc w:val="both"/>
      </w:pPr>
      <w:r>
        <w:rPr>
          <w:rFonts w:ascii="Georgia" w:cs="Georgia" w:eastAsia="Georgia" w:hAnsi="Georgia"/>
          <w:color w:val="1A1A1A"/>
          <w:sz w:val="18"/>
          <w:szCs w:val="18"/>
        </w:rPr>
        <w:t xml:space="preserve">Federal Trade Commission. (2007). Credit-based insurance scores: Impacts on consumers of automobile insurance. FTC.</w:t>
      </w:r>
    </w:p>
    <w:p>
      <w:pPr>
        <w:spacing w:after="70" w:line="268"/>
        <w:ind w:left="400" w:hanging="400"/>
        <w:jc w:val="both"/>
      </w:pPr>
      <w:r>
        <w:rPr>
          <w:rFonts w:ascii="Georgia" w:cs="Georgia" w:eastAsia="Georgia" w:hAnsi="Georgia"/>
          <w:color w:val="1A1A1A"/>
          <w:sz w:val="18"/>
          <w:szCs w:val="18"/>
        </w:rPr>
        <w:t xml:space="preserve">Financial Industry Regulatory Authority. (2023). Annuities. FINRA Investor Education Foundation.</w:t>
      </w:r>
    </w:p>
    <w:p>
      <w:pPr>
        <w:spacing w:after="70" w:line="268"/>
        <w:ind w:left="400" w:hanging="400"/>
        <w:jc w:val="both"/>
      </w:pPr>
      <w:r>
        <w:rPr>
          <w:rFonts w:ascii="Georgia" w:cs="Georgia" w:eastAsia="Georgia" w:hAnsi="Georgia"/>
          <w:color w:val="1A1A1A"/>
          <w:sz w:val="18"/>
          <w:szCs w:val="18"/>
        </w:rPr>
        <w:t xml:space="preserve">Finkelstein, A., &amp; McGarry, K. (2006). Multiple dimensions of private information: Evidence from the long-term care insurance market. American Economic Review, 96(4), 938–958.</w:t>
      </w:r>
    </w:p>
    <w:p>
      <w:pPr>
        <w:spacing w:after="70" w:line="268"/>
        <w:ind w:left="400" w:hanging="400"/>
        <w:jc w:val="both"/>
      </w:pPr>
      <w:r>
        <w:rPr>
          <w:rFonts w:ascii="Georgia" w:cs="Georgia" w:eastAsia="Georgia" w:hAnsi="Georgia"/>
          <w:color w:val="1A1A1A"/>
          <w:sz w:val="18"/>
          <w:szCs w:val="18"/>
        </w:rPr>
        <w:t xml:space="preserve">Finkelstein, A., &amp; Poterba, J. (2004). Adverse selection in insurance markets: Policyholder evidence from the U.K. annuity market. Journal of Political Economy, 112(1), 183–208.</w:t>
      </w:r>
    </w:p>
    <w:p>
      <w:pPr>
        <w:spacing w:after="70" w:line="268"/>
        <w:ind w:left="400" w:hanging="400"/>
        <w:jc w:val="both"/>
      </w:pPr>
      <w:r>
        <w:rPr>
          <w:rFonts w:ascii="Georgia" w:cs="Georgia" w:eastAsia="Georgia" w:hAnsi="Georgia"/>
          <w:color w:val="1A1A1A"/>
          <w:sz w:val="18"/>
          <w:szCs w:val="18"/>
        </w:rPr>
        <w:t xml:space="preserve">Finkelstein, A., Taubman, S., Wright, B., Bernstein, M., Gruber, J., Newhouse, J. P., … Baicker, K. (2012). The Oregon health insurance experiment: Evidence from the first year. Quarterly Journal of Economics, 127(3), 1057–1106.</w:t>
      </w:r>
    </w:p>
    <w:p>
      <w:pPr>
        <w:spacing w:after="70" w:line="268"/>
        <w:ind w:left="400" w:hanging="400"/>
        <w:jc w:val="both"/>
      </w:pPr>
      <w:r>
        <w:rPr>
          <w:rFonts w:ascii="Georgia" w:cs="Georgia" w:eastAsia="Georgia" w:hAnsi="Georgia"/>
          <w:color w:val="1A1A1A"/>
          <w:sz w:val="18"/>
          <w:szCs w:val="18"/>
        </w:rPr>
        <w:t xml:space="preserve">Friedman, M., &amp; Savage, L. J. (1948). The utility analysis of choices involving risk. Journal of Political Economy, 56(4), 279–304.</w:t>
      </w:r>
    </w:p>
    <w:p>
      <w:pPr>
        <w:spacing w:after="70" w:line="268"/>
        <w:ind w:left="400" w:hanging="400"/>
        <w:jc w:val="both"/>
      </w:pPr>
      <w:r>
        <w:rPr>
          <w:rFonts w:ascii="Georgia" w:cs="Georgia" w:eastAsia="Georgia" w:hAnsi="Georgia"/>
          <w:color w:val="1A1A1A"/>
          <w:sz w:val="18"/>
          <w:szCs w:val="18"/>
        </w:rPr>
        <w:t xml:space="preserve">Genworth &amp; CareScout. (2025). Cost of care survey 2024. Genworth Financial.</w:t>
      </w:r>
    </w:p>
    <w:p>
      <w:pPr>
        <w:spacing w:after="70" w:line="268"/>
        <w:ind w:left="400" w:hanging="400"/>
        <w:jc w:val="both"/>
      </w:pPr>
      <w:r>
        <w:rPr>
          <w:rFonts w:ascii="Georgia" w:cs="Georgia" w:eastAsia="Georgia" w:hAnsi="Georgia"/>
          <w:color w:val="1A1A1A"/>
          <w:sz w:val="18"/>
          <w:szCs w:val="18"/>
        </w:rPr>
        <w:t xml:space="preserve">Gourevitch, J. D., Snyder, R., &amp; Kousky, C. (2023). Unequal effects of risk-based flood insurance pricing on take-up. Research report.</w:t>
      </w:r>
    </w:p>
    <w:p>
      <w:pPr>
        <w:spacing w:after="70" w:line="268"/>
        <w:ind w:left="400" w:hanging="400"/>
        <w:jc w:val="both"/>
      </w:pPr>
      <w:r>
        <w:rPr>
          <w:rFonts w:ascii="Georgia" w:cs="Georgia" w:eastAsia="Georgia" w:hAnsi="Georgia"/>
          <w:color w:val="1A1A1A"/>
          <w:sz w:val="18"/>
          <w:szCs w:val="18"/>
        </w:rPr>
        <w:t xml:space="preserve">Handel, B. R. (2013). Adverse selection and inertia in health insurance markets: When nudging hurts. American Economic Review, 103(7), 2643–2682.</w:t>
      </w:r>
    </w:p>
    <w:p>
      <w:pPr>
        <w:spacing w:after="70" w:line="268"/>
        <w:ind w:left="400" w:hanging="400"/>
        <w:jc w:val="both"/>
      </w:pPr>
      <w:r>
        <w:rPr>
          <w:rFonts w:ascii="Georgia" w:cs="Georgia" w:eastAsia="Georgia" w:hAnsi="Georgia"/>
          <w:color w:val="1A1A1A"/>
          <w:sz w:val="18"/>
          <w:szCs w:val="18"/>
        </w:rPr>
        <w:t xml:space="preserve">IBM Security &amp; Ponemon Institute. (2024). Cost of a data breach report 2024. IBM Corporation.</w:t>
      </w:r>
    </w:p>
    <w:p>
      <w:pPr>
        <w:spacing w:after="70" w:line="268"/>
        <w:ind w:left="400" w:hanging="400"/>
        <w:jc w:val="both"/>
      </w:pPr>
      <w:r>
        <w:rPr>
          <w:rFonts w:ascii="Georgia" w:cs="Georgia" w:eastAsia="Georgia" w:hAnsi="Georgia"/>
          <w:color w:val="1A1A1A"/>
          <w:sz w:val="18"/>
          <w:szCs w:val="18"/>
        </w:rPr>
        <w:t xml:space="preserve">Insurance Information Institute. (2024). Facts + statistics: Life insurance and industry overview. Triple-I.</w:t>
      </w:r>
    </w:p>
    <w:p>
      <w:pPr>
        <w:spacing w:after="70" w:line="268"/>
        <w:ind w:left="400" w:hanging="400"/>
        <w:jc w:val="both"/>
      </w:pPr>
      <w:r>
        <w:rPr>
          <w:rFonts w:ascii="Georgia" w:cs="Georgia" w:eastAsia="Georgia" w:hAnsi="Georgia"/>
          <w:color w:val="1A1A1A"/>
          <w:sz w:val="18"/>
          <w:szCs w:val="18"/>
        </w:rPr>
        <w:t xml:space="preserve">Internal Revenue Service. (2025a). 401(k) limit increases to $24,500 for 2026; IRA and other limits adjusted (IR-2025-111; Notice 2025-67). IRS.</w:t>
      </w:r>
    </w:p>
    <w:p>
      <w:pPr>
        <w:spacing w:after="70" w:line="268"/>
        <w:ind w:left="400" w:hanging="400"/>
        <w:jc w:val="both"/>
      </w:pPr>
      <w:r>
        <w:rPr>
          <w:rFonts w:ascii="Georgia" w:cs="Georgia" w:eastAsia="Georgia" w:hAnsi="Georgia"/>
          <w:color w:val="1A1A1A"/>
          <w:sz w:val="18"/>
          <w:szCs w:val="18"/>
        </w:rPr>
        <w:t xml:space="preserve">Internal Revenue Service. (2025b). Inflation-adjusted amounts for health savings accounts for 2026. IRS.</w:t>
      </w:r>
    </w:p>
    <w:p>
      <w:pPr>
        <w:spacing w:after="70" w:line="268"/>
        <w:ind w:left="400" w:hanging="400"/>
        <w:jc w:val="both"/>
      </w:pPr>
      <w:r>
        <w:rPr>
          <w:rFonts w:ascii="Georgia" w:cs="Georgia" w:eastAsia="Georgia" w:hAnsi="Georgia"/>
          <w:color w:val="1A1A1A"/>
          <w:sz w:val="18"/>
          <w:szCs w:val="18"/>
        </w:rPr>
        <w:t xml:space="preserve">Jensen, M. C. (1968). The performance of mutual funds in the period 1945–1964. Journal of Finance, 23(2), 389–416.</w:t>
      </w:r>
    </w:p>
    <w:p>
      <w:pPr>
        <w:spacing w:after="70" w:line="268"/>
        <w:ind w:left="400" w:hanging="400"/>
        <w:jc w:val="both"/>
      </w:pPr>
      <w:r>
        <w:rPr>
          <w:rFonts w:ascii="Georgia" w:cs="Georgia" w:eastAsia="Georgia" w:hAnsi="Georgia"/>
          <w:color w:val="1A1A1A"/>
          <w:sz w:val="18"/>
          <w:szCs w:val="18"/>
        </w:rPr>
        <w:t xml:space="preserve">Johnson, R. W. (2019). What is the lifetime risk of needing and receiving long-term services and supports? Office of the Assistant Secretary for Planning and Evaluation, U.S. Department of Health and Human Services.</w:t>
      </w:r>
    </w:p>
    <w:p>
      <w:pPr>
        <w:spacing w:after="70" w:line="268"/>
        <w:ind w:left="400" w:hanging="400"/>
        <w:jc w:val="both"/>
      </w:pPr>
      <w:r>
        <w:rPr>
          <w:rFonts w:ascii="Georgia" w:cs="Georgia" w:eastAsia="Georgia" w:hAnsi="Georgia"/>
          <w:color w:val="1A1A1A"/>
          <w:sz w:val="18"/>
          <w:szCs w:val="18"/>
        </w:rPr>
        <w:t xml:space="preserve">Kahneman, D., &amp; Tversky, A. (1979). Prospect theory: An analysis of decision under risk. Econometrica, 47(2), 263–291.</w:t>
      </w:r>
    </w:p>
    <w:p>
      <w:pPr>
        <w:spacing w:after="70" w:line="268"/>
        <w:ind w:left="400" w:hanging="400"/>
        <w:jc w:val="both"/>
      </w:pPr>
      <w:r>
        <w:rPr>
          <w:rFonts w:ascii="Georgia" w:cs="Georgia" w:eastAsia="Georgia" w:hAnsi="Georgia"/>
          <w:color w:val="1A1A1A"/>
          <w:sz w:val="18"/>
          <w:szCs w:val="18"/>
        </w:rPr>
        <w:t xml:space="preserve">Kaiser Family Foundation. (2023). Medicaid and long-term services and supports: A primer. KFF.</w:t>
      </w:r>
    </w:p>
    <w:p>
      <w:pPr>
        <w:spacing w:after="70" w:line="268"/>
        <w:ind w:left="400" w:hanging="400"/>
        <w:jc w:val="both"/>
      </w:pPr>
      <w:r>
        <w:rPr>
          <w:rFonts w:ascii="Georgia" w:cs="Georgia" w:eastAsia="Georgia" w:hAnsi="Georgia"/>
          <w:color w:val="1A1A1A"/>
          <w:sz w:val="18"/>
          <w:szCs w:val="18"/>
        </w:rPr>
        <w:t xml:space="preserve">Kousky, C. (2018). Financing flood losses: A discussion of the National Flood Insurance Program. Risk Management and Insurance Review, 21(1), 11–32.</w:t>
      </w:r>
    </w:p>
    <w:p>
      <w:pPr>
        <w:spacing w:after="70" w:line="268"/>
        <w:ind w:left="400" w:hanging="400"/>
        <w:jc w:val="both"/>
      </w:pPr>
      <w:r>
        <w:rPr>
          <w:rFonts w:ascii="Georgia" w:cs="Georgia" w:eastAsia="Georgia" w:hAnsi="Georgia"/>
          <w:color w:val="1A1A1A"/>
          <w:sz w:val="18"/>
          <w:szCs w:val="18"/>
        </w:rPr>
        <w:t xml:space="preserve">Kousky, C., &amp; Kunreuther, H. (2014). Addressing affordability in the National Flood Insurance Program. Journal of Extreme Events, 1(1), 1450001.</w:t>
      </w:r>
    </w:p>
    <w:p>
      <w:pPr>
        <w:spacing w:after="70" w:line="268"/>
        <w:ind w:left="400" w:hanging="400"/>
        <w:jc w:val="both"/>
      </w:pPr>
      <w:r>
        <w:rPr>
          <w:rFonts w:ascii="Georgia" w:cs="Georgia" w:eastAsia="Georgia" w:hAnsi="Georgia"/>
          <w:color w:val="1A1A1A"/>
          <w:sz w:val="18"/>
          <w:szCs w:val="18"/>
        </w:rPr>
        <w:t xml:space="preserve">Kunreuther, H. C., Pauly, M. V., &amp; McMorrow, S. (2013). Insurance and behavioral economics: Improving decisions in the most misunderstood industry. Cambridge University Press.</w:t>
      </w:r>
    </w:p>
    <w:p>
      <w:pPr>
        <w:spacing w:after="70" w:line="268"/>
        <w:ind w:left="400" w:hanging="400"/>
        <w:jc w:val="both"/>
      </w:pPr>
      <w:r>
        <w:rPr>
          <w:rFonts w:ascii="Georgia" w:cs="Georgia" w:eastAsia="Georgia" w:hAnsi="Georgia"/>
          <w:color w:val="1A1A1A"/>
          <w:sz w:val="18"/>
          <w:szCs w:val="18"/>
        </w:rPr>
        <w:t xml:space="preserve">Kunreuther, H., &amp; Pauly, M. (2004). Neglecting disaster: Why don’t people insure against large losses? Journal of Risk and Uncertainty, 28(1), 5–21.</w:t>
      </w:r>
    </w:p>
    <w:p>
      <w:pPr>
        <w:spacing w:after="70" w:line="268"/>
        <w:ind w:left="400" w:hanging="400"/>
        <w:jc w:val="both"/>
      </w:pPr>
      <w:r>
        <w:rPr>
          <w:rFonts w:ascii="Georgia" w:cs="Georgia" w:eastAsia="Georgia" w:hAnsi="Georgia"/>
          <w:color w:val="1A1A1A"/>
          <w:sz w:val="18"/>
          <w:szCs w:val="18"/>
        </w:rPr>
        <w:t xml:space="preserve">Kunreuther, H., Ginsberg, R., Miller, L., Sagi, P., Slovic, P., Borkan, B., &amp; Katz, N. (1978). Disaster insurance protection: Public policy lessons. Wiley.</w:t>
      </w:r>
    </w:p>
    <w:p>
      <w:pPr>
        <w:spacing w:after="70" w:line="268"/>
        <w:ind w:left="400" w:hanging="400"/>
        <w:jc w:val="both"/>
      </w:pPr>
      <w:r>
        <w:rPr>
          <w:rFonts w:ascii="Georgia" w:cs="Georgia" w:eastAsia="Georgia" w:hAnsi="Georgia"/>
          <w:color w:val="1A1A1A"/>
          <w:sz w:val="18"/>
          <w:szCs w:val="18"/>
        </w:rPr>
        <w:t xml:space="preserve">Kunreuther, H., Novemsky, N., &amp; Kahneman, D. (2001). Making low probabilities useful. Journal of Risk and Uncertainty, 23(2), 103–120.</w:t>
      </w:r>
    </w:p>
    <w:p>
      <w:pPr>
        <w:spacing w:after="70" w:line="268"/>
        <w:ind w:left="400" w:hanging="400"/>
        <w:jc w:val="both"/>
      </w:pPr>
      <w:r>
        <w:rPr>
          <w:rFonts w:ascii="Georgia" w:cs="Georgia" w:eastAsia="Georgia" w:hAnsi="Georgia"/>
          <w:color w:val="1A1A1A"/>
          <w:sz w:val="18"/>
          <w:szCs w:val="18"/>
        </w:rPr>
        <w:t xml:space="preserve">LIMRA &amp; Life Happens. (2024). 2024 insurance barometer study. LIMRA.</w:t>
      </w:r>
    </w:p>
    <w:p>
      <w:pPr>
        <w:spacing w:after="70" w:line="268"/>
        <w:ind w:left="400" w:hanging="400"/>
        <w:jc w:val="both"/>
      </w:pPr>
      <w:r>
        <w:rPr>
          <w:rFonts w:ascii="Georgia" w:cs="Georgia" w:eastAsia="Georgia" w:hAnsi="Georgia"/>
          <w:color w:val="1A1A1A"/>
          <w:sz w:val="18"/>
          <w:szCs w:val="18"/>
        </w:rPr>
        <w:t xml:space="preserve">Lohr, K. N., Brook, R. H., Kamberg, C. J., Goldberg, G. A., Leibowitz, A., Keesey, J., … Newhouse, J. P. (1986). Use of medical care in the RAND Health Insurance Experiment. Medical Care, 24(9, Suppl.), S1–S87.</w:t>
      </w:r>
    </w:p>
    <w:p>
      <w:pPr>
        <w:spacing w:after="70" w:line="268"/>
        <w:ind w:left="400" w:hanging="400"/>
        <w:jc w:val="both"/>
      </w:pPr>
      <w:r>
        <w:rPr>
          <w:rFonts w:ascii="Georgia" w:cs="Georgia" w:eastAsia="Georgia" w:hAnsi="Georgia"/>
          <w:color w:val="1A1A1A"/>
          <w:sz w:val="18"/>
          <w:szCs w:val="18"/>
        </w:rPr>
        <w:t xml:space="preserve">Lusardi, A., &amp; Mitchell, O. S. (2014). The economic importance of financial literacy: Theory and evidence. Journal of Economic Literature, 52(1), 5–44.</w:t>
      </w:r>
    </w:p>
    <w:p>
      <w:pPr>
        <w:spacing w:after="70" w:line="268"/>
        <w:ind w:left="400" w:hanging="400"/>
        <w:jc w:val="both"/>
      </w:pPr>
      <w:r>
        <w:rPr>
          <w:rFonts w:ascii="Georgia" w:cs="Georgia" w:eastAsia="Georgia" w:hAnsi="Georgia"/>
          <w:color w:val="1A1A1A"/>
          <w:sz w:val="18"/>
          <w:szCs w:val="18"/>
        </w:rPr>
        <w:t xml:space="preserve">Madrian, B. C., &amp; Shea, D. F. (2001). The power of suggestion: Inertia in 401(k) participation and savings behavior. Quarterly Journal of Economics, 116(4), 1149–1187.</w:t>
      </w:r>
    </w:p>
    <w:p>
      <w:pPr>
        <w:spacing w:after="70" w:line="268"/>
        <w:ind w:left="400" w:hanging="400"/>
        <w:jc w:val="both"/>
      </w:pPr>
      <w:r>
        <w:rPr>
          <w:rFonts w:ascii="Georgia" w:cs="Georgia" w:eastAsia="Georgia" w:hAnsi="Georgia"/>
          <w:color w:val="1A1A1A"/>
          <w:sz w:val="18"/>
          <w:szCs w:val="18"/>
        </w:rPr>
        <w:t xml:space="preserve">Malkiel, B. G. (2003). The efficient market hypothesis and its critics. Journal of Economic Perspectives, 17(1), 59–82.</w:t>
      </w:r>
    </w:p>
    <w:p>
      <w:pPr>
        <w:spacing w:after="70" w:line="268"/>
        <w:ind w:left="400" w:hanging="400"/>
        <w:jc w:val="both"/>
      </w:pPr>
      <w:r>
        <w:rPr>
          <w:rFonts w:ascii="Georgia" w:cs="Georgia" w:eastAsia="Georgia" w:hAnsi="Georgia"/>
          <w:color w:val="1A1A1A"/>
          <w:sz w:val="18"/>
          <w:szCs w:val="18"/>
        </w:rPr>
        <w:t xml:space="preserve">Manning, W. G., Newhouse, J. P., Duan, N., Keeler, E. B., Leibowitz, A., &amp; Marquis, M. S. (1987). Health insurance and the demand for medical care: Evidence from a randomized experiment. American Economic Review, 77(3), 251–277.</w:t>
      </w:r>
    </w:p>
    <w:p>
      <w:pPr>
        <w:spacing w:after="70" w:line="268"/>
        <w:ind w:left="400" w:hanging="400"/>
        <w:jc w:val="both"/>
      </w:pPr>
      <w:r>
        <w:rPr>
          <w:rFonts w:ascii="Georgia" w:cs="Georgia" w:eastAsia="Georgia" w:hAnsi="Georgia"/>
          <w:color w:val="1A1A1A"/>
          <w:sz w:val="18"/>
          <w:szCs w:val="18"/>
        </w:rPr>
        <w:t xml:space="preserve">Michel-Kerjan, E. O. (2010). Catastrophe economics: The National Flood Insurance Program. Journal of Economic Perspectives, 24(4), 165–186.</w:t>
      </w:r>
    </w:p>
    <w:p>
      <w:pPr>
        <w:spacing w:after="70" w:line="268"/>
        <w:ind w:left="400" w:hanging="400"/>
        <w:jc w:val="both"/>
      </w:pPr>
      <w:r>
        <w:rPr>
          <w:rFonts w:ascii="Georgia" w:cs="Georgia" w:eastAsia="Georgia" w:hAnsi="Georgia"/>
          <w:color w:val="1A1A1A"/>
          <w:sz w:val="18"/>
          <w:szCs w:val="18"/>
        </w:rPr>
        <w:t xml:space="preserve">Mitchell, O. S., Poterba, J. M., Warshawsky, M. J., &amp; Brown, J. R. (1999). New evidence on the money’s worth of individual annuities. American Economic Review, 89(5), 1299–1318.</w:t>
      </w:r>
    </w:p>
    <w:p>
      <w:pPr>
        <w:spacing w:after="70" w:line="268"/>
        <w:ind w:left="400" w:hanging="400"/>
        <w:jc w:val="both"/>
      </w:pPr>
      <w:r>
        <w:rPr>
          <w:rFonts w:ascii="Georgia" w:cs="Georgia" w:eastAsia="Georgia" w:hAnsi="Georgia"/>
          <w:color w:val="1A1A1A"/>
          <w:sz w:val="18"/>
          <w:szCs w:val="18"/>
        </w:rPr>
        <w:t xml:space="preserve">Miyazaki, H. (1977). The rat race and internal labor markets. Bell Journal of Economics, 8(2), 394–418.</w:t>
      </w:r>
    </w:p>
    <w:p>
      <w:pPr>
        <w:spacing w:after="70" w:line="268"/>
        <w:ind w:left="400" w:hanging="400"/>
        <w:jc w:val="both"/>
      </w:pPr>
      <w:r>
        <w:rPr>
          <w:rFonts w:ascii="Georgia" w:cs="Georgia" w:eastAsia="Georgia" w:hAnsi="Georgia"/>
          <w:color w:val="1A1A1A"/>
          <w:sz w:val="18"/>
          <w:szCs w:val="18"/>
        </w:rPr>
        <w:t xml:space="preserve">Mossin, J. (1968). Aspects of rational insurance purchasing. Journal of Political Economy, 76(4), 553–568.</w:t>
      </w:r>
    </w:p>
    <w:p>
      <w:pPr>
        <w:spacing w:after="70" w:line="268"/>
        <w:ind w:left="400" w:hanging="400"/>
        <w:jc w:val="both"/>
      </w:pPr>
      <w:r>
        <w:rPr>
          <w:rFonts w:ascii="Georgia" w:cs="Georgia" w:eastAsia="Georgia" w:hAnsi="Georgia"/>
          <w:color w:val="1A1A1A"/>
          <w:sz w:val="18"/>
          <w:szCs w:val="18"/>
        </w:rPr>
        <w:t xml:space="preserve">National Association of Insurance Commissioners. (2023). Suitability in annuity transactions model regulation (No. 275). NAIC.</w:t>
      </w:r>
    </w:p>
    <w:p>
      <w:pPr>
        <w:spacing w:after="70" w:line="268"/>
        <w:ind w:left="400" w:hanging="400"/>
        <w:jc w:val="both"/>
      </w:pPr>
      <w:r>
        <w:rPr>
          <w:rFonts w:ascii="Georgia" w:cs="Georgia" w:eastAsia="Georgia" w:hAnsi="Georgia"/>
          <w:color w:val="1A1A1A"/>
          <w:sz w:val="18"/>
          <w:szCs w:val="18"/>
        </w:rPr>
        <w:t xml:space="preserve">National Association of Insurance Commissioners. (2024). Consumer complaint study and complaint index methodology. NAIC.</w:t>
      </w:r>
    </w:p>
    <w:p>
      <w:pPr>
        <w:spacing w:after="70" w:line="268"/>
        <w:ind w:left="400" w:hanging="400"/>
        <w:jc w:val="both"/>
      </w:pPr>
      <w:r>
        <w:rPr>
          <w:rFonts w:ascii="Georgia" w:cs="Georgia" w:eastAsia="Georgia" w:hAnsi="Georgia"/>
          <w:color w:val="1A1A1A"/>
          <w:sz w:val="18"/>
          <w:szCs w:val="18"/>
        </w:rPr>
        <w:t xml:space="preserve">National Bureau of Economic Research. (2026). Who ultimately pays credit card interchange fees? The NBER Digest.</w:t>
      </w:r>
    </w:p>
    <w:p>
      <w:pPr>
        <w:spacing w:after="70" w:line="268"/>
        <w:ind w:left="400" w:hanging="400"/>
        <w:jc w:val="both"/>
      </w:pPr>
      <w:r>
        <w:rPr>
          <w:rFonts w:ascii="Georgia" w:cs="Georgia" w:eastAsia="Georgia" w:hAnsi="Georgia"/>
          <w:color w:val="1A1A1A"/>
          <w:sz w:val="18"/>
          <w:szCs w:val="18"/>
        </w:rPr>
        <w:t xml:space="preserve">National Consumer Law Center. (2007). Comments on credit-based insurance scoring and its disparate impact. NCLC.</w:t>
      </w:r>
    </w:p>
    <w:p>
      <w:pPr>
        <w:spacing w:after="70" w:line="268"/>
        <w:ind w:left="400" w:hanging="400"/>
        <w:jc w:val="both"/>
      </w:pPr>
      <w:r>
        <w:rPr>
          <w:rFonts w:ascii="Georgia" w:cs="Georgia" w:eastAsia="Georgia" w:hAnsi="Georgia"/>
          <w:color w:val="1A1A1A"/>
          <w:sz w:val="18"/>
          <w:szCs w:val="18"/>
        </w:rPr>
        <w:t xml:space="preserve">National Guard Association of the United States. (2025). TRICARE Reserve Select premiums and benefits. NGAUS.</w:t>
      </w:r>
    </w:p>
    <w:p>
      <w:pPr>
        <w:spacing w:after="70" w:line="268"/>
        <w:ind w:left="400" w:hanging="400"/>
        <w:jc w:val="both"/>
      </w:pPr>
      <w:r>
        <w:rPr>
          <w:rFonts w:ascii="Georgia" w:cs="Georgia" w:eastAsia="Georgia" w:hAnsi="Georgia"/>
          <w:color w:val="1A1A1A"/>
          <w:sz w:val="18"/>
          <w:szCs w:val="18"/>
        </w:rPr>
        <w:t xml:space="preserve">Newhouse, J. P., &amp; the Insurance Experiment Group. (1993). Free for all? Lessons from the RAND Health Insurance Experiment. Harvard University Press.</w:t>
      </w:r>
    </w:p>
    <w:p>
      <w:pPr>
        <w:spacing w:after="70" w:line="268"/>
        <w:ind w:left="400" w:hanging="400"/>
        <w:jc w:val="both"/>
      </w:pPr>
      <w:r>
        <w:rPr>
          <w:rFonts w:ascii="Georgia" w:cs="Georgia" w:eastAsia="Georgia" w:hAnsi="Georgia"/>
          <w:color w:val="1A1A1A"/>
          <w:sz w:val="18"/>
          <w:szCs w:val="18"/>
        </w:rPr>
        <w:t xml:space="preserve">Pauly, M. V. (1968). The economics of moral hazard: Comment. American Economic Review, 58(3), 531–537.</w:t>
      </w:r>
    </w:p>
    <w:p>
      <w:pPr>
        <w:spacing w:after="70" w:line="268"/>
        <w:ind w:left="400" w:hanging="400"/>
        <w:jc w:val="both"/>
      </w:pPr>
      <w:r>
        <w:rPr>
          <w:rFonts w:ascii="Georgia" w:cs="Georgia" w:eastAsia="Georgia" w:hAnsi="Georgia"/>
          <w:color w:val="1A1A1A"/>
          <w:sz w:val="18"/>
          <w:szCs w:val="18"/>
        </w:rPr>
        <w:t xml:space="preserve">Poterba, J. M., Venti, S. F., &amp; Wise, D. A. (2011). The composition and drawdown of wealth in retirement. Journal of Economic Perspectives, 25(4), 95–118.</w:t>
      </w:r>
    </w:p>
    <w:p>
      <w:pPr>
        <w:spacing w:after="70" w:line="268"/>
        <w:ind w:left="400" w:hanging="400"/>
        <w:jc w:val="both"/>
      </w:pPr>
      <w:r>
        <w:rPr>
          <w:rFonts w:ascii="Georgia" w:cs="Georgia" w:eastAsia="Georgia" w:hAnsi="Georgia"/>
          <w:color w:val="1A1A1A"/>
          <w:sz w:val="18"/>
          <w:szCs w:val="18"/>
        </w:rPr>
        <w:t xml:space="preserve">Pratt, J. W. (1964). Risk aversion in the small and in the large. Econometrica, 32(1–2), 122–136.</w:t>
      </w:r>
    </w:p>
    <w:p>
      <w:pPr>
        <w:spacing w:after="70" w:line="268"/>
        <w:ind w:left="400" w:hanging="400"/>
        <w:jc w:val="both"/>
      </w:pPr>
      <w:r>
        <w:rPr>
          <w:rFonts w:ascii="Georgia" w:cs="Georgia" w:eastAsia="Georgia" w:hAnsi="Georgia"/>
          <w:color w:val="1A1A1A"/>
          <w:sz w:val="18"/>
          <w:szCs w:val="18"/>
        </w:rPr>
        <w:t xml:space="preserve">Rothschild, M., &amp; Stiglitz, J. (1976). Equilibrium in competitive insurance markets: An essay on the economics of imperfect information. Quarterly Journal of Economics, 90(4), 629–649.</w:t>
      </w:r>
    </w:p>
    <w:p>
      <w:pPr>
        <w:spacing w:after="70" w:line="268"/>
        <w:ind w:left="400" w:hanging="400"/>
        <w:jc w:val="both"/>
      </w:pPr>
      <w:r>
        <w:rPr>
          <w:rFonts w:ascii="Georgia" w:cs="Georgia" w:eastAsia="Georgia" w:hAnsi="Georgia"/>
          <w:color w:val="1A1A1A"/>
          <w:sz w:val="18"/>
          <w:szCs w:val="18"/>
        </w:rPr>
        <w:t xml:space="preserve">S&amp;P Dow Jones Indices. (2025). SPIVA U.S. scorecard: Year-end 2024. S&amp;P Global.</w:t>
      </w:r>
    </w:p>
    <w:p>
      <w:pPr>
        <w:spacing w:after="70" w:line="268"/>
        <w:ind w:left="400" w:hanging="400"/>
        <w:jc w:val="both"/>
      </w:pPr>
      <w:r>
        <w:rPr>
          <w:rFonts w:ascii="Georgia" w:cs="Georgia" w:eastAsia="Georgia" w:hAnsi="Georgia"/>
          <w:color w:val="1A1A1A"/>
          <w:sz w:val="18"/>
          <w:szCs w:val="18"/>
        </w:rPr>
        <w:t xml:space="preserve">Schuh, S., Shy, O., &amp; Stavins, J. (2010). Who gains and who loses from credit card payments? Theory and calibrations (Public Policy Discussion Paper No. 10-3). Federal Reserve Bank of Boston.</w:t>
      </w:r>
    </w:p>
    <w:p>
      <w:pPr>
        <w:spacing w:after="70" w:line="268"/>
        <w:ind w:left="400" w:hanging="400"/>
        <w:jc w:val="both"/>
      </w:pPr>
      <w:r>
        <w:rPr>
          <w:rFonts w:ascii="Georgia" w:cs="Georgia" w:eastAsia="Georgia" w:hAnsi="Georgia"/>
          <w:color w:val="1A1A1A"/>
          <w:sz w:val="18"/>
          <w:szCs w:val="18"/>
        </w:rPr>
        <w:t xml:space="preserve">Sharpe, W. F. (1991). The arithmetic of active management. Financial Analysts Journal, 47(1), 7–9.</w:t>
      </w:r>
    </w:p>
    <w:p>
      <w:pPr>
        <w:spacing w:after="70" w:line="268"/>
        <w:ind w:left="400" w:hanging="400"/>
        <w:jc w:val="both"/>
      </w:pPr>
      <w:r>
        <w:rPr>
          <w:rFonts w:ascii="Georgia" w:cs="Georgia" w:eastAsia="Georgia" w:hAnsi="Georgia"/>
          <w:color w:val="1A1A1A"/>
          <w:sz w:val="18"/>
          <w:szCs w:val="18"/>
        </w:rPr>
        <w:t xml:space="preserve">Skinner, J. (2007). Are you sure you’re saving enough for retirement? Journal of Economic Perspectives, 21(3), 59–80.</w:t>
      </w:r>
    </w:p>
    <w:p>
      <w:pPr>
        <w:spacing w:after="70" w:line="268"/>
        <w:ind w:left="400" w:hanging="400"/>
        <w:jc w:val="both"/>
      </w:pPr>
      <w:r>
        <w:rPr>
          <w:rFonts w:ascii="Georgia" w:cs="Georgia" w:eastAsia="Georgia" w:hAnsi="Georgia"/>
          <w:color w:val="1A1A1A"/>
          <w:sz w:val="18"/>
          <w:szCs w:val="18"/>
        </w:rPr>
        <w:t xml:space="preserve">Social Security Administration. (2020). Disability and death probability tables for insured workers (Actuarial Note No. 2020.6). Office of the Chief Actuary, SSA.</w:t>
      </w:r>
    </w:p>
    <w:p>
      <w:pPr>
        <w:spacing w:after="70" w:line="268"/>
        <w:ind w:left="400" w:hanging="400"/>
        <w:jc w:val="both"/>
      </w:pPr>
      <w:r>
        <w:rPr>
          <w:rFonts w:ascii="Georgia" w:cs="Georgia" w:eastAsia="Georgia" w:hAnsi="Georgia"/>
          <w:color w:val="1A1A1A"/>
          <w:sz w:val="18"/>
          <w:szCs w:val="18"/>
        </w:rPr>
        <w:t xml:space="preserve">Society of Actuaries. (2023). Individual disability experience studies and the probability of long-term disability. SOA.</w:t>
      </w:r>
    </w:p>
    <w:p>
      <w:pPr>
        <w:spacing w:after="70" w:line="268"/>
        <w:ind w:left="400" w:hanging="400"/>
        <w:jc w:val="both"/>
      </w:pPr>
      <w:r>
        <w:rPr>
          <w:rFonts w:ascii="Georgia" w:cs="Georgia" w:eastAsia="Georgia" w:hAnsi="Georgia"/>
          <w:color w:val="1A1A1A"/>
          <w:sz w:val="18"/>
          <w:szCs w:val="18"/>
        </w:rPr>
        <w:t xml:space="preserve">Stiglitz, J. E., Yun, J., &amp; Kosenko, A. (2017). Equilibrium in a competitive insurance market under adverse selection with endogenous information (NBER Working Paper No. 23556). National Bureau of Economic Research.</w:t>
      </w:r>
    </w:p>
    <w:p>
      <w:pPr>
        <w:spacing w:after="70" w:line="268"/>
        <w:ind w:left="400" w:hanging="400"/>
        <w:jc w:val="both"/>
      </w:pPr>
      <w:r>
        <w:rPr>
          <w:rFonts w:ascii="Georgia" w:cs="Georgia" w:eastAsia="Georgia" w:hAnsi="Georgia"/>
          <w:color w:val="1A1A1A"/>
          <w:sz w:val="18"/>
          <w:szCs w:val="18"/>
        </w:rPr>
        <w:t xml:space="preserve">Swiss Re Institute. (2024). World insurance: Strengthening global resilience and the protection gap. Swiss Re.</w:t>
      </w:r>
    </w:p>
    <w:p>
      <w:pPr>
        <w:spacing w:after="70" w:line="268"/>
        <w:ind w:left="400" w:hanging="400"/>
        <w:jc w:val="both"/>
      </w:pPr>
      <w:r>
        <w:rPr>
          <w:rFonts w:ascii="Georgia" w:cs="Georgia" w:eastAsia="Georgia" w:hAnsi="Georgia"/>
          <w:color w:val="1A1A1A"/>
          <w:sz w:val="18"/>
          <w:szCs w:val="18"/>
        </w:rPr>
        <w:t xml:space="preserve">Sydnor, J. (2010). (Over)insuring modest risks. American Economic Journal: Applied Economics, 2(4), 177–199.</w:t>
      </w:r>
    </w:p>
    <w:p>
      <w:pPr>
        <w:spacing w:after="70" w:line="268"/>
        <w:ind w:left="400" w:hanging="400"/>
        <w:jc w:val="both"/>
      </w:pPr>
      <w:r>
        <w:rPr>
          <w:rFonts w:ascii="Georgia" w:cs="Georgia" w:eastAsia="Georgia" w:hAnsi="Georgia"/>
          <w:color w:val="1A1A1A"/>
          <w:sz w:val="18"/>
          <w:szCs w:val="18"/>
        </w:rPr>
        <w:t xml:space="preserve">Thaler, R. H., &amp; Benartzi, S. (2004). Save more tomorrow: Using behavioral economics to increase employee saving. Journal of Political Economy, 112(S1), S164–S187.</w:t>
      </w:r>
    </w:p>
    <w:p>
      <w:pPr>
        <w:spacing w:after="70" w:line="268"/>
        <w:ind w:left="400" w:hanging="400"/>
        <w:jc w:val="both"/>
      </w:pPr>
      <w:r>
        <w:rPr>
          <w:rFonts w:ascii="Georgia" w:cs="Georgia" w:eastAsia="Georgia" w:hAnsi="Georgia"/>
          <w:color w:val="1A1A1A"/>
          <w:sz w:val="18"/>
          <w:szCs w:val="18"/>
        </w:rPr>
        <w:t xml:space="preserve">Thrift Savings Plan. (2025). Contribution types and 2026 contribution limits (TSP Bulletin No. 25-3). Federal Retirement Thrift Investment Board.</w:t>
      </w:r>
    </w:p>
    <w:p>
      <w:pPr>
        <w:spacing w:after="70" w:line="268"/>
        <w:ind w:left="400" w:hanging="400"/>
        <w:jc w:val="both"/>
      </w:pPr>
      <w:r>
        <w:rPr>
          <w:rFonts w:ascii="Georgia" w:cs="Georgia" w:eastAsia="Georgia" w:hAnsi="Georgia"/>
          <w:color w:val="1A1A1A"/>
          <w:sz w:val="18"/>
          <w:szCs w:val="18"/>
        </w:rPr>
        <w:t xml:space="preserve">Tversky, A., &amp; Kahneman, D. (1992). Advances in prospect theory: Cumulative representation of uncertainty. Journal of Risk and Uncertainty, 5(4), 297–323.</w:t>
      </w:r>
    </w:p>
    <w:p>
      <w:pPr>
        <w:spacing w:after="70" w:line="268"/>
        <w:ind w:left="400" w:hanging="400"/>
        <w:jc w:val="both"/>
      </w:pPr>
      <w:r>
        <w:rPr>
          <w:rFonts w:ascii="Georgia" w:cs="Georgia" w:eastAsia="Georgia" w:hAnsi="Georgia"/>
          <w:color w:val="1A1A1A"/>
          <w:sz w:val="18"/>
          <w:szCs w:val="18"/>
        </w:rPr>
        <w:t xml:space="preserve">U.S. Department of Justice. (2023). The Servicemembers Civil Relief Act (SCRA): Interest-rate protections. Servicemembers and Veterans Initiative, DOJ.</w:t>
      </w:r>
    </w:p>
    <w:p>
      <w:pPr>
        <w:spacing w:after="70" w:line="268"/>
        <w:ind w:left="400" w:hanging="400"/>
        <w:jc w:val="both"/>
      </w:pPr>
      <w:r>
        <w:rPr>
          <w:rFonts w:ascii="Georgia" w:cs="Georgia" w:eastAsia="Georgia" w:hAnsi="Georgia"/>
          <w:color w:val="1A1A1A"/>
          <w:sz w:val="18"/>
          <w:szCs w:val="18"/>
        </w:rPr>
        <w:t xml:space="preserve">U.S. Department of Labor. (2010). Young adults and the Affordable Care Act: Coverage of dependent children to age 26. Employee Benefits Security Administration.</w:t>
      </w:r>
    </w:p>
    <w:p>
      <w:pPr>
        <w:spacing w:after="70" w:line="268"/>
        <w:ind w:left="400" w:hanging="400"/>
        <w:jc w:val="both"/>
      </w:pPr>
      <w:r>
        <w:rPr>
          <w:rFonts w:ascii="Georgia" w:cs="Georgia" w:eastAsia="Georgia" w:hAnsi="Georgia"/>
          <w:color w:val="1A1A1A"/>
          <w:sz w:val="18"/>
          <w:szCs w:val="18"/>
        </w:rPr>
        <w:t xml:space="preserve">U.S. Department of Veterans Affairs. (2024). VA-guaranteed home loans: Eligibility and the funding fee. VA.</w:t>
      </w:r>
    </w:p>
    <w:p>
      <w:pPr>
        <w:spacing w:after="70" w:line="268"/>
        <w:ind w:left="400" w:hanging="400"/>
        <w:jc w:val="both"/>
      </w:pPr>
      <w:r>
        <w:rPr>
          <w:rFonts w:ascii="Georgia" w:cs="Georgia" w:eastAsia="Georgia" w:hAnsi="Georgia"/>
          <w:color w:val="1A1A1A"/>
          <w:sz w:val="18"/>
          <w:szCs w:val="18"/>
        </w:rPr>
        <w:t xml:space="preserve">U.S. Department of Veterans Affairs. (2025a). Servicemembers’ Group Life Insurance (SGLI). VA.</w:t>
      </w:r>
    </w:p>
    <w:p>
      <w:pPr>
        <w:spacing w:after="70" w:line="268"/>
        <w:ind w:left="400" w:hanging="400"/>
        <w:jc w:val="both"/>
      </w:pPr>
      <w:r>
        <w:rPr>
          <w:rFonts w:ascii="Georgia" w:cs="Georgia" w:eastAsia="Georgia" w:hAnsi="Georgia"/>
          <w:color w:val="1A1A1A"/>
          <w:sz w:val="18"/>
          <w:szCs w:val="18"/>
        </w:rPr>
        <w:t xml:space="preserve">U.S. Department of Veterans Affairs. (2025b). SGLI, FSGLI, and VGLI premium rate reductions effective July 1, 2025. VA.</w:t>
      </w:r>
    </w:p>
    <w:p>
      <w:pPr>
        <w:spacing w:after="70" w:line="268"/>
        <w:ind w:left="400" w:hanging="400"/>
        <w:jc w:val="both"/>
      </w:pPr>
      <w:r>
        <w:rPr>
          <w:rFonts w:ascii="Georgia" w:cs="Georgia" w:eastAsia="Georgia" w:hAnsi="Georgia"/>
          <w:color w:val="1A1A1A"/>
          <w:sz w:val="18"/>
          <w:szCs w:val="18"/>
        </w:rPr>
        <w:t xml:space="preserve">U.S. Government Accountability Office. (2023). National Flood Insurance Program: Risk Rating 2.0 and the path to actuarial pricing (GAO-23-105977). GAO.</w:t>
      </w:r>
    </w:p>
    <w:p>
      <w:pPr>
        <w:spacing w:after="70" w:line="268"/>
        <w:ind w:left="400" w:hanging="400"/>
        <w:jc w:val="both"/>
      </w:pPr>
      <w:r>
        <w:rPr>
          <w:rFonts w:ascii="Georgia" w:cs="Georgia" w:eastAsia="Georgia" w:hAnsi="Georgia"/>
          <w:color w:val="1A1A1A"/>
          <w:sz w:val="18"/>
          <w:szCs w:val="18"/>
        </w:rPr>
        <w:t xml:space="preserve">U.S. Securities and Exchange Commission. (2024a). Compound interest and the value of an early start. Investor.gov.</w:t>
      </w:r>
    </w:p>
    <w:p>
      <w:pPr>
        <w:spacing w:after="70" w:line="268"/>
        <w:ind w:left="400" w:hanging="400"/>
        <w:jc w:val="both"/>
      </w:pPr>
      <w:r>
        <w:rPr>
          <w:rFonts w:ascii="Georgia" w:cs="Georgia" w:eastAsia="Georgia" w:hAnsi="Georgia"/>
          <w:color w:val="1A1A1A"/>
          <w:sz w:val="18"/>
          <w:szCs w:val="18"/>
        </w:rPr>
        <w:t xml:space="preserve">U.S. Securities and Exchange Commission. (2024b). Annuities: Fixed, variable, and indexed. Investor.gov.</w:t>
      </w:r>
    </w:p>
    <w:p>
      <w:pPr>
        <w:spacing w:after="70" w:line="268"/>
        <w:ind w:left="400" w:hanging="400"/>
        <w:jc w:val="both"/>
      </w:pPr>
      <w:r>
        <w:rPr>
          <w:rFonts w:ascii="Georgia" w:cs="Georgia" w:eastAsia="Georgia" w:hAnsi="Georgia"/>
          <w:color w:val="1A1A1A"/>
          <w:sz w:val="18"/>
          <w:szCs w:val="18"/>
        </w:rPr>
        <w:t xml:space="preserve">Urban Institute. (2025). The impact of expiring enhanced premium tax credits on Marketplace coverage and the uninsured. Urban Institute Health Policy Center.</w:t>
      </w:r>
    </w:p>
    <w:p>
      <w:pPr>
        <w:spacing w:after="70" w:line="268"/>
        <w:ind w:left="400" w:hanging="400"/>
        <w:jc w:val="both"/>
      </w:pPr>
      <w:r>
        <w:rPr>
          <w:rFonts w:ascii="Georgia" w:cs="Georgia" w:eastAsia="Georgia" w:hAnsi="Georgia"/>
          <w:color w:val="1A1A1A"/>
          <w:sz w:val="18"/>
          <w:szCs w:val="18"/>
        </w:rPr>
        <w:t xml:space="preserve">von Neumann, J., &amp; Morgenstern, O. (1944). Theory of games and economic behavior. Princeton University Press.</w:t>
      </w:r>
    </w:p>
    <w:p>
      <w:pPr>
        <w:spacing w:after="70" w:line="268"/>
        <w:ind w:left="400" w:hanging="400"/>
        <w:jc w:val="both"/>
      </w:pPr>
      <w:r>
        <w:rPr>
          <w:rFonts w:ascii="Georgia" w:cs="Georgia" w:eastAsia="Georgia" w:hAnsi="Georgia"/>
          <w:color w:val="1A1A1A"/>
          <w:sz w:val="18"/>
          <w:szCs w:val="18"/>
        </w:rPr>
        <w:t xml:space="preserve">Wilson, C. (1977). A model of insurance markets with incomplete information. Journal of Economic Theory, 16(2), 167–207.</w:t>
      </w:r>
    </w:p>
    <w:p>
      <w:pPr>
        <w:spacing w:after="70" w:line="268"/>
        <w:ind w:left="400" w:hanging="400"/>
        <w:jc w:val="both"/>
      </w:pPr>
      <w:r>
        <w:rPr>
          <w:rFonts w:ascii="Georgia" w:cs="Georgia" w:eastAsia="Georgia" w:hAnsi="Georgia"/>
          <w:color w:val="1A1A1A"/>
          <w:sz w:val="18"/>
          <w:szCs w:val="18"/>
        </w:rPr>
        <w:t xml:space="preserve">Yaari, M. E. (1965). Uncertain lifetime, life insurance, and the theory of the consumer. Review of Economic Studies, 32(2), 137–150.</w:t>
      </w:r>
    </w:p>
    <w:p>
      <w:pPr>
        <w:spacing w:after="80"/>
      </w:pPr>
      <w:r>
        <w:rPr>
          <w:rFonts w:ascii="Georgia" w:cs="Georgia" w:eastAsia="Georgia" w:hAnsi="Georgia"/>
          <w:color w:val="1A1A1A"/>
          <w:sz w:val="21"/>
          <w:szCs w:val="21"/>
        </w:rPr>
        <w:t xml:space="preserve"/>
      </w:r>
    </w:p>
    <w:p>
      <w:pPr>
        <w:spacing w:after="60"/>
      </w:pPr>
      <w:r>
        <w:rPr>
          <w:rFonts w:ascii="Georgia" w:cs="Georgia" w:eastAsia="Georgia" w:hAnsi="Georgia"/>
          <w:b/>
          <w:bCs/>
          <w:color w:val="1F3A5F"/>
          <w:sz w:val="19"/>
          <w:szCs w:val="19"/>
        </w:rPr>
        <w:t xml:space="preserve">Statutes and regulations cited</w:t>
      </w:r>
    </w:p>
    <w:p>
      <w:pPr>
        <w:spacing w:after="40" w:line="268"/>
        <w:ind w:left="400" w:hanging="400"/>
      </w:pPr>
      <w:r>
        <w:rPr>
          <w:rFonts w:ascii="Georgia" w:cs="Georgia" w:eastAsia="Georgia" w:hAnsi="Georgia"/>
          <w:color w:val="1A1A1A"/>
          <w:sz w:val="18"/>
          <w:szCs w:val="18"/>
        </w:rPr>
        <w:t xml:space="preserve">Military Lending Act, 10 U.S.C. § 987; 32 C.F.R. Part 232.</w:t>
      </w:r>
    </w:p>
    <w:p>
      <w:pPr>
        <w:spacing w:after="40" w:line="268"/>
        <w:ind w:left="400" w:hanging="400"/>
      </w:pPr>
      <w:r>
        <w:rPr>
          <w:rFonts w:ascii="Georgia" w:cs="Georgia" w:eastAsia="Georgia" w:hAnsi="Georgia"/>
          <w:color w:val="1A1A1A"/>
          <w:sz w:val="18"/>
          <w:szCs w:val="18"/>
        </w:rPr>
        <w:t xml:space="preserve">Servicemembers Civil Relief Act, 50 U.S.C. § 3937.</w:t>
      </w:r>
    </w:p>
    <w:p>
      <w:pPr>
        <w:spacing w:after="40" w:line="268"/>
        <w:ind w:left="400" w:hanging="400"/>
      </w:pPr>
      <w:r>
        <w:rPr>
          <w:rFonts w:ascii="Georgia" w:cs="Georgia" w:eastAsia="Georgia" w:hAnsi="Georgia"/>
          <w:color w:val="1A1A1A"/>
          <w:sz w:val="18"/>
          <w:szCs w:val="18"/>
        </w:rPr>
        <w:t xml:space="preserve">Patient Protection and Affordable Care Act, Pub. L. No. 111-148 (2010).</w:t>
      </w:r>
    </w:p>
    <w:sectPr>
      <w:headerReference w:type="default" r:id="rId7"/>
      <w:footerReference w:type="default" r:id="rId8"/>
      <w:type w:val="nextPage"/>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4"/>
      </w:pBdr>
      <w:jc w:val="center"/>
    </w:pPr>
    <w:r>
      <w:rPr>
        <w:rFonts w:ascii="Georgia" w:cs="Georgia" w:eastAsia="Georgia" w:hAnsi="Georgia"/>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space="4"/>
      </w:pBdr>
      <w:tabs>
        <w:tab w:val="right" w:pos="9360"/>
      </w:tabs>
    </w:pPr>
    <w:r>
      <w:rPr>
        <w:rFonts w:ascii="Georgia" w:cs="Georgia" w:eastAsia="Georgia" w:hAnsi="Georgia"/>
        <w:i/>
        <w:iCs/>
        <w:color w:val="777777"/>
        <w:sz w:val="16"/>
        <w:szCs w:val="16"/>
      </w:rPr>
      <w:t xml:space="preserve">Insuring the Household</w:t>
    </w:r>
    <w:r>
      <w:rPr>
        <w:rFonts w:ascii="Georgia" w:cs="Georgia" w:eastAsia="Georgia" w:hAnsi="Georgia"/>
        <w:color w:val="777777"/>
        <w:sz w:val="16"/>
        <w:szCs w:val="16"/>
      </w:rPr>
      <w:t xml:space="preserve">	Working 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300"/>
      </w:pPr>
    </w:lvl>
  </w:abstractNum>
  <w:abstractNum w:abstractNumId="4" w15:restartNumberingAfterBreak="0">
    <w:multiLevelType w:val="hybridMultilevel"/>
    <w:lvl w:ilvl="0" w15:tentative="1">
      <w:start w:val="1"/>
      <w:numFmt w:val="decimal"/>
      <w:lvlText w:val="%1."/>
      <w:lvlJc w:val="left"/>
      <w:pPr>
        <w:ind w:left="560" w:hanging="300"/>
      </w:pPr>
    </w:lvl>
  </w:abstractNum>
  <w:abstractNum w:abstractNumId="5" w15:restartNumberingAfterBreak="0">
    <w:multiLevelType w:val="hybridMultilevel"/>
    <w:lvl w:ilvl="0" w15:tentative="1">
      <w:start w:val="1"/>
      <w:numFmt w:val="decimal"/>
      <w:lvlText w:val="%1."/>
      <w:lvlJc w:val="left"/>
      <w:pPr>
        <w:ind w:left="56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A5F" w:sz="4" w:space="4"/>
      </w:pBdr>
      <w:spacing w:after="160" w:before="340"/>
      <w:outlineLvl w:val="0"/>
    </w:pPr>
    <w:rPr>
      <w:rFonts w:ascii="Georgia" w:cs="Georgia" w:eastAsia="Georgia" w:hAnsi="Georgia"/>
      <w:b/>
      <w:bCs/>
      <w:color w:val="1F3A5F"/>
      <w:sz w:val="28"/>
      <w:szCs w:val="28"/>
    </w:rPr>
  </w:style>
  <w:style w:type="paragraph" w:styleId="Heading2">
    <w:name w:val="Heading 2"/>
    <w:basedOn w:val="Normal"/>
    <w:next w:val="Normal"/>
    <w:qFormat/>
    <w:pPr>
      <w:spacing w:after="120" w:before="240"/>
      <w:outlineLvl w:val="1"/>
    </w:pPr>
    <w:rPr>
      <w:rFonts w:ascii="Georgia" w:cs="Georgia" w:eastAsia="Georgia" w:hAnsi="Georgia"/>
      <w:b/>
      <w:bCs/>
      <w:color w:val="2E5077"/>
      <w:sz w:val="24"/>
      <w:szCs w:val="24"/>
    </w:rPr>
  </w:style>
  <w:style w:type="paragraph" w:styleId="Heading3">
    <w:name w:val="Heading 3"/>
    <w:basedOn w:val="Normal"/>
    <w:next w:val="Normal"/>
    <w:qFormat/>
    <w:pPr>
      <w:spacing w:after="100" w:before="200"/>
      <w:outlineLvl w:val="2"/>
    </w:pPr>
    <w:rPr>
      <w:rFonts w:ascii="Georgia" w:cs="Georgia" w:eastAsia="Georgia" w:hAnsi="Georgia"/>
      <w:b/>
      <w:bCs/>
      <w:i/>
      <w:iCs/>
      <w:color w:val="45607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Insuring the Household: Risk, Under-Protection, and the Architecture of Financial Security for Emerging Adults</dc:title>
  <dc:creator>Independent Research Synthesis</dc:creator>
  <dc:description>A depersonalized academic research synthesis of insurance economics, household finance, and public benefit design.</dc:description>
  <cp:lastModifiedBy>Un-named</cp:lastModifiedBy>
  <cp:revision>1</cp:revision>
  <dcterms:created xsi:type="dcterms:W3CDTF">2026-07-19T23:55:26.480Z</dcterms:created>
  <dcterms:modified xsi:type="dcterms:W3CDTF">2026-07-19T23:55:26.480Z</dcterms:modified>
</cp:coreProperties>
</file>

<file path=docProps/custom.xml><?xml version="1.0" encoding="utf-8"?>
<Properties xmlns="http://schemas.openxmlformats.org/officeDocument/2006/custom-properties" xmlns:vt="http://schemas.openxmlformats.org/officeDocument/2006/docPropsVTypes"/>
</file>