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240"/>
        <w:jc w:val="center"/>
      </w:pPr>
      <w:r>
        <w:rPr>
          <w:rFonts w:ascii="Georgia" w:cs="Georgia" w:eastAsia="Georgia" w:hAnsi="Georgia"/>
          <w:b/>
          <w:bCs/>
          <w:caps/>
          <w:color w:val="8DA9C4"/>
          <w:sz w:val="22"/>
          <w:szCs w:val="22"/>
        </w:rPr>
        <w:t xml:space="preserve">RESEARCH PAPER</w:t>
      </w:r>
    </w:p>
    <w:p>
      <w:pPr>
        <w:spacing w:after="200"/>
        <w:jc w:val="center"/>
      </w:pPr>
      <w:r>
        <w:rPr>
          <w:rFonts w:ascii="Georgia" w:cs="Georgia" w:eastAsia="Georgia" w:hAnsi="Georgia"/>
          <w:b/>
          <w:bCs/>
          <w:color w:val="0B2545"/>
          <w:sz w:val="34"/>
          <w:szCs w:val="34"/>
        </w:rPr>
        <w:t xml:space="preserve">Link Independence as a Design Criterion for</w:t>
      </w:r>
    </w:p>
    <w:p>
      <w:pPr>
        <w:spacing w:after="200"/>
        <w:jc w:val="center"/>
      </w:pPr>
      <w:r>
        <w:rPr>
          <w:rFonts w:ascii="Georgia" w:cs="Georgia" w:eastAsia="Georgia" w:hAnsi="Georgia"/>
          <w:b/>
          <w:bCs/>
          <w:color w:val="0B2545"/>
          <w:sz w:val="34"/>
          <w:szCs w:val="34"/>
        </w:rPr>
        <w:t xml:space="preserve">Local-First Multi-Agent Artificial Intelligence:</w:t>
      </w:r>
    </w:p>
    <w:p>
      <w:pPr>
        <w:spacing w:after="280"/>
        <w:jc w:val="center"/>
      </w:pPr>
      <w:r>
        <w:rPr>
          <w:rFonts w:ascii="Georgia" w:cs="Georgia" w:eastAsia="Georgia" w:hAnsi="Georgia"/>
          <w:b/>
          <w:bCs/>
          <w:color w:val="13315C"/>
          <w:sz w:val="30"/>
          <w:szCs w:val="30"/>
        </w:rPr>
        <w:t xml:space="preserve">Onboard Language-Model Cognition on an Uncrewed Aircraft</w:t>
      </w:r>
    </w:p>
    <w:p>
      <w:pPr>
        <w:spacing w:after="200"/>
        <w:jc w:val="center"/>
      </w:pPr>
      <w:r>
        <w:rPr>
          <w:i/>
          <w:iCs/>
          <w:color w:val="134074"/>
          <w:sz w:val="23"/>
          <w:szCs w:val="23"/>
        </w:rPr>
        <w:t xml:space="preserve">A Verification Study and Architectural Analysis of the ClawMaxxing Aerial Node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B2545" w:val="clear"/>
            <w:tcMar>
              <w:top w:type="dxa" w:w="140"/>
              <w:left w:type="dxa" w:w="200"/>
              <w:bottom w:type="dxa" w:w="140"/>
              <w:right w:type="dxa" w:w="200"/>
            </w:tcMar>
          </w:tcPr>
          <w:p>
            <w:pPr>
              <w:spacing w:after="40" w:before="60"/>
              <w:jc w:val="center"/>
            </w:pPr>
            <w:r>
              <w:rPr>
                <w:rFonts w:ascii="Georgia" w:cs="Georgia" w:eastAsia="Georgia" w:hAnsi="Georgia"/>
                <w:b/>
                <w:bCs/>
                <w:color w:val="FFFFFF"/>
                <w:sz w:val="26"/>
                <w:szCs w:val="26"/>
              </w:rPr>
              <w:t xml:space="preserve">174 SOURCES · 105 SCHOLARLY · 83 PEER-REVIEWED · EVERY CLAIM TYPED BY EVIDENTIARY CLASS</w:t>
            </w:r>
          </w:p>
          <w:p>
            <w:pPr>
              <w:spacing w:after="60"/>
              <w:jc w:val="center"/>
            </w:pPr>
            <w:r>
              <w:rPr>
                <w:i/>
                <w:iCs/>
                <w:color w:val="FFFFFF"/>
                <w:sz w:val="20"/>
                <w:szCs w:val="20"/>
              </w:rPr>
              <w:t xml:space="preserve">Edge Inference · Local-First Architecture · Multi-Agent Systems · UAS Autonomy · Meaningful Human Control</w:t>
            </w:r>
          </w:p>
        </w:tc>
      </w:tr>
    </w:tbl>
    <w:p>
      <w:pPr>
        <w:spacing w:after="100"/>
      </w:pPr>
    </w:p>
    <w:p>
      <w:pPr>
        <w:spacing w:after="100"/>
      </w:pPr>
    </w:p>
    <w:p>
      <w:pPr>
        <w:spacing w:after="60"/>
        <w:jc w:val="center"/>
      </w:pPr>
      <w:r>
        <w:rPr>
          <w:rFonts w:ascii="Georgia" w:cs="Georgia" w:eastAsia="Georgia" w:hAnsi="Georgia"/>
          <w:b/>
          <w:bCs/>
          <w:color w:val="0B2545"/>
          <w:sz w:val="24"/>
          <w:szCs w:val="24"/>
        </w:rPr>
        <w:t xml:space="preserve">Maximiliano Garcia</w:t>
      </w:r>
    </w:p>
    <w:p>
      <w:pPr>
        <w:spacing w:after="40"/>
        <w:jc w:val="center"/>
      </w:pPr>
      <w:r>
        <w:rPr>
          <w:color w:val="13315C"/>
          <w:sz w:val="20"/>
          <w:szCs w:val="20"/>
        </w:rPr>
        <w:t xml:space="preserve">University of Arkansas · Fayetteville, Arkansas</w:t>
      </w:r>
    </w:p>
    <w:p>
      <w:pPr>
        <w:spacing w:after="200"/>
        <w:jc w:val="center"/>
      </w:pPr>
      <w:r>
        <w:rPr>
          <w:i/>
          <w:iCs/>
          <w:color w:val="8A929A"/>
          <w:sz w:val="18"/>
          <w:szCs w:val="18"/>
        </w:rPr>
        <w:t xml:space="preserve">@the_maxgarcia · ClawMaxxing Project</w:t>
      </w:r>
    </w:p>
    <w:p>
      <w:pPr>
        <w:spacing w:after="100"/>
      </w:pPr>
    </w:p>
    <w:p>
      <w:pPr>
        <w:jc w:val="center"/>
      </w:pPr>
      <w:r>
        <w:rPr>
          <w:color w:val="134074"/>
          <w:sz w:val="20"/>
          <w:szCs w:val="20"/>
        </w:rPr>
        <w:t xml:space="preserve">July 2026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DA9C4" w:val="clear"/>
            <w:tcMar>
              <w:top w:type="dxa" w:w="60"/>
              <w:left w:type="dxa" w:w="120"/>
              <w:bottom w:type="dxa" w:w="60"/>
              <w:right w:type="dxa" w:w="120"/>
            </w:tcMar>
          </w:tcPr>
          <w:p>
            <w:pPr>
              <w:jc w:val="center"/>
            </w:pPr>
            <w:r>
              <w:rPr>
                <w:rFonts w:ascii="Georgia" w:cs="Georgia" w:eastAsia="Georgia" w:hAnsi="Georgia"/>
                <w:b/>
                <w:bCs/>
                <w:color w:val="FFFFFF"/>
                <w:sz w:val="18"/>
                <w:szCs w:val="18"/>
              </w:rPr>
              <w:t xml:space="preserve">PREPRINT · NON-PEER-REVIEWED · CIVILIAN PROOF-OF-CONCEPT · NON-WEAPONIZED</w:t>
            </w:r>
          </w:p>
        </w:tc>
      </w:tr>
    </w:tbl>
    <w:p>
      <w:r>
        <w:br w:type="page"/>
      </w:r>
    </w:p>
    <w:p>
      <w:pPr>
        <w:pStyle w:val="Heading1"/>
      </w:pPr>
      <w:r>
        <w:rPr>
          <w:b/>
          <w:bCs/>
        </w:rPr>
        <w:t xml:space="preserve">Abstract</w:t>
      </w:r>
    </w:p>
    <w:p>
      <w:pPr>
        <w:spacing w:after="200" w:line="300" w:lineRule="auto"/>
      </w:pPr>
      <w:r>
        <w:rPr>
          <w:i/>
          <w:iCs/>
        </w:rPr>
        <w:t xml:space="preserve">Contemporary edge artificial-intelligence systems increasingly describe themselves as “local” or “cloud-free,” yet a substantial proportion retain a dependency on a network the system cannot itself guarantee. This paper argues that such systems are private but not autonomous, and that the distinction is architecturally decisive rather than semantic. We propose and defend </w:t>
      </w:r>
      <w:r>
        <w:rPr>
          <w:b/>
          <w:bCs/>
        </w:rPr>
        <w:t xml:space="preserve">link independence</w:t>
      </w:r>
      <w:r>
        <w:rPr>
          <w:i/>
          <w:iCs/>
        </w:rPr>
        <w:t xml:space="preserve"> as a formal design criterion: an autonomous capability is real only if it survives the loss of every network the system cannot itself guarantee. We apply this criterion to the hardest available test case — an uncrewed aircraft — and demonstrate that it disqualifies the intuitive hub-and-limb architecture in which a stationary inference server reasons on behalf of a remote device. We report a verification study of a local-first multi-agent ecosystem (“ClawMaxxing”) whose flagship node is a Holybro X650 V2 quadcopter carrying an NVIDIA Jetson Orin NX 16 GB companion computer executing a three- to four-billion-parameter language model on the aircraft, with a stationary mini-PC hub reachable over an encrypted mesh as an optional escalation peer that is never a prerequisite. Four candidate compute configurations are evaluated against measured benchmarks. We document a significant negative finding: the widely-recommended Raspberry Pi AI HAT+ cannot execute large language models at all, being a convolutional vision accelerator, and its 2026 successor executes only models of approximately one to one-and-a-half billion parameters from a proprietary compiled corpus — in one independent measurement more slowly than the host processor it was intended to accelerate. We further document a vendor-simulation-versus-measurement discrepancy in which the accelerator’s manufacturer subsequently revised its own published power-performance claim downward by more than a factor of three. We engage the strongest counterargument to onboard language-model cognition — that language models are ungrounded and therefore unsafe for direct robotic deployment, a position stated explicitly by the authors of the most authoritative work in the field — and resolve it architecturally rather than dismissing it, by confining the model to a non-safety-critical advisory tier above a deterministic autopilot, gated by mandatory human confirmation and recorded in a tamper-evident log. We situate the work in a research gap: onboard language-model cognition aboard a flying PX4 aircraft has, to our knowledge, exactly one close precursor, and that work executed its models off-board on workstation-class GPUs while naming edge-deployable models as future work. The convergent testimony of three literatures that rarely cite one another — local-first software, GNSS security, and radio-link security — independently supports the criterion this paper advances. The platform is gripper-only and defensive-only by design and by law; the exclusions are argued to strengthen rather than constrain the artifact.</w:t>
      </w:r>
    </w:p>
    <w:p>
      <w:pPr>
        <w:spacing w:after="100"/>
      </w:pPr>
    </w:p>
    <w:p>
      <w:pPr>
        <w:spacing w:after="200" w:line="300" w:lineRule="auto"/>
      </w:pPr>
      <w:r>
        <w:rPr>
          <w:b/>
          <w:bCs/>
        </w:rPr>
        <w:t xml:space="preserve">Keywords: </w:t>
      </w:r>
      <w:r>
        <w:t xml:space="preserve">link independence; edge artificial intelligence; on-device large-language-model inference; local-first software; uncrewed aircraft systems; multi-agent systems; symbol grounding; meaningful human control; sensor fusion; GNSS spoofing; tamper-evident logging; Part 107; small language models.</w:t>
      </w:r>
    </w:p>
    <w:p>
      <w:pPr>
        <w:spacing w:after="100"/>
      </w:pPr>
    </w:p>
    <w:p>
      <w:pPr>
        <w:pBdr>
          <w:left w:val="single" w:color="134074" w:sz="18" w:space="12"/>
        </w:pBdr>
        <w:shd w:fill="EEF2F7" w:val="clear"/>
        <w:spacing w:after="200" w:before="60"/>
        <w:ind w:left="300" w:right="300"/>
      </w:pPr>
      <w:r>
        <w:rPr>
          <w:b/>
          <w:bCs/>
          <w:color w:val="134074"/>
          <w:sz w:val="22"/>
          <w:szCs w:val="22"/>
        </w:rPr>
        <w:t xml:space="preserve">▸ NOTE  </w:t>
      </w:r>
      <w:r>
        <w:rPr>
          <w:sz w:val="22"/>
          <w:szCs w:val="22"/>
        </w:rPr>
        <w:t xml:space="preserve">This is a preprint and has not been peer reviewed. It is a design-verification and architectural-analysis study, not an empirical flight-test campaign. Throughput, drift, and endurance figures are drawn from benchmarks on comparable hardware and are stated as design targets requiring confirmation on the assembled airframe. Section 2 states the source-typing methodology; Section 12 states the limitations in full.</w:t>
      </w:r>
    </w:p>
    <w:p>
      <w:r>
        <w:br w:type="page"/>
      </w:r>
    </w:p>
    <w:p>
      <w:pPr>
        <w:pStyle w:val="Heading1"/>
      </w:pPr>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1. Introduction</w:t>
      </w:r>
    </w:p>
    <w:p>
      <w:pPr>
        <w:pStyle w:val="Heading2"/>
      </w:pPr>
      <w:r>
        <w:rPr>
          <w:b/>
          <w:bCs/>
        </w:rPr>
        <w:t xml:space="preserve">1.1 A Word That Does Too Much Work</w:t>
      </w:r>
    </w:p>
    <w:p>
      <w:pPr>
        <w:spacing w:after="200" w:line="300" w:lineRule="auto"/>
      </w:pPr>
      <w:r>
        <w:t xml:space="preserve">The word “local” has become one of the most overloaded terms in applied artificial intelligence. It is used to mean that no data reaches a commercial cloud provider; that inference occurs on hardware the operator owns; that a model’s weights are stored on a machine within a private network; and, occasionally, that a system continues to function when disconnected from the internet. These are four different claims. They are routinely presented as one.</w:t>
      </w:r>
    </w:p>
    <w:p>
      <w:pPr>
        <w:spacing w:after="200" w:line="300" w:lineRule="auto"/>
      </w:pPr>
      <w:r>
        <w:t xml:space="preserve">The distinction matters because the strongest of these claims — continued function under disconnection — is the one that most systems marketed as local cannot make. A device whose reasoning is served by a machine elsewhere on a private network satisfies the first three senses and fails the fourth. Its data is private. Its weights are owned. Its inference is unbilled. And it stops thinking the moment a radio link degrades. The literature on local-first software </w:t>
      </w:r>
      <w:r>
        <w:t xml:space="preserve">[19]</w:t>
      </w:r>
      <w:r>
        <w:t xml:space="preserve"> articulated this tension with unusual precision in 2019, framing the goal as software in which “you own your data, in spite of the cloud” and enumerating the properties — among them the ability to work offline indefinitely — that separate genuine data ownership from its appearance. That work concerned collaborative document editing. This paper concerns a system where the same distinction determines whether an aircraft can complete a task.</w:t>
      </w:r>
    </w:p>
    <w:p>
      <w:pPr>
        <w:pStyle w:val="Heading2"/>
      </w:pPr>
      <w:r>
        <w:rPr>
          <w:b/>
          <w:bCs/>
        </w:rPr>
        <w:t xml:space="preserve">1.2 The Test Case</w:t>
      </w:r>
    </w:p>
    <w:p>
      <w:pPr>
        <w:spacing w:after="200" w:line="300" w:lineRule="auto"/>
      </w:pPr>
      <w:r>
        <w:t xml:space="preserve">The ClawMaxxing project is a local-first, zero-cloud-dependency multi-agent artificial-intelligence ecosystem built by a single operator on consumer hardware. Its central inference hub is a mini-PC </w:t>
      </w:r>
      <w:r>
        <w:t xml:space="preserve">[165]</w:t>
      </w:r>
      <w:r>
        <w:t xml:space="preserve"> that serves quantized open-weight models to a council of specialist agents. Its organizing constraint is that no component of the system may depend on infrastructure the operator does not control. For eighteen months this constraint was satisfiable trivially, because every component sat on one desk connected by one switch.</w:t>
      </w:r>
    </w:p>
    <w:p>
      <w:pPr>
        <w:spacing w:after="200" w:line="300" w:lineRule="auto"/>
      </w:pPr>
      <w:r>
        <w:t xml:space="preserve">The extension of the ecosystem into an uncrewed aircraft broke that comfortable arrangement, and it broke it in a way that is analytically useful. A drone is the least forgiving peripheral available to a builder. It departs the premises. It exits wireless range as a matter of routine rather than exception. It operates under a strict mass budget, a strict power budget, and a thermal envelope that punishes sustained computation. It is governed by federal regulation in which a design error is not a defect but a violation. And it fails, when it fails, by falling.</w:t>
      </w:r>
    </w:p>
    <w:p>
      <w:pPr>
        <w:spacing w:after="200" w:line="300" w:lineRule="auto"/>
      </w:pPr>
      <w:r>
        <w:t xml:space="preserve">If the local-first thesis survives a drone, it survives anything the ecosystem is likely to encounter. If it does not, the thesis was never as strong as its proponents — including this author — believed.</w:t>
      </w:r>
    </w:p>
    <w:p>
      <w:pPr>
        <w:pStyle w:val="Heading2"/>
      </w:pPr>
      <w:r>
        <w:rPr>
          <w:b/>
          <w:bCs/>
        </w:rPr>
        <w:t xml:space="preserve">1.3 The Central Claim</w:t>
      </w:r>
    </w:p>
    <w:p>
      <w:pPr>
        <w:spacing w:after="200" w:line="300" w:lineRule="auto"/>
      </w:pPr>
      <w:r>
        <w:t xml:space="preserve">This paper proposes a criterion and then tests it:</w:t>
      </w:r>
    </w:p>
    <w:p>
      <w:pPr>
        <w:pBdr>
          <w:left w:val="single" w:color="0B2545" w:sz="18" w:space="12"/>
        </w:pBdr>
        <w:shd w:fill="E8EEF4" w:val="clear"/>
        <w:spacing w:after="200" w:before="60"/>
        <w:ind w:left="300" w:right="300"/>
      </w:pPr>
      <w:r>
        <w:rPr>
          <w:b/>
          <w:bCs/>
          <w:color w:val="0B2545"/>
          <w:sz w:val="22"/>
          <w:szCs w:val="22"/>
        </w:rPr>
        <w:t xml:space="preserve">▸ LINK INDEPENDENCE  </w:t>
      </w:r>
      <w:r>
        <w:rPr>
          <w:sz w:val="22"/>
          <w:szCs w:val="22"/>
        </w:rPr>
        <w:t xml:space="preserve">An autonomous capability is real only if it survives the loss of every network the system cannot itself guarantee. Any capability requiring communication with another machine is a conditional capability and must be documented as such.</w:t>
      </w:r>
    </w:p>
    <w:p>
      <w:pPr>
        <w:spacing w:after="200" w:line="300" w:lineRule="auto"/>
      </w:pPr>
      <w:r>
        <w:t xml:space="preserve">The criterion is stricter than it appears, and it disqualifies more than it first seems to. It does not merely require graceful degradation on link loss; any competently built aircraft already provides that through its flight controller’s failsafe logic. It makes a sharper assertion: that if a system’s intelligence resides on the far side of a radio, the system does not possess intelligence. It possesses intermittent access to intelligence, which is a different and considerably weaker property.</w:t>
      </w:r>
    </w:p>
    <w:p>
      <w:pPr>
        <w:spacing w:after="200" w:line="300" w:lineRule="auto"/>
      </w:pPr>
      <w:r>
        <w:t xml:space="preserve">Applied to the aircraft, the criterion forces a conclusion that is expensive in mass, power, thermal budget, and money: the language model must execute on the aircraft. The hub may remain reachable, and its larger models may be consulted when conditions permit, but nothing in the aircraft’s autonomy may depend on reaching it.</w:t>
      </w:r>
    </w:p>
    <w:p>
      <w:pPr>
        <w:pStyle w:val="Heading2"/>
      </w:pPr>
      <w:r>
        <w:rPr>
          <w:b/>
          <w:bCs/>
        </w:rPr>
        <w:t xml:space="preserve">1.4 Research Questions</w:t>
      </w:r>
    </w:p>
    <w:p>
      <w:pPr>
        <w:pStyle w:val="ListParagraph"/>
        <w:numPr>
          <w:ilvl w:val="0"/>
          <w:numId w:val="2"/>
        </w:numPr>
        <w:spacing w:after="110" w:line="300" w:lineRule="auto"/>
      </w:pPr>
      <w:r>
        <w:t xml:space="preserve">Is the link-independence criterion supported by the scholarly literature, or is it an aesthetic preference dressed as an engineering principle?</w:t>
      </w:r>
    </w:p>
    <w:p>
      <w:pPr>
        <w:pStyle w:val="ListParagraph"/>
        <w:numPr>
          <w:ilvl w:val="0"/>
          <w:numId w:val="2"/>
        </w:numPr>
        <w:spacing w:after="110" w:line="300" w:lineRule="auto"/>
      </w:pPr>
      <w:r>
        <w:t xml:space="preserve">Which onboard-compute configuration, if any, delivers real-time natural-language inference within the mass, power, and thermal budget of a 650 mm-class multirotor?</w:t>
      </w:r>
    </w:p>
    <w:p>
      <w:pPr>
        <w:pStyle w:val="ListParagraph"/>
        <w:numPr>
          <w:ilvl w:val="0"/>
          <w:numId w:val="2"/>
        </w:numPr>
        <w:spacing w:after="110" w:line="300" w:lineRule="auto"/>
      </w:pPr>
      <w:r>
        <w:t xml:space="preserve">Can a small language model executing on such hardware convert natural-language intent into valid flight commands at rates sufficient for practical use, and what evidence bears on this?</w:t>
      </w:r>
    </w:p>
    <w:p>
      <w:pPr>
        <w:pStyle w:val="ListParagraph"/>
        <w:numPr>
          <w:ilvl w:val="0"/>
          <w:numId w:val="2"/>
        </w:numPr>
        <w:spacing w:after="110" w:line="300" w:lineRule="auto"/>
      </w:pPr>
      <w:r>
        <w:t xml:space="preserve">How should an aircraft federate with a stationary hub without rendering the hub a dependency of flight?</w:t>
      </w:r>
    </w:p>
    <w:p>
      <w:pPr>
        <w:pStyle w:val="ListParagraph"/>
        <w:numPr>
          <w:ilvl w:val="0"/>
          <w:numId w:val="2"/>
        </w:numPr>
        <w:spacing w:after="110" w:line="300" w:lineRule="auto"/>
      </w:pPr>
      <w:r>
        <w:t xml:space="preserve">How should the well-documented ungroundedness of language models be reconciled with their use aboard a vehicle capable of causing physical harm?</w:t>
      </w:r>
    </w:p>
    <w:p>
      <w:pPr>
        <w:pStyle w:val="ListParagraph"/>
        <w:numPr>
          <w:ilvl w:val="0"/>
          <w:numId w:val="2"/>
        </w:numPr>
        <w:spacing w:after="110" w:line="300" w:lineRule="auto"/>
      </w:pPr>
      <w:r>
        <w:t xml:space="preserve">What must such a platform categorically exclude, and do those exclusions weaken or strengthen it as an engineering artifact?</w:t>
      </w:r>
    </w:p>
    <w:p>
      <w:pPr>
        <w:pStyle w:val="Heading2"/>
      </w:pPr>
      <w:r>
        <w:rPr>
          <w:b/>
          <w:bCs/>
        </w:rPr>
        <w:t xml:space="preserve">1.5 Contributions</w:t>
      </w:r>
    </w:p>
    <w:p>
      <w:pPr>
        <w:spacing w:after="200" w:line="300" w:lineRule="auto"/>
      </w:pPr>
      <w:r>
        <w:t xml:space="preserve">This paper makes six contributions, of which the second and fifth are, to our knowledge, novel:</w:t>
      </w:r>
    </w:p>
    <w:p>
      <w:pPr>
        <w:pStyle w:val="ListParagraph"/>
        <w:numPr>
          <w:ilvl w:val="0"/>
          <w:numId w:val="3"/>
        </w:numPr>
        <w:spacing w:after="100" w:line="300" w:lineRule="auto"/>
      </w:pPr>
      <w:r>
        <w:t xml:space="preserve">A formal statement and multi-literature defence of link independence as a design criterion for edge artificial intelligence, drawing on three research communities that rarely cite one another.</w:t>
      </w:r>
    </w:p>
    <w:p>
      <w:pPr>
        <w:pStyle w:val="ListParagraph"/>
        <w:numPr>
          <w:ilvl w:val="0"/>
          <w:numId w:val="3"/>
        </w:numPr>
        <w:spacing w:after="100" w:line="300" w:lineRule="auto"/>
      </w:pPr>
      <w:r>
        <w:rPr>
          <w:b/>
          <w:bCs/>
        </w:rPr>
        <w:t xml:space="preserve">A documented negative finding </w:t>
      </w:r>
      <w:r>
        <w:t xml:space="preserve">on neural-accelerator hardware widely assumed to accelerate language-model inference, together with a vendor-simulation-versus-measurement discrepancy subsequently conceded by the manufacturer.</w:t>
      </w:r>
    </w:p>
    <w:p>
      <w:pPr>
        <w:pStyle w:val="ListParagraph"/>
        <w:numPr>
          <w:ilvl w:val="0"/>
          <w:numId w:val="3"/>
        </w:numPr>
        <w:spacing w:after="100" w:line="300" w:lineRule="auto"/>
      </w:pPr>
      <w:r>
        <w:t xml:space="preserve">A verified comparison of four onboard-compute configurations for language-model inference aboard a small uncrewed aircraft, with explicit decision thresholds under which the recommendation reverses.</w:t>
      </w:r>
    </w:p>
    <w:p>
      <w:pPr>
        <w:pStyle w:val="ListParagraph"/>
        <w:numPr>
          <w:ilvl w:val="0"/>
          <w:numId w:val="3"/>
        </w:numPr>
        <w:spacing w:after="100" w:line="300" w:lineRule="auto"/>
      </w:pPr>
      <w:r>
        <w:t xml:space="preserve">A correction to previously published guidance within this project, on zero-cloud grounds, regarding the reference implementation of a language-model-to-autopilot bridge.</w:t>
      </w:r>
    </w:p>
    <w:p>
      <w:pPr>
        <w:pStyle w:val="ListParagraph"/>
        <w:numPr>
          <w:ilvl w:val="0"/>
          <w:numId w:val="3"/>
        </w:numPr>
        <w:spacing w:after="100" w:line="300" w:lineRule="auto"/>
      </w:pPr>
      <w:r>
        <w:rPr>
          <w:b/>
          <w:bCs/>
        </w:rPr>
        <w:t xml:space="preserve">An architectural resolution </w:t>
      </w:r>
      <w:r>
        <w:t xml:space="preserve">of the grounding objection to language-model robotic control that neither dismisses the objection nor abandons the architecture, formalized as a tiered authority contract.</w:t>
      </w:r>
    </w:p>
    <w:p>
      <w:pPr>
        <w:pStyle w:val="ListParagraph"/>
        <w:numPr>
          <w:ilvl w:val="0"/>
          <w:numId w:val="3"/>
        </w:numPr>
        <w:spacing w:after="100" w:line="300" w:lineRule="auto"/>
      </w:pPr>
      <w:r>
        <w:t xml:space="preserve">A statement of the research gap: onboard language-model cognition aboard a flying autopilot-controlled aircraft, with the nearest precursor identified and its off-board execution documented.</w:t>
      </w:r>
    </w:p>
    <w:p>
      <w:pPr>
        <w:pStyle w:val="Heading2"/>
      </w:pPr>
      <w:r>
        <w:rPr>
          <w:b/>
          <w:bCs/>
        </w:rPr>
        <w:t xml:space="preserve">1.6 Scope and Explicit Exclusions</w:t>
      </w:r>
    </w:p>
    <w:p>
      <w:pPr>
        <w:spacing w:after="200" w:line="300" w:lineRule="auto"/>
      </w:pPr>
      <w:r>
        <w:t xml:space="preserve">This study concerns an aircraft that perceives, follows a consenting operator, converses, grasps and relocates objects with a gripper, and defends its own command link and navigation solution. It categorically excludes weaponization of any kind — including low-energy projectile devices — because operating an uncrewed aircraft equipped or armed with a dangerous weapon is prohibited by federal statute with civil penalties of up to twenty-five thousand dollars per violation </w:t>
      </w:r>
      <w:r>
        <w:t xml:space="preserve">[100, 101]</w:t>
      </w:r>
      <w:r>
        <w:t xml:space="preserve">. It further excludes any capability to detect, track, intercept, jam, spoof, or otherwise engage another aircraft; that authority is reserved to designated federal agencies </w:t>
      </w:r>
      <w:r>
        <w:t xml:space="preserve">[106]</w:t>
      </w:r>
      <w:r>
        <w:t xml:space="preserve">, and signal interference is independently prohibited </w:t>
      </w:r>
      <w:r>
        <w:t xml:space="preserve">[107]</w:t>
      </w:r>
      <w:r>
        <w:t xml:space="preserve">. Section 10 develops the regulatory position; Section 11.4 argues that these exclusions strengthen the artifact.</w:t>
      </w:r>
    </w:p>
    <w:p>
      <w:pPr>
        <w:pBdr>
          <w:left w:val="single" w:color="0B2545" w:sz="18" w:space="12"/>
        </w:pBdr>
        <w:shd w:fill="E8EEF4" w:val="clear"/>
        <w:spacing w:after="200" w:before="60"/>
        <w:ind w:left="300" w:right="300"/>
      </w:pPr>
      <w:r>
        <w:rPr>
          <w:b/>
          <w:bCs/>
          <w:color w:val="0B2545"/>
          <w:sz w:val="22"/>
          <w:szCs w:val="22"/>
        </w:rPr>
        <w:t xml:space="preserve">§ LEGAL  </w:t>
      </w:r>
      <w:r>
        <w:rPr>
          <w:sz w:val="22"/>
          <w:szCs w:val="22"/>
        </w:rPr>
        <w:t xml:space="preserve">These are not reluctant concessions extracted by regulation. They are the design decisions that render the artifact lawful, publishable, and defensible under scrutiny — and a capability that cannot be described in public is not a research contribution but an undisclosed liability.</w:t>
      </w:r>
    </w:p>
    <w:p>
      <w:pPr>
        <w:pStyle w:val="Heading2"/>
      </w:pPr>
      <w:r>
        <w:rPr>
          <w:b/>
          <w:bCs/>
        </w:rPr>
        <w:t xml:space="preserve">1.7 Structure</w:t>
      </w:r>
    </w:p>
    <w:p>
      <w:pPr>
        <w:spacing w:after="200" w:line="300" w:lineRule="auto"/>
      </w:pPr>
      <w:r>
        <w:t xml:space="preserve">Section 2 states the methodology, and in particular the source-typing scheme that governs every empirical claim in this paper. Section 3 reviews the relevant literature across nine domains. Section 4 states and defends the link-independence thesis and engages its counterarguments. Section 5 specifies the system architecture. Section 6 reports the onboard-compute evaluation, including the negative finding. Section 7 addresses the grounding problem and the safety architecture that resolves it. Section 8 specifies the security architecture. Section 9 addresses accountability. Section 10 develops the regulatory and ethical position. Section 11 discusses implications; Section 12 states limitations and future work; Section 13 concludes.</w:t>
      </w:r>
    </w:p>
    <w:p>
      <w:r>
        <w:br w:type="page"/>
      </w:r>
    </w:p>
    <w:p>
      <w:pPr>
        <w:pStyle w:val="Heading1"/>
      </w:pPr>
      <w:r>
        <w:rPr>
          <w:b/>
          <w:bCs/>
        </w:rPr>
        <w:t xml:space="preserve">2. Methodology</w:t>
      </w:r>
    </w:p>
    <w:p>
      <w:pPr>
        <w:pStyle w:val="Heading2"/>
      </w:pPr>
      <w:r>
        <w:rPr>
          <w:b/>
          <w:bCs/>
        </w:rPr>
        <w:t xml:space="preserve">2.1 The Problem This Section Solves</w:t>
      </w:r>
    </w:p>
    <w:p>
      <w:pPr>
        <w:spacing w:after="200" w:line="300" w:lineRule="auto"/>
      </w:pPr>
      <w:r>
        <w:t xml:space="preserve">A paper of this kind draws on evidence of radically unequal quality. A peer-reviewed measurement published at a top-tier security conference and a manufacturer’s marketing figure are both, in a loose sense, “sources.” Treating them as interchangeable is the characteristic failure mode of applied-engineering writing, and it is a failure this paper takes seriously enough to formalize.</w:t>
      </w:r>
    </w:p>
    <w:p>
      <w:pPr>
        <w:spacing w:after="200" w:line="300" w:lineRule="auto"/>
      </w:pPr>
      <w:r>
        <w:t xml:space="preserve">Every source in this paper is therefore assigned an evidentiary type, and every empirical claim is supported by the strongest available type. Where types conflict, the conflict is reported rather than resolved by preference.</w:t>
      </w:r>
    </w:p>
    <w:p>
      <w:pPr>
        <w:pStyle w:val="Heading2"/>
      </w:pPr>
      <w:r>
        <w:rPr>
          <w:b/>
          <w:bCs/>
        </w:rPr>
        <w:t xml:space="preserve">2.2 Source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400"/>
        <w:gridCol w:w="1560"/>
      </w:tblGrid>
      <w:tr>
        <w:trPr>
          <w:tblHeader/>
        </w:trPr>
        <w:tc>
          <w:tcPr>
            <w:tcW w:type="dxa" w:w="8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26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Class</w:t>
            </w:r>
          </w:p>
        </w:tc>
        <w:tc>
          <w:tcPr>
            <w:tcW w:type="dxa" w:w="4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Governs</w:t>
            </w:r>
          </w:p>
        </w:tc>
        <w:tc>
          <w:tcPr>
            <w:tcW w:type="dxa" w:w="1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Count</w:t>
            </w:r>
          </w:p>
        </w:tc>
      </w:tr>
      <w:tr>
        <w:tc>
          <w:tcPr>
            <w:tcW w:type="dxa" w:w="8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PR</w:t>
            </w:r>
          </w:p>
        </w:tc>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Peer-reviewed</w:t>
            </w:r>
          </w:p>
        </w:tc>
        <w:tc>
          <w:tcPr>
            <w:tcW w:type="dxa" w:w="4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Algorithmic, security, and human-factors claims</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83</w:t>
            </w:r>
          </w:p>
        </w:tc>
      </w:tr>
      <w:tr>
        <w:tc>
          <w:tcPr>
            <w:tcW w:type="dxa" w:w="8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PP</w:t>
            </w:r>
          </w:p>
        </w:tc>
        <w:tc>
          <w:tcPr>
            <w:tcW w:type="dxa" w:w="2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Preprint (arXiv)</w:t>
            </w:r>
          </w:p>
        </w:tc>
        <w:tc>
          <w:tcPr>
            <w:tcW w:type="dxa" w:w="4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Recent results not yet through review</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17</w:t>
            </w:r>
          </w:p>
        </w:tc>
      </w:tr>
      <w:tr>
        <w:tc>
          <w:tcPr>
            <w:tcW w:type="dxa" w:w="8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PL</w:t>
            </w:r>
          </w:p>
        </w:tc>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Primary legal / standard</w:t>
            </w:r>
          </w:p>
        </w:tc>
        <w:tc>
          <w:tcPr>
            <w:tcW w:type="dxa" w:w="4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All regulatory and compliance claims</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27</w:t>
            </w:r>
          </w:p>
        </w:tc>
      </w:tr>
      <w:tr>
        <w:tc>
          <w:tcPr>
            <w:tcW w:type="dxa" w:w="8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c>
          <w:tcPr>
            <w:tcW w:type="dxa" w:w="2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Vendor / primary technical</w:t>
            </w:r>
          </w:p>
        </w:tc>
        <w:tc>
          <w:tcPr>
            <w:tcW w:type="dxa" w:w="4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Hardware specifications and interfaces</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37</w:t>
            </w:r>
          </w:p>
        </w:tc>
      </w:tr>
      <w:tr>
        <w:tc>
          <w:tcPr>
            <w:tcW w:type="dxa" w:w="8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IB</w:t>
            </w:r>
          </w:p>
        </w:tc>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Independent benchmark / security research</w:t>
            </w:r>
          </w:p>
        </w:tc>
        <w:tc>
          <w:tcPr>
            <w:tcW w:type="dxa" w:w="4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Performance where vendor figures are suspect</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5</w:t>
            </w:r>
          </w:p>
        </w:tc>
      </w:tr>
      <w:tr>
        <w:tc>
          <w:tcPr>
            <w:tcW w:type="dxa" w:w="8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CL</w:t>
            </w:r>
          </w:p>
        </w:tc>
        <w:tc>
          <w:tcPr>
            <w:tcW w:type="dxa" w:w="2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Canonical monograph</w:t>
            </w:r>
          </w:p>
        </w:tc>
        <w:tc>
          <w:tcPr>
            <w:tcW w:type="dxa" w:w="4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Foundational conceptual framing</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5</w:t>
            </w:r>
          </w:p>
        </w:tc>
      </w:tr>
    </w:tbl>
    <w:p>
      <w:pPr>
        <w:spacing w:after="200" w:line="300" w:lineRule="auto"/>
      </w:pPr>
      <w:r>
        <w:t xml:space="preserve">The distribution is deliberate. Scholarly sources (PR, PP, CL) total 105 of 174. Vendor sources are used only where the manufacturer is the authoritative source for a specification of its own hardware, and are labelled as such at every point of use. Independent benchmarks are few in number but carry disproportionate weight in Section 6, because they are the only sources positioned to contradict a vendor.</w:t>
      </w:r>
    </w:p>
    <w:p>
      <w:pPr>
        <w:pStyle w:val="Heading2"/>
      </w:pPr>
      <w:r>
        <w:rPr>
          <w:b/>
          <w:bCs/>
        </w:rPr>
        <w:t xml:space="preserve">2.3 The Vendor-Optimism Problem</w:t>
      </w:r>
    </w:p>
    <w:p>
      <w:pPr>
        <w:spacing w:after="200" w:line="300" w:lineRule="auto"/>
      </w:pPr>
      <w:r>
        <w:t xml:space="preserve">A methodological point deserves its own subsection because it materially changes numbers throughout this paper. Vendor throughput figures for edge inference are typically measured under the most favourable achievable configuration. NVIDIA’s published figures for the Jetson Orin platform, for example, are measured with INT4 quantization through the MLC API, and the company describes the resulting gain as “up to a 2× inference performance boost” </w:t>
      </w:r>
      <w:r>
        <w:t xml:space="preserve">[140]</w:t>
      </w:r>
      <w:r>
        <w:t xml:space="preserve">. These are genuine measurements, not fabrications. They describe an optimized ceiling reachable by a practitioner who has already made several non-obvious choices correctly.</w:t>
      </w:r>
    </w:p>
    <w:p>
      <w:pPr>
        <w:spacing w:after="200" w:line="300" w:lineRule="auto"/>
      </w:pPr>
      <w:r>
        <w:t xml:space="preserve">Independent measurement of identical silicon under the runtimes a builder installs first — llama.cpp and Ollama </w:t>
      </w:r>
      <w:r>
        <w:t xml:space="preserve">[16, 17]</w:t>
      </w:r>
      <w:r>
        <w:t xml:space="preserve"> — lands materially lower </w:t>
      </w:r>
      <w:r>
        <w:t xml:space="preserve">[144]</w:t>
      </w:r>
      <w:r>
        <w:t xml:space="preserve">. Both numbers are honest. Only one describes a day-one experience.</w:t>
      </w:r>
    </w:p>
    <w:p>
      <w:pPr>
        <w:pBdr>
          <w:left w:val="single" w:color="B7791F" w:sz="18" w:space="12"/>
        </w:pBdr>
        <w:shd w:fill="FEF5E7" w:val="clear"/>
        <w:spacing w:after="200" w:before="60"/>
        <w:ind w:left="300" w:right="300"/>
      </w:pPr>
      <w:r>
        <w:rPr>
          <w:b/>
          <w:bCs/>
          <w:color w:val="B7791F"/>
          <w:sz w:val="22"/>
          <w:szCs w:val="22"/>
        </w:rPr>
        <w:t xml:space="preserve">↻ CORRECTION  </w:t>
      </w:r>
      <w:r>
        <w:rPr>
          <w:b/>
          <w:bCs/>
        </w:rPr>
        <w:t xml:space="preserve">Planning discipline adopted throughout. </w:t>
      </w:r>
      <w:r>
        <w:t xml:space="preserve">Vendor ceilings are quoted only alongside independently measured floors, and the architecture is designed to the floor. A system that works only at the vendor figure is a system that does not work. Where this paper states a single number, it states the floor.</w:t>
      </w:r>
    </w:p>
    <w:p>
      <w:pPr>
        <w:pStyle w:val="Heading2"/>
      </w:pPr>
      <w:r>
        <w:rPr>
          <w:b/>
          <w:bCs/>
        </w:rPr>
        <w:t xml:space="preserve">2.4 Handling Conflicting Sources</w:t>
      </w:r>
    </w:p>
    <w:p>
      <w:pPr>
        <w:spacing w:after="200" w:line="300" w:lineRule="auto"/>
      </w:pPr>
      <w:r>
        <w:t xml:space="preserve">Where sources conflict, this paper reports the conflict, identifies each source’s type and likely bias, and declines to synthesize a compromise figure. Section 6.3 develops the clearest instance in detail: published throughput claims for a neural accelerator differ by roughly a factor of five between vendor-adjacent and independent sources, and the manufacturer subsequently revised its own claim. That episode is treated not as an embarrassment to be minimized but as the paper’s central worked example in evidentiary reasoning.</w:t>
      </w:r>
    </w:p>
    <w:p>
      <w:pPr>
        <w:pStyle w:val="Heading2"/>
      </w:pPr>
      <w:r>
        <w:rPr>
          <w:b/>
          <w:bCs/>
        </w:rPr>
        <w:t xml:space="preserve">2.5 What This Paper Is Not</w:t>
      </w:r>
    </w:p>
    <w:p>
      <w:pPr>
        <w:spacing w:after="200" w:line="300" w:lineRule="auto"/>
      </w:pPr>
      <w:r>
        <w:t xml:space="preserve">This is a design-verification and architectural-analysis study. It is not an empirical flight-test campaign, and it does not report flight data. Throughput, drift, thermal, and endurance figures are drawn from benchmarks on comparable hardware and are stated as design targets requiring confirmation on the assembled airframe; Appendix C specifies the acceptance protocol by which that confirmation is to be obtained. Pricing and stock are volatile and were verified at a single point in time. Regulatory interpretation is fact-specific and time-bound; this paper documents the rules as understood in mid-2026 and does not constitute legal advice.</w:t>
      </w:r>
    </w:p>
    <w:p>
      <w:r>
        <w:br w:type="page"/>
      </w:r>
    </w:p>
    <w:p>
      <w:pPr>
        <w:pStyle w:val="Heading1"/>
      </w:pPr>
      <w:r>
        <w:rPr>
          <w:b/>
          <w:bCs/>
        </w:rPr>
        <w:t xml:space="preserve">3. Related Work</w:t>
      </w:r>
    </w:p>
    <w:p>
      <w:pPr>
        <w:spacing w:after="200" w:line="300" w:lineRule="auto"/>
      </w:pPr>
      <w:r>
        <w:t xml:space="preserve">The architecture proposed in this paper sits at the intersection of nine literatures. Several of them have not previously been brought into contact, and Section 4 argues that their convergence is itself the strongest evidence for the central claim.</w:t>
      </w:r>
    </w:p>
    <w:p>
      <w:pPr>
        <w:pStyle w:val="Heading2"/>
      </w:pPr>
      <w:r>
        <w:rPr>
          <w:b/>
          <w:bCs/>
        </w:rPr>
        <w:t xml:space="preserve">3.1 Edge Artificial Intelligence and On-Device Inference</w:t>
      </w:r>
    </w:p>
    <w:p>
      <w:pPr>
        <w:spacing w:after="200" w:line="300" w:lineRule="auto"/>
      </w:pPr>
      <w:r>
        <w:t xml:space="preserve">The feasibility of executing transformer language models on constrained hardware rests on a decade of compression research. Post-training quantization reduces weight precision without retraining: GPTQ </w:t>
      </w:r>
      <w:r>
        <w:t xml:space="preserve">[9]</w:t>
      </w:r>
      <w:r>
        <w:t xml:space="preserve"> established accurate one-shot quantization to three and four bits; SmoothQuant </w:t>
      </w:r>
      <w:r>
        <w:t xml:space="preserve">[10]</w:t>
      </w:r>
      <w:r>
        <w:t xml:space="preserve"> addressed activation outliers that had frustrated naive INT8 approaches; LLM.int8() </w:t>
      </w:r>
      <w:r>
        <w:t xml:space="preserve">[11]</w:t>
      </w:r>
      <w:r>
        <w:t xml:space="preserve"> characterized the emergent-outlier phenomenon at scale. The most directly relevant result is AWQ </w:t>
      </w:r>
      <w:r>
        <w:t xml:space="preserve">[8]</w:t>
      </w:r>
      <w:r>
        <w:t xml:space="preserve">, which received the MLSys 2024 Best Paper Award and whose TinyChat implementation reports more than a threefold speedup over half-precision inference on both desktop and mobile GPUs — including, specifically, a 2.9× speedup for an eight-billion-parameter model on the Jetson Orin platform this paper evaluates. Knowledge distillation </w:t>
      </w:r>
      <w:r>
        <w:t xml:space="preserve">[14]</w:t>
      </w:r>
      <w:r>
        <w:t xml:space="preserve"> and the microcontroller-scale TinyML literature </w:t>
      </w:r>
      <w:r>
        <w:t xml:space="preserve">[15]</w:t>
      </w:r>
      <w:r>
        <w:t xml:space="preserve"> supply the complementary compression path.</w:t>
      </w:r>
    </w:p>
    <w:p>
      <w:pPr>
        <w:spacing w:after="200" w:line="300" w:lineRule="auto"/>
      </w:pPr>
      <w:r>
        <w:t xml:space="preserve">Four recent surveys map the resulting design space </w:t>
      </w:r>
      <w:r>
        <w:t xml:space="preserve">[1, 2, 3, 4]</w:t>
      </w:r>
      <w:r>
        <w:t xml:space="preserve">. These are useful for orientation and for the tabulated hardware comparisons, though the field moves fast enough that specific throughput figures in a 2025 survey are already historical by mid-2026. The small-language-model literature </w:t>
      </w:r>
      <w:r>
        <w:t xml:space="preserve">[5, 6]</w:t>
      </w:r>
      <w:r>
        <w:t xml:space="preserve"> is more directly load-bearing here, because it addresses the question this paper must answer: what capability is retained when parameter count falls to the range an aircraft can carry. The collaborative-inference literature </w:t>
      </w:r>
      <w:r>
        <w:t xml:space="preserve">[7]</w:t>
      </w:r>
      <w:r>
        <w:t xml:space="preserve"> addresses the edge-to-cloud escalation pattern this paper adopts, though notably it frames the cloud tier as an assumed resource rather than an optional one — a framing Section 4 rejects.</w:t>
      </w:r>
    </w:p>
    <w:p>
      <w:pPr>
        <w:spacing w:after="200" w:line="300" w:lineRule="auto"/>
      </w:pPr>
      <w:r>
        <w:t xml:space="preserve">The compiler layer matters more than is generally acknowledged. TVM </w:t>
      </w:r>
      <w:r>
        <w:t xml:space="preserve">[12]</w:t>
      </w:r>
      <w:r>
        <w:t xml:space="preserve"> underlies the MLC runtime </w:t>
      </w:r>
      <w:r>
        <w:t xml:space="preserve">[18]</w:t>
      </w:r>
      <w:r>
        <w:t xml:space="preserve"> that produces the vendor’s headline figures, which is precisely why those figures do not describe a default installation. A recent independent evaluation </w:t>
      </w:r>
      <w:r>
        <w:t xml:space="preserve">[13]</w:t>
      </w:r>
      <w:r>
        <w:t xml:space="preserve"> is methodologically the strongest work in this space, reporting energy-per-token and coefficient-of-variation rather than peak throughput alone, and measuring across the exact accelerator families this paper compares.</w:t>
      </w:r>
    </w:p>
    <w:p>
      <w:pPr>
        <w:pStyle w:val="Heading2"/>
      </w:pPr>
      <w:r>
        <w:rPr>
          <w:b/>
          <w:bCs/>
        </w:rPr>
        <w:t xml:space="preserve">3.2 Local-First Software and Data Sovereignty</w:t>
      </w:r>
    </w:p>
    <w:p>
      <w:pPr>
        <w:spacing w:after="200" w:line="300" w:lineRule="auto"/>
      </w:pPr>
      <w:r>
        <w:t xml:space="preserve">The canonical statement of the local-first position </w:t>
      </w:r>
      <w:r>
        <w:t xml:space="preserve">[19]</w:t>
      </w:r>
      <w:r>
        <w:t xml:space="preserve"> is the philosophical anchor of this paper. Its authors enumerate seven ideals, of which the relevant ones here are that the network should be optional, that work should be possible offline indefinitely, and that ownership should not be contingent on a service provider’s continued cooperation. The paper’s subtitle — “you own your data, in spite of the cloud” — captures the adversarial framing this paper inherits.</w:t>
      </w:r>
    </w:p>
    <w:p>
      <w:pPr>
        <w:spacing w:after="200" w:line="300" w:lineRule="auto"/>
      </w:pPr>
      <w:r>
        <w:t xml:space="preserve">The technical substrate for that position is conflict-free replicated data types </w:t>
      </w:r>
      <w:r>
        <w:t xml:space="preserve">[20]</w:t>
      </w:r>
      <w:r>
        <w:t xml:space="preserve"> and their JSON generalization </w:t>
      </w:r>
      <w:r>
        <w:t xml:space="preserve">[21]</w:t>
      </w:r>
      <w:r>
        <w:t xml:space="preserve">, which permit divergent replicas to converge without coordination. This paper does not use CRDTs directly — its telemetry is append-only and its audit log is a hash chain — but the design pattern is the same: buffer locally, synchronize when possible, never block on the network.</w:t>
      </w:r>
    </w:p>
    <w:p>
      <w:pPr>
        <w:spacing w:after="200" w:line="300" w:lineRule="auto"/>
      </w:pPr>
      <w:r>
        <w:t xml:space="preserve">The broader edge-computing literature </w:t>
      </w:r>
      <w:r>
        <w:t xml:space="preserve">[22, 23]</w:t>
      </w:r>
      <w:r>
        <w:t xml:space="preserve"> motivates edge placement primarily on latency and bandwidth grounds. This is worth noting precisely because it is a different argument from the one this paper makes. Latency and bandwidth are optimization concerns; link independence is an availability concern. A system may be optimally placed at the edge for latency reasons and still be architecturally dependent on the cloud, and much of the edge-computing literature is content with that arrangement. Federated learning </w:t>
      </w:r>
      <w:r>
        <w:t xml:space="preserve">[24]</w:t>
      </w:r>
      <w:r>
        <w:t xml:space="preserve"> is instructive as a contrast: it keeps data local while keeping coordination central, which satisfies privacy without satisfying independence.</w:t>
      </w:r>
    </w:p>
    <w:p>
      <w:pPr>
        <w:pStyle w:val="Heading2"/>
      </w:pPr>
      <w:r>
        <w:rPr>
          <w:b/>
          <w:bCs/>
        </w:rPr>
        <w:t xml:space="preserve">3.3 Multi-Agent Systems and Language-Model Orchestration</w:t>
      </w:r>
    </w:p>
    <w:p>
      <w:pPr>
        <w:spacing w:after="200" w:line="300" w:lineRule="auto"/>
      </w:pPr>
      <w:r>
        <w:t xml:space="preserve">The classical multi-agent literature </w:t>
      </w:r>
      <w:r>
        <w:t xml:space="preserve">[31, 30]</w:t>
      </w:r>
      <w:r>
        <w:t xml:space="preserve"> supplies the vocabulary for the “Council” architecture described in Section 5, and Minsky’s framing of mind as a society of specialized agents </w:t>
      </w:r>
      <w:r>
        <w:t xml:space="preserve">[29]</w:t>
      </w:r>
      <w:r>
        <w:t xml:space="preserve"> remains the clearest statement of the intuition. The blackboard architecture </w:t>
      </w:r>
      <w:r>
        <w:t xml:space="preserve">[32]</w:t>
      </w:r>
      <w:r>
        <w:t xml:space="preserve"> is the classical coordination pattern, and it has been rediscovered in the language-model era as the shared message pool of MetaGPT </w:t>
      </w:r>
      <w:r>
        <w:t xml:space="preserve">[28]</w:t>
      </w:r>
      <w:r>
        <w:t xml:space="preserve">.</w:t>
      </w:r>
    </w:p>
    <w:p>
      <w:pPr>
        <w:spacing w:after="200" w:line="300" w:lineRule="auto"/>
      </w:pPr>
      <w:r>
        <w:t xml:space="preserve">The IJCAI survey of language-model-based multi-agent systems </w:t>
      </w:r>
      <w:r>
        <w:t xml:space="preserve">[25]</w:t>
      </w:r>
      <w:r>
        <w:t xml:space="preserve"> is the most authoritative recent map, and its taxonomy of centralized, decentralized, and shared-message-pool communication structures is directly applicable. Two further surveys </w:t>
      </w:r>
      <w:r>
        <w:t xml:space="preserve">[26, 27]</w:t>
      </w:r>
      <w:r>
        <w:t xml:space="preserve"> extend the coverage. The tool-use literature — ReAct </w:t>
      </w:r>
      <w:r>
        <w:t xml:space="preserve">[33]</w:t>
      </w:r>
      <w:r>
        <w:t xml:space="preserve">, Toolformer </w:t>
      </w:r>
      <w:r>
        <w:t xml:space="preserve">[34]</w:t>
      </w:r>
      <w:r>
        <w:t xml:space="preserve"> — supplies the mechanism by which a language model invokes external capability, and the Model Context Protocol </w:t>
      </w:r>
      <w:r>
        <w:t xml:space="preserve">[35]</w:t>
      </w:r>
      <w:r>
        <w:t xml:space="preserve"> is its current de-facto interface convention.</w:t>
      </w:r>
    </w:p>
    <w:p>
      <w:pPr>
        <w:pBdr>
          <w:left w:val="single" w:color="134074" w:sz="18" w:space="12"/>
        </w:pBdr>
        <w:shd w:fill="EEF2F7" w:val="clear"/>
        <w:spacing w:after="200" w:before="60"/>
        <w:ind w:left="300" w:right="300"/>
      </w:pPr>
      <w:r>
        <w:rPr>
          <w:b/>
          <w:bCs/>
          <w:color w:val="134074"/>
          <w:sz w:val="22"/>
          <w:szCs w:val="22"/>
        </w:rPr>
        <w:t xml:space="preserve">▸ NOTE  </w:t>
      </w:r>
      <w:r>
        <w:t xml:space="preserve">A gap worth naming: this literature is almost entirely concerned with agents that coordinate over reliable networks. The failure mode of a partitioned multi-agent system — in which one agent must act correctly while unable to reach the others — is under-treated relative to its practical importance. Section 4.5 argues that this gap is not incidental but reflects the field’s implicit datacentre assumption.</w:t>
      </w:r>
    </w:p>
    <w:p>
      <w:pPr>
        <w:pStyle w:val="Heading2"/>
      </w:pPr>
      <w:r>
        <w:rPr>
          <w:b/>
          <w:bCs/>
        </w:rPr>
        <w:t xml:space="preserve">3.4 Natural-Language Control of Robots and Aircraft</w:t>
      </w:r>
    </w:p>
    <w:p>
      <w:pPr>
        <w:spacing w:after="200" w:line="300" w:lineRule="auto"/>
      </w:pPr>
      <w:r>
        <w:t xml:space="preserve">This is the literature that most directly determines whether the proposed architecture is sound, and it is also the literature that most directly threatens it.</w:t>
      </w:r>
    </w:p>
    <w:p>
      <w:pPr>
        <w:spacing w:after="200" w:line="300" w:lineRule="auto"/>
      </w:pPr>
      <w:r>
        <w:t xml:space="preserve">The foundational work is SayCan </w:t>
      </w:r>
      <w:r>
        <w:t xml:space="preserve">[37]</w:t>
      </w:r>
      <w:r>
        <w:t xml:space="preserve">, which grounds language-model output in robotic affordances by weighting the model’s proposals against learned value functions for what the robot can actually do. Its reported performance is instructive and sobering: the system selects the correct sequence of skills 84% of the time and executes them successfully 74% of the time across 101 tasks, but in a real kitchen rather than a mock one, those figures fall to 81% and 60%. Code as Policies </w:t>
      </w:r>
      <w:r>
        <w:t xml:space="preserve">[39]</w:t>
      </w:r>
      <w:r>
        <w:t xml:space="preserve"> takes the complementary approach of having the model emit executable programs rather than skill selections. Inner Monologue </w:t>
      </w:r>
      <w:r>
        <w:t xml:space="preserve">[46]</w:t>
      </w:r>
      <w:r>
        <w:t xml:space="preserve"> and ProgPrompt </w:t>
      </w:r>
      <w:r>
        <w:t xml:space="preserve">[47]</w:t>
      </w:r>
      <w:r>
        <w:t xml:space="preserve"> refine the loop with feedback and situated context. The zero-shot planning result </w:t>
      </w:r>
      <w:r>
        <w:t xml:space="preserve">[48]</w:t>
      </w:r>
      <w:r>
        <w:t xml:space="preserve"> established that useful actionable structure can be extracted from language models without task-specific training at all.</w:t>
      </w:r>
    </w:p>
    <w:p>
      <w:pPr>
        <w:spacing w:after="200" w:line="300" w:lineRule="auto"/>
      </w:pPr>
      <w:r>
        <w:t xml:space="preserve">The vision-language-action lineage — RT-1 </w:t>
      </w:r>
      <w:r>
        <w:t xml:space="preserve">[40]</w:t>
      </w:r>
      <w:r>
        <w:t xml:space="preserve">, RT-2 </w:t>
      </w:r>
      <w:r>
        <w:t xml:space="preserve">[41]</w:t>
      </w:r>
      <w:r>
        <w:t xml:space="preserve">, PaLM-E </w:t>
      </w:r>
      <w:r>
        <w:t xml:space="preserve">[42]</w:t>
      </w:r>
      <w:r>
        <w:t xml:space="preserve"> — pursues end-to-end models that map perception directly to action, and the foundation-models-in-robotics survey </w:t>
      </w:r>
      <w:r>
        <w:t xml:space="preserve">[43]</w:t>
      </w:r>
      <w:r>
        <w:t xml:space="preserve"> maps the resulting field. This work is not directly applicable to the present architecture, which deliberately separates perception from language, but it defines the trajectory against which the architecture will date.</w:t>
      </w:r>
    </w:p>
    <w:p>
      <w:pPr>
        <w:spacing w:after="200" w:line="300" w:lineRule="auto"/>
      </w:pPr>
      <w:r>
        <w:t xml:space="preserve">The single most important source for this paper is a 2025 study of natural-language control for PX4-based drone agents </w:t>
      </w:r>
      <w:r>
        <w:t xml:space="preserve">[36]</w:t>
      </w:r>
      <w:r>
        <w:t xml:space="preserve">. It is the nearest precursor to the present work, and its findings are load-bearing in both directions. Section 3.9 and Section 6.5 treat it in detail.</w:t>
      </w:r>
    </w:p>
    <w:p>
      <w:pPr>
        <w:pStyle w:val="Heading2"/>
      </w:pPr>
      <w:r>
        <w:rPr>
          <w:b/>
          <w:bCs/>
        </w:rPr>
        <w:t xml:space="preserve">3.5 Uncrewed Aircraft Autonomy and Companion Computing</w:t>
      </w:r>
    </w:p>
    <w:p>
      <w:pPr>
        <w:spacing w:after="200" w:line="300" w:lineRule="auto"/>
      </w:pPr>
      <w:r>
        <w:t xml:space="preserve">The PX4 architecture </w:t>
      </w:r>
      <w:r>
        <w:t xml:space="preserve">[50]</w:t>
      </w:r>
      <w:r>
        <w:t xml:space="preserve"> and its Pixhawk hardware lineage </w:t>
      </w:r>
      <w:r>
        <w:t xml:space="preserve">[51]</w:t>
      </w:r>
      <w:r>
        <w:t xml:space="preserve"> define the platform on which this work is built, and the original Pixhawk paper is notable for having anticipated onboard computer vision as the driving requirement more than a decade before the present architecture became feasible. ROS 2 </w:t>
      </w:r>
      <w:r>
        <w:t xml:space="preserve">[53]</w:t>
      </w:r>
      <w:r>
        <w:t xml:space="preserve"> is the middleware through which most companion-computer integration now occurs. The NIST autonomy-levels framework </w:t>
      </w:r>
      <w:r>
        <w:t xml:space="preserve">[52]</w:t>
      </w:r>
      <w:r>
        <w:t xml:space="preserve"> supplies the vocabulary for describing where on the autonomy spectrum a system sits, though its taxonomy predates language-model cognition and accommodates it awkwardly.</w:t>
      </w:r>
    </w:p>
    <w:p>
      <w:pPr>
        <w:spacing w:after="200" w:line="300" w:lineRule="auto"/>
      </w:pPr>
      <w:r>
        <w:t xml:space="preserve">The computer-vision-for-UAV survey </w:t>
      </w:r>
      <w:r>
        <w:t xml:space="preserve">[54]</w:t>
      </w:r>
      <w:r>
        <w:t xml:space="preserve"> maps the perception side. The MAVLink protocol </w:t>
      </w:r>
      <w:r>
        <w:t xml:space="preserve">[55]</w:t>
      </w:r>
      <w:r>
        <w:t xml:space="preserve"> is the messaging substrate, and its security properties are treated in Section 3.7.</w:t>
      </w:r>
    </w:p>
    <w:p>
      <w:pPr>
        <w:pStyle w:val="Heading2"/>
      </w:pPr>
      <w:r>
        <w:rPr>
          <w:b/>
          <w:bCs/>
        </w:rPr>
        <w:t xml:space="preserve">3.6 Perception and Sensor Fusion</w:t>
      </w:r>
    </w:p>
    <w:p>
      <w:pPr>
        <w:spacing w:after="200" w:line="300" w:lineRule="auto"/>
      </w:pPr>
      <w:r>
        <w:t xml:space="preserve">The Kalman filter </w:t>
      </w:r>
      <w:r>
        <w:t xml:space="preserve">[65]</w:t>
      </w:r>
      <w:r>
        <w:t xml:space="preserve"> and its extended variants remain the substrate of every practical navigation solution, and the SLAM survey </w:t>
      </w:r>
      <w:r>
        <w:t xml:space="preserve">[63]</w:t>
      </w:r>
      <w:r>
        <w:t xml:space="preserve"> maps the modern field. ORB-SLAM3 </w:t>
      </w:r>
      <w:r>
        <w:t xml:space="preserve">[56]</w:t>
      </w:r>
      <w:r>
        <w:t xml:space="preserve"> is the peer-reviewed flagship, reporting average stereo-inertial accuracy of 3.5 cm on the EuRoC micro-aerial-vehicle dataset </w:t>
      </w:r>
      <w:r>
        <w:t xml:space="preserve">[62]</w:t>
      </w:r>
      <w:r>
        <w:t xml:space="preserve"> — two to ten times more accurate than prior approaches. VINS-Mono </w:t>
      </w:r>
      <w:r>
        <w:t xml:space="preserve">[57]</w:t>
      </w:r>
      <w:r>
        <w:t xml:space="preserve">, OpenVINS </w:t>
      </w:r>
      <w:r>
        <w:t xml:space="preserve">[58]</w:t>
      </w:r>
      <w:r>
        <w:t xml:space="preserve">, ROVIO </w:t>
      </w:r>
      <w:r>
        <w:t xml:space="preserve">[59]</w:t>
      </w:r>
      <w:r>
        <w:t xml:space="preserve">, and the MSCKF </w:t>
      </w:r>
      <w:r>
        <w:t xml:space="preserve">[60]</w:t>
      </w:r>
      <w:r>
        <w:t xml:space="preserve"> constitute the alternative visual-inertial lineages, and the benchmark comparison of monocular visual-inertial odometry for flying robots </w:t>
      </w:r>
      <w:r>
        <w:t xml:space="preserve">[64]</w:t>
      </w:r>
      <w:r>
        <w:t xml:space="preserve"> is the standard reference for choosing among them. Camera-inertial extrinsic calibration </w:t>
      </w:r>
      <w:r>
        <w:t xml:space="preserve">[61]</w:t>
      </w:r>
      <w:r>
        <w:t xml:space="preserve"> is the practical determinant of achieved accuracy, a point Section 5.4 emphasizes.</w:t>
      </w:r>
    </w:p>
    <w:p>
      <w:pPr>
        <w:pBdr>
          <w:left w:val="single" w:color="C0392B" w:sz="18" w:space="12"/>
        </w:pBdr>
        <w:shd w:fill="FDECEA" w:val="clear"/>
        <w:spacing w:after="200" w:before="60"/>
        <w:ind w:left="300" w:right="300"/>
      </w:pPr>
      <w:r>
        <w:rPr>
          <w:b/>
          <w:bCs/>
          <w:color w:val="C0392B"/>
          <w:sz w:val="22"/>
          <w:szCs w:val="22"/>
        </w:rPr>
        <w:t xml:space="preserve">⚠ WARNING  </w:t>
      </w:r>
      <w:r>
        <w:rPr>
          <w:b/>
          <w:bCs/>
        </w:rPr>
        <w:t xml:space="preserve">On quoting accuracy figures. </w:t>
      </w:r>
      <w:r>
        <w:t xml:space="preserve">The 3.5 cm figure is a dataset-specific benchmark result, not a guarantee of field performance on a different airframe with different vibration characteristics, different lighting, and a different camera mount. This paper cites it as evidence that the approach is viable, not as a specification the present system will meet.</w:t>
      </w:r>
    </w:p>
    <w:p>
      <w:pPr>
        <w:pStyle w:val="Heading2"/>
      </w:pPr>
      <w:r>
        <w:rPr>
          <w:b/>
          <w:bCs/>
        </w:rPr>
        <w:t xml:space="preserve">3.7 Security of Navigation and Command Links</w:t>
      </w:r>
    </w:p>
    <w:p>
      <w:pPr>
        <w:spacing w:after="200" w:line="300" w:lineRule="auto"/>
      </w:pPr>
      <w:r>
        <w:t xml:space="preserve">This literature is, for the purposes of this paper, the most consequential — because it establishes empirically that the networks an aircraft depends on are not dependable.</w:t>
      </w:r>
    </w:p>
    <w:p>
      <w:pPr>
        <w:spacing w:after="200" w:line="300" w:lineRule="auto"/>
      </w:pPr>
      <w:r>
        <w:t xml:space="preserve">On the navigation side, the portable-civilian-spoofer result </w:t>
      </w:r>
      <w:r>
        <w:t xml:space="preserve">[71]</w:t>
      </w:r>
      <w:r>
        <w:t xml:space="preserve"> established the practical accessibility of GNSS spoofing in 2008; the capture-and-control demonstration </w:t>
      </w:r>
      <w:r>
        <w:t xml:space="preserve">[70]</w:t>
      </w:r>
      <w:r>
        <w:t xml:space="preserve"> showed the consequence for aircraft specifically. The field’s standard survey </w:t>
      </w:r>
      <w:r>
        <w:t xml:space="preserve">[72]</w:t>
      </w:r>
      <w:r>
        <w:t xml:space="preserve"> and the vulnerabilities overview </w:t>
      </w:r>
      <w:r>
        <w:t xml:space="preserve">[73]</w:t>
      </w:r>
      <w:r>
        <w:t xml:space="preserve"> map detection and mitigation. SemperFi </w:t>
      </w:r>
      <w:r>
        <w:t xml:space="preserve">[66]</w:t>
      </w:r>
      <w:r>
        <w:t xml:space="preserve"> is the state of the art in anti-spoofing receivers for uncrewed aircraft, combining innovation-based detection with a legitimate-signal-retention module, and — critically for this paper’s honesty — explicitly characterizes the limits of variance-based detection against covert spoofers. The experimental takeover study </w:t>
      </w:r>
      <w:r>
        <w:t xml:space="preserve">[67]</w:t>
      </w:r>
      <w:r>
        <w:t xml:space="preserve"> and the adaptive-spoofing work </w:t>
      </w:r>
      <w:r>
        <w:t xml:space="preserve">[68]</w:t>
      </w:r>
      <w:r>
        <w:t xml:space="preserve"> demonstrate that soft spoofing defeats filter-based detection precisely because it never produces a loss of lock.</w:t>
      </w:r>
    </w:p>
    <w:p>
      <w:pPr>
        <w:spacing w:after="200" w:line="300" w:lineRule="auto"/>
      </w:pPr>
      <w:r>
        <w:t xml:space="preserve">The result that most complicates naive optimism is Drift with Devil </w:t>
      </w:r>
      <w:r>
        <w:t xml:space="preserve">[69]</w:t>
      </w:r>
      <w:r>
        <w:t xml:space="preserve">, which establishes that multi-sensor fusion does </w:t>
      </w:r>
      <w:r>
        <w:rPr>
          <w:i/>
          <w:iCs/>
        </w:rPr>
        <w:t xml:space="preserve">not</w:t>
      </w:r>
      <w:r>
        <w:t xml:space="preserve"> confer immunity to spoofing. This paper states that finding plainly rather than burying it, because the temptation to claim that fusion solves spoofing is strong and the claim is false.</w:t>
      </w:r>
    </w:p>
    <w:p>
      <w:pPr>
        <w:spacing w:after="200" w:line="300" w:lineRule="auto"/>
      </w:pPr>
      <w:r>
        <w:t xml:space="preserve">On the command side, MAVLink 1 provides no authentication at all, and MAVLink 2 adds optional message signing </w:t>
      </w:r>
      <w:r>
        <w:t xml:space="preserve">[74, 55]</w:t>
      </w:r>
      <w:r>
        <w:t xml:space="preserve"> — integrity and authentication, not confidentiality. The protocol’s deficiencies are catalogued in the CVE record </w:t>
      </w:r>
      <w:r>
        <w:t xml:space="preserve">[76, 77]</w:t>
      </w:r>
      <w:r>
        <w:t xml:space="preserve"> and in the broader drone-security systematization </w:t>
      </w:r>
      <w:r>
        <w:t xml:space="preserve">[79, 80]</w:t>
      </w:r>
      <w:r>
        <w:t xml:space="preserve">. The single most operationally relevant source is an independent security advisory </w:t>
      </w:r>
      <w:r>
        <w:t xml:space="preserve">[75]</w:t>
      </w:r>
      <w:r>
        <w:t xml:space="preserve"> establishing that ExpressLRS </w:t>
      </w:r>
      <w:r>
        <w:t xml:space="preserve">[81]</w:t>
      </w:r>
      <w:r>
        <w:t xml:space="preserve"> — the dominant hobbyist control link, and the one this platform uses — permits control-link takeover using stock hardware, because observation of a single synchronization packet exposes most of the identifier the link treats as secret. The advisory is explicit that the binding phrase is an anti-collision measure rather than a security measure.</w:t>
      </w:r>
    </w:p>
    <w:p>
      <w:pPr>
        <w:pStyle w:val="Heading2"/>
      </w:pPr>
      <w:r>
        <w:rPr>
          <w:b/>
          <w:bCs/>
        </w:rPr>
        <w:t xml:space="preserve">3.8 Accountability, Logging, and Human Control</w:t>
      </w:r>
    </w:p>
    <w:p>
      <w:pPr>
        <w:spacing w:after="200" w:line="300" w:lineRule="auto"/>
      </w:pPr>
      <w:r>
        <w:t xml:space="preserve">Tamper-evident logging has a settled literature. Forward-integrity audit logs </w:t>
      </w:r>
      <w:r>
        <w:t xml:space="preserve">[84]</w:t>
      </w:r>
      <w:r>
        <w:t xml:space="preserve"> and cryptographic support for logs on untrusted machines </w:t>
      </w:r>
      <w:r>
        <w:t xml:space="preserve">[83]</w:t>
      </w:r>
      <w:r>
        <w:t xml:space="preserve"> established the problem; Merkle’s hash tree </w:t>
      </w:r>
      <w:r>
        <w:t xml:space="preserve">[85]</w:t>
      </w:r>
      <w:r>
        <w:t xml:space="preserve"> and digital timestamping </w:t>
      </w:r>
      <w:r>
        <w:t xml:space="preserve">[86]</w:t>
      </w:r>
      <w:r>
        <w:t xml:space="preserve"> supplied the primitives; the history-tree construction </w:t>
      </w:r>
      <w:r>
        <w:t xml:space="preserve">[82]</w:t>
      </w:r>
      <w:r>
        <w:t xml:space="preserve"> is the canonical efficient solution and the direct antecedent of this system’s design. Certificate Transparency </w:t>
      </w:r>
      <w:r>
        <w:t xml:space="preserve">[87]</w:t>
      </w:r>
      <w:r>
        <w:t xml:space="preserve"> is the largest deployed instance of the pattern. This paper claims no novelty here; it claims only that the pattern is under-applied in the domain where a language model issues physical commands.</w:t>
      </w:r>
    </w:p>
    <w:p>
      <w:pPr>
        <w:spacing w:after="200" w:line="300" w:lineRule="auto"/>
      </w:pPr>
      <w:r>
        <w:t xml:space="preserve">The human-control literature is older and more settled than the artificial-intelligence discourse generally acknowledges. Sheridan and Verplank’s supervisory-control levels </w:t>
      </w:r>
      <w:r>
        <w:t xml:space="preserve">[92]</w:t>
      </w:r>
      <w:r>
        <w:t xml:space="preserve"> and Parasuraman, Sheridan and Wickens’s four-stage model </w:t>
      </w:r>
      <w:r>
        <w:t xml:space="preserve">[91]</w:t>
      </w:r>
      <w:r>
        <w:t xml:space="preserve"> remain the standard framework, and the latter’s insight — that automation applies independently to information acquisition, analysis, decision selection, and action implementation — is directly load-bearing for Section 7’s architecture. The trust literature </w:t>
      </w:r>
      <w:r>
        <w:t xml:space="preserve">[93, 95]</w:t>
      </w:r>
      <w:r>
        <w:t xml:space="preserve">, the level-of-automation effects literature </w:t>
      </w:r>
      <w:r>
        <w:t xml:space="preserve">[94]</w:t>
      </w:r>
      <w:r>
        <w:t xml:space="preserve">, and the automation-bias literature </w:t>
      </w:r>
      <w:r>
        <w:t xml:space="preserve">[98]</w:t>
      </w:r>
      <w:r>
        <w:t xml:space="preserve"> together establish that human oversight is not automatically meaningful merely because a human is present.</w:t>
      </w:r>
    </w:p>
    <w:p>
      <w:pPr>
        <w:spacing w:after="200" w:line="300" w:lineRule="auto"/>
      </w:pPr>
      <w:r>
        <w:t xml:space="preserve">The philosophical account of meaningful human control </w:t>
      </w:r>
      <w:r>
        <w:t xml:space="preserve">[90]</w:t>
      </w:r>
      <w:r>
        <w:t xml:space="preserve">, built on Fischer and Ravizza’s guidance-control theory </w:t>
      </w:r>
      <w:r>
        <w:t xml:space="preserve">[96]</w:t>
      </w:r>
      <w:r>
        <w:t xml:space="preserve">, supplies the tracking and tracing conditions this paper adopts in Section 7.4, and the responsibility-gap literature </w:t>
      </w:r>
      <w:r>
        <w:t xml:space="preserve">[97]</w:t>
      </w:r>
      <w:r>
        <w:t xml:space="preserve"> states the problem those conditions address. The accountability-in-computing tradition </w:t>
      </w:r>
      <w:r>
        <w:t xml:space="preserve">[88]</w:t>
      </w:r>
      <w:r>
        <w:t xml:space="preserve"> and the concrete-problems framing </w:t>
      </w:r>
      <w:r>
        <w:t xml:space="preserve">[99]</w:t>
      </w:r>
      <w:r>
        <w:t xml:space="preserve"> complete the picture.</w:t>
      </w:r>
    </w:p>
    <w:p>
      <w:pPr>
        <w:pStyle w:val="Heading2"/>
      </w:pPr>
      <w:r>
        <w:rPr>
          <w:b/>
          <w:bCs/>
        </w:rPr>
        <w:t xml:space="preserve">3.9 The Research Gap</w:t>
      </w:r>
    </w:p>
    <w:p>
      <w:pPr>
        <w:spacing w:after="200" w:line="300" w:lineRule="auto"/>
      </w:pPr>
      <w:r>
        <w:t xml:space="preserve">The nearest precursor to this work </w:t>
      </w:r>
      <w:r>
        <w:t xml:space="preserve">[36]</w:t>
      </w:r>
      <w:r>
        <w:t xml:space="preserve"> integrates PX4, ROS 2, and locally-served models to control a drone by natural language. Its headline result is directly supportive: Gemma 3, Qwen 2.5, and Llama 3.2 each produced 100% valid flight commands, while DeepSeek-LLM </w:t>
      </w:r>
      <w:r>
        <w:t xml:space="preserve">[173]</w:t>
      </w:r>
      <w:r>
        <w:t xml:space="preserve"> reached only 38%. This is the empirical foundation on which the present architecture’s model selection rests, and it is a rare instance of a robotics paper naming which model families to trust.</w:t>
      </w:r>
    </w:p>
    <w:p>
      <w:pPr>
        <w:spacing w:after="200" w:line="300" w:lineRule="auto"/>
      </w:pPr>
      <w:r>
        <w:t xml:space="preserve">Its second finding is equally important and less often quoted: best end-to-end mission success, achieved by a Gemma 3 language-and-vision pairing, was 40%. Valid command generation and successful mission execution are different problems, and the gap between 100% and 40% is where the remaining engineering lives.</w:t>
      </w:r>
    </w:p>
    <w:p>
      <w:pPr>
        <w:pBdr>
          <w:left w:val="single" w:color="B7791F" w:sz="18" w:space="12"/>
        </w:pBdr>
        <w:shd w:fill="FEF5E7" w:val="clear"/>
        <w:spacing w:after="200" w:before="60"/>
        <w:ind w:left="300" w:right="300"/>
      </w:pPr>
      <w:r>
        <w:rPr>
          <w:b/>
          <w:bCs/>
          <w:color w:val="B7791F"/>
          <w:sz w:val="22"/>
          <w:szCs w:val="22"/>
        </w:rPr>
        <w:t xml:space="preserve">↻ CORRECTION  </w:t>
      </w:r>
      <w:r>
        <w:rPr>
          <w:b/>
          <w:bCs/>
        </w:rPr>
        <w:t xml:space="preserve">The gap this paper occupies. </w:t>
      </w:r>
      <w:r>
        <w:t xml:space="preserve">In that study, the language and vision models executed on separate Ubuntu workstations equipped with RTX 3080Ti GPUs; the aircraft’s onboard Jetson Orin Nano handled visual-inertial odometry only. The models did not fly. The paper’s own future-work section names “smaller, end-to-end VLA models for efficient edge deployment” as an open problem — which is to say, it names the present work’s exact contribution as unfinished business. To our knowledge, onboard language-model cognition aboard a flying PX4 aircraft remains substantially unoccupied territory.</w:t>
      </w:r>
    </w:p>
    <w:p>
      <w:r>
        <w:br w:type="page"/>
      </w:r>
    </w:p>
    <w:p>
      <w:pPr>
        <w:pStyle w:val="Heading1"/>
      </w:pPr>
      <w:r>
        <w:rPr>
          <w:b/>
          <w:bCs/>
        </w:rPr>
        <w:t xml:space="preserve">4. The Link-Independence Thesis</w:t>
      </w:r>
    </w:p>
    <w:p>
      <w:pPr>
        <w:pStyle w:val="Heading2"/>
      </w:pPr>
      <w:r>
        <w:rPr>
          <w:b/>
          <w:bCs/>
        </w:rPr>
        <w:t xml:space="preserve">4.1 Statement</w:t>
      </w:r>
    </w:p>
    <w:p>
      <w:pPr>
        <w:spacing w:after="200" w:line="300" w:lineRule="auto"/>
      </w:pPr>
      <w:r>
        <w:t xml:space="preserve">We restate the criterion formally. Let a system S possess a capability c. Let N be the set of networks on which the execution of c depends. Then:</w:t>
      </w:r>
    </w:p>
    <w:p>
      <w:pPr>
        <w:pBdr>
          <w:left w:val="single" w:color="8DA9C4" w:sz="12" w:space="8"/>
        </w:pBdr>
        <w:shd w:fill="F2F4F7" w:val="clear"/>
        <w:spacing w:after="90"/>
        <w:ind w:left="300"/>
      </w:pPr>
      <w:r>
        <w:rPr>
          <w:rFonts w:ascii="Consolas" w:cs="Consolas" w:eastAsia="Consolas" w:hAnsi="Consolas"/>
          <w:sz w:val="19"/>
          <w:szCs w:val="19"/>
        </w:rPr>
        <w:t xml:space="preserve">c is LINK-INDEPENDENT  iff  ∀n ∈ N : n is guaranteed by S itself</w:t>
      </w:r>
    </w:p>
    <w:p>
      <w:pPr>
        <w:pBdr>
          <w:left w:val="single" w:color="8DA9C4" w:sz="12" w:space="8"/>
        </w:pBdr>
        <w:shd w:fill="F2F4F7" w:val="clear"/>
        <w:spacing w:after="90"/>
        <w:ind w:left="300"/>
      </w:pPr>
      <w:r>
        <w:rPr>
          <w:rFonts w:ascii="Consolas" w:cs="Consolas" w:eastAsia="Consolas" w:hAnsi="Consolas"/>
          <w:sz w:val="19"/>
          <w:szCs w:val="19"/>
        </w:rPr>
        <w:t xml:space="preserve"/>
      </w:r>
    </w:p>
    <w:p>
      <w:pPr>
        <w:pBdr>
          <w:left w:val="single" w:color="8DA9C4" w:sz="12" w:space="8"/>
        </w:pBdr>
        <w:shd w:fill="F2F4F7" w:val="clear"/>
        <w:spacing w:after="90"/>
        <w:ind w:left="300"/>
      </w:pPr>
      <w:r>
        <w:rPr>
          <w:rFonts w:ascii="Consolas" w:cs="Consolas" w:eastAsia="Consolas" w:hAnsi="Consolas"/>
          <w:sz w:val="19"/>
          <w:szCs w:val="19"/>
        </w:rPr>
        <w:t xml:space="preserve">equivalently:  c survives the loss of every n ∈ N that S does not control</w:t>
      </w:r>
    </w:p>
    <w:p>
      <w:pPr>
        <w:pBdr>
          <w:left w:val="single" w:color="8DA9C4" w:sz="12" w:space="8"/>
        </w:pBdr>
        <w:shd w:fill="F2F4F7" w:val="clear"/>
        <w:spacing w:after="90"/>
        <w:ind w:left="300"/>
      </w:pPr>
      <w:r>
        <w:rPr>
          <w:rFonts w:ascii="Consolas" w:cs="Consolas" w:eastAsia="Consolas" w:hAnsi="Consolas"/>
          <w:sz w:val="19"/>
          <w:szCs w:val="19"/>
        </w:rPr>
        <w:t xml:space="preserve"/>
      </w:r>
    </w:p>
    <w:p>
      <w:pPr>
        <w:pBdr>
          <w:left w:val="single" w:color="8DA9C4" w:sz="12" w:space="8"/>
        </w:pBdr>
        <w:shd w:fill="F2F4F7" w:val="clear"/>
        <w:spacing w:after="90"/>
        <w:ind w:left="300"/>
      </w:pPr>
      <w:r>
        <w:rPr>
          <w:rFonts w:ascii="Consolas" w:cs="Consolas" w:eastAsia="Consolas" w:hAnsi="Consolas"/>
          <w:sz w:val="19"/>
          <w:szCs w:val="19"/>
        </w:rPr>
        <w:t xml:space="preserve">A capability that is not link-independent is CONDITIONAL and must be</w:t>
      </w:r>
    </w:p>
    <w:p>
      <w:pPr>
        <w:pBdr>
          <w:left w:val="single" w:color="8DA9C4" w:sz="12" w:space="8"/>
        </w:pBdr>
        <w:shd w:fill="F2F4F7" w:val="clear"/>
        <w:spacing w:after="90"/>
        <w:ind w:left="300"/>
      </w:pPr>
      <w:r>
        <w:rPr>
          <w:rFonts w:ascii="Consolas" w:cs="Consolas" w:eastAsia="Consolas" w:hAnsi="Consolas"/>
          <w:sz w:val="19"/>
          <w:szCs w:val="19"/>
        </w:rPr>
        <w:t xml:space="preserve">documented as conditional, regardless of how reliable N is in practice.</w:t>
      </w:r>
    </w:p>
    <w:p>
      <w:pPr>
        <w:spacing w:after="200" w:line="300" w:lineRule="auto"/>
      </w:pPr>
      <w:r>
        <w:t xml:space="preserve">The criterion says nothing about how likely a network is to fail. This is deliberate and it is the criterion’s entire content. An architecture that is correct only while a probabilistic assumption holds is an architecture whose correctness is probabilistic. The question is not whether the link usually works; it is whether the capability exists when the link does not.</w:t>
      </w:r>
    </w:p>
    <w:p>
      <w:pPr>
        <w:pStyle w:val="Heading2"/>
      </w:pPr>
      <w:r>
        <w:rPr>
          <w:b/>
          <w:bCs/>
        </w:rPr>
        <w:t xml:space="preserve">4.2 Three Architectures</w:t>
      </w:r>
    </w:p>
    <w:p>
      <w:pPr>
        <w:spacing w:after="200" w:line="300" w:lineRule="auto"/>
      </w:pPr>
      <w:r>
        <w:t xml:space="preserve">Applied to an aircraft, the criterion partitions the design space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
            </w:r>
          </w:p>
        </w:tc>
        <w:tc>
          <w:tcPr>
            <w:tcW w:type="dxa" w:w="2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Limb model</w:t>
            </w:r>
          </w:p>
        </w:tc>
        <w:tc>
          <w:tcPr>
            <w:tcW w:type="dxa" w:w="2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Isolated model</w:t>
            </w:r>
          </w:p>
        </w:tc>
        <w:tc>
          <w:tcPr>
            <w:tcW w:type="dxa" w:w="2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Peer model</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Intelligence location</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Hub only</w:t>
            </w:r>
          </w:p>
        </w:tc>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Aircraft only</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Both; aircraft authoritative</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Zero cloud dependency</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Satisfied</w:t>
            </w:r>
          </w:p>
        </w:tc>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Satisfied</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Satisfied</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Data privacy</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Satisfied (private mesh)</w:t>
            </w:r>
          </w:p>
        </w:tc>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Strictly stronger</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Strictly stronger</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Operates with no network</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NOT satisfied</w:t>
            </w:r>
          </w:p>
        </w:tc>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Satisfied</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Satisfied</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Access to larger models</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Satisfied</w:t>
            </w:r>
          </w:p>
        </w:tc>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NOT satisfied</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Satisfied when linked</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Link-independent autonomy</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NO</w:t>
            </w:r>
          </w:p>
        </w:tc>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YES</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YES</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Verdict</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Fails the criterion</w:t>
            </w:r>
          </w:p>
        </w:tc>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Forfeits capability</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ADOPTED</w:t>
            </w:r>
          </w:p>
        </w:tc>
      </w:tr>
    </w:tbl>
    <w:p>
      <w:pPr>
        <w:spacing w:after="200" w:line="300" w:lineRule="auto"/>
      </w:pPr>
      <w:r>
        <w:t xml:space="preserve">The limb model is the intuitive one and the one most consumer robotics implements. It is cheaper, lighter, cooler, and simpler, and it fails the criterion at the first line. The isolated model satisfies the criterion by amputation. The peer model satisfies it while retaining the hub’s capability as an optional escalation, and is adopted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EEF2F7" w:val="clear"/>
            <w:tcMar>
              <w:top w:type="dxa" w:w="160"/>
              <w:left w:type="dxa" w:w="200"/>
              <w:bottom w:type="dxa" w:w="160"/>
              <w:right w:type="dxa" w:w="200"/>
            </w:tcMar>
          </w:tcPr>
          <w:p>
            <w:pPr>
              <w:spacing w:after="80"/>
              <w:jc w:val="center"/>
            </w:pPr>
            <w:r>
              <w:rPr>
                <w:rFonts w:ascii="Georgia" w:cs="Georgia" w:eastAsia="Georgia" w:hAnsi="Georgia"/>
                <w:b/>
                <w:bCs/>
                <w:color w:val="0B2545"/>
                <w:sz w:val="20"/>
                <w:szCs w:val="20"/>
              </w:rPr>
              <w:t xml:space="preserve">Three Architectures Under the Criterion</w:t>
            </w:r>
          </w:p>
          <w:p>
            <w:pPr>
              <w:spacing w:after="40"/>
              <w:jc w:val="center"/>
            </w:pPr>
            <w:r>
              <w:rPr>
                <w:rFonts w:ascii="Consolas" w:cs="Consolas" w:eastAsia="Consolas" w:hAnsi="Consolas"/>
                <w:color w:val="13315C"/>
                <w:sz w:val="18"/>
                <w:szCs w:val="18"/>
              </w:rPr>
              <w:t xml:space="preserve">LIMB       drone[sensors] --link--&gt; hub[LLM]        ✗ autonomy dies with link</w:t>
            </w:r>
          </w:p>
          <w:p>
            <w:pPr>
              <w:spacing w:after="40"/>
              <w:jc w:val="center"/>
            </w:pPr>
            <w:r>
              <w:rPr>
                <w:rFonts w:ascii="Consolas" w:cs="Consolas" w:eastAsia="Consolas" w:hAnsi="Consolas"/>
                <w:color w:val="13315C"/>
                <w:sz w:val="18"/>
                <w:szCs w:val="18"/>
              </w:rPr>
              <w:t xml:space="preserve">ISOLATED   drone[LLM+sensors]                       ✗ forfeits hub's larger models</w:t>
            </w:r>
          </w:p>
          <w:p>
            <w:pPr>
              <w:spacing w:after="40"/>
              <w:jc w:val="center"/>
            </w:pPr>
            <w:r>
              <w:rPr>
                <w:rFonts w:ascii="Consolas" w:cs="Consolas" w:eastAsia="Consolas" w:hAnsi="Consolas"/>
                <w:color w:val="13315C"/>
                <w:sz w:val="18"/>
                <w:szCs w:val="18"/>
              </w:rPr>
              <w:t xml:space="preserve">PEER       drone[LLM+sensors] &lt;--optional--&gt; hub    ✓ autonomous, amplified when linked</w:t>
            </w:r>
          </w:p>
          <w:p>
            <w:pPr>
              <w:spacing w:after="40"/>
              <w:jc w:val="center"/>
            </w:pPr>
            <w:r>
              <w:rPr>
                <w:rFonts w:ascii="Consolas" w:cs="Consolas" w:eastAsia="Consolas" w:hAnsi="Consolas"/>
                <w:color w:val="13315C"/>
                <w:sz w:val="18"/>
                <w:szCs w:val="18"/>
              </w:rPr>
              <w:t xml:space="preserve"/>
            </w:r>
          </w:p>
          <w:p>
            <w:pPr>
              <w:spacing w:after="40"/>
              <w:jc w:val="center"/>
            </w:pPr>
            <w:r>
              <w:rPr>
                <w:rFonts w:ascii="Consolas" w:cs="Consolas" w:eastAsia="Consolas" w:hAnsi="Consolas"/>
                <w:color w:val="13315C"/>
                <w:sz w:val="18"/>
                <w:szCs w:val="18"/>
              </w:rPr>
              <w:t xml:space="preserve">           flight-safety path: autopilot failsafe ONLY — never the mesh</w:t>
            </w:r>
          </w:p>
        </w:tc>
      </w:tr>
    </w:tbl>
    <w:p>
      <w:pPr>
        <w:spacing w:after="240" w:before="80"/>
      </w:pPr>
      <w:r>
        <w:rPr>
          <w:rFonts w:ascii="Georgia" w:cs="Georgia" w:eastAsia="Georgia" w:hAnsi="Georgia"/>
          <w:b/>
          <w:bCs/>
          <w:sz w:val="19"/>
          <w:szCs w:val="19"/>
        </w:rPr>
        <w:t xml:space="preserve">Figure 1. </w:t>
      </w:r>
      <w:r>
        <w:rPr>
          <w:rFonts w:ascii="Georgia" w:cs="Georgia" w:eastAsia="Georgia" w:hAnsi="Georgia"/>
          <w:i/>
          <w:iCs/>
          <w:sz w:val="19"/>
          <w:szCs w:val="19"/>
        </w:rPr>
        <w:t xml:space="preserve">The peer model preserves link-independent autonomy while retaining optional access to hub-class models. The flight-safety path passes through the flight controller alone in all three architectures; only the peer model additionally keeps cognition aboard.</w:t>
      </w:r>
    </w:p>
    <w:p>
      <w:pPr>
        <w:pStyle w:val="Heading2"/>
      </w:pPr>
      <w:r>
        <w:rPr>
          <w:b/>
          <w:bCs/>
        </w:rPr>
        <w:t xml:space="preserve">4.3 The Convergent Argument</w:t>
      </w:r>
    </w:p>
    <w:p>
      <w:pPr>
        <w:spacing w:after="200" w:line="300" w:lineRule="auto"/>
      </w:pPr>
      <w:r>
        <w:t xml:space="preserve">The criterion’s defence does not rest on any single source. It rests on the observation that three literatures which rarely cite one another arrive independently at the same conclusion.</w:t>
      </w:r>
    </w:p>
    <w:p>
      <w:pPr>
        <w:pStyle w:val="Heading3"/>
      </w:pPr>
      <w:r>
        <w:rPr>
          <w:b/>
          <w:bCs/>
        </w:rPr>
        <w:t xml:space="preserve">4.3.1 The local-first argument</w:t>
      </w:r>
    </w:p>
    <w:p>
      <w:pPr>
        <w:spacing w:after="200" w:line="300" w:lineRule="auto"/>
      </w:pPr>
      <w:r>
        <w:t xml:space="preserve">The local-first position </w:t>
      </w:r>
      <w:r>
        <w:t xml:space="preserve">[19]</w:t>
      </w:r>
      <w:r>
        <w:t xml:space="preserve"> holds that software dependent on a service provider’s continued cooperation does not belong to its user in any robust sense, and that the network should therefore be optional rather than required. The argument is framed around commercial cloud services, but its logic is indifferent to who owns the far end. A drone that cannot think without reaching a machine in the operator’s apartment has the same structural dependency as one that cannot think without reaching a datacentre; the dependency is merely on a nearer machine. Ownership of both endpoints does not eliminate the link between them.</w:t>
      </w:r>
    </w:p>
    <w:p>
      <w:pPr>
        <w:pStyle w:val="Heading3"/>
      </w:pPr>
      <w:r>
        <w:rPr>
          <w:b/>
          <w:bCs/>
        </w:rPr>
        <w:t xml:space="preserve">4.3.2 The navigation-security argument</w:t>
      </w:r>
    </w:p>
    <w:p>
      <w:pPr>
        <w:spacing w:after="200" w:line="300" w:lineRule="auto"/>
      </w:pPr>
      <w:r>
        <w:t xml:space="preserve">The GNSS-security literature </w:t>
      </w:r>
      <w:r>
        <w:t xml:space="preserve">[71, 70, 66, 67, 68]</w:t>
      </w:r>
      <w:r>
        <w:t xml:space="preserve"> establishes that satellite navigation is spoofable with accessible equipment, that spoofing can be made covert enough to defeat filter-based detection, and that multi-sensor fusion does not confer immunity </w:t>
      </w:r>
      <w:r>
        <w:t xml:space="preserve">[69]</w:t>
      </w:r>
      <w:r>
        <w:t xml:space="preserve">. The conclusion the field draws is that a system must be able to continue without trusted satellite navigation. This is link independence applied to one specific network, arrived at by a community that has never used the term.</w:t>
      </w:r>
    </w:p>
    <w:p>
      <w:pPr>
        <w:pStyle w:val="Heading3"/>
      </w:pPr>
      <w:r>
        <w:rPr>
          <w:b/>
          <w:bCs/>
        </w:rPr>
        <w:t xml:space="preserve">4.3.3 The command-link argument</w:t>
      </w:r>
    </w:p>
    <w:p>
      <w:pPr>
        <w:spacing w:after="200" w:line="300" w:lineRule="auto"/>
      </w:pPr>
      <w:r>
        <w:t xml:space="preserve">The radio-link literature reaches the same place from the opposite direction. The ExpressLRS advisory </w:t>
      </w:r>
      <w:r>
        <w:t xml:space="preserve">[75]</w:t>
      </w:r>
      <w:r>
        <w:t xml:space="preserve"> demonstrates that the dominant hobbyist control link is takeover-vulnerable using stock hardware; the MAVLink analysis </w:t>
      </w:r>
      <w:r>
        <w:t xml:space="preserve">[74]</w:t>
      </w:r>
      <w:r>
        <w:t xml:space="preserve"> and CVE record </w:t>
      </w:r>
      <w:r>
        <w:t xml:space="preserve">[76, 77]</w:t>
      </w:r>
      <w:r>
        <w:t xml:space="preserve"> establish that the messaging layer above it provides authentication only when explicitly configured and never provides confidentiality. The conclusion is that the command link is not a trustworthy channel, from which it follows that a system whose intelligence arrives over that channel has placed its cognition on an untrusted path.</w:t>
      </w:r>
    </w:p>
    <w:p>
      <w:pPr>
        <w:pBdr>
          <w:left w:val="single" w:color="1E8449" w:sz="18" w:space="12"/>
        </w:pBdr>
        <w:shd w:fill="E9F7EF" w:val="clear"/>
        <w:spacing w:after="200" w:before="60"/>
        <w:ind w:left="300" w:right="300"/>
      </w:pPr>
      <w:r>
        <w:rPr>
          <w:b/>
          <w:bCs/>
          <w:color w:val="1E8449"/>
          <w:sz w:val="22"/>
          <w:szCs w:val="22"/>
        </w:rPr>
        <w:t xml:space="preserve">✔ VERIFIED  </w:t>
      </w:r>
      <w:r>
        <w:rPr>
          <w:sz w:val="22"/>
          <w:szCs w:val="22"/>
        </w:rPr>
        <w:t xml:space="preserve">Three literatures — local-first software, GNSS security, and radio-link security — independently conclude that the networks an aircraft depends upon cannot be guaranteed. The link-independence criterion is the generalization of a conclusion each of them reaches separately. It is not an aesthetic preference.</w:t>
      </w:r>
    </w:p>
    <w:p>
      <w:pPr>
        <w:pStyle w:val="Heading2"/>
      </w:pPr>
      <w:r>
        <w:rPr>
          <w:b/>
          <w:bCs/>
        </w:rPr>
        <w:t xml:space="preserve">4.4 What Would Refute This</w:t>
      </w:r>
    </w:p>
    <w:p>
      <w:pPr>
        <w:spacing w:after="200" w:line="300" w:lineRule="auto"/>
      </w:pPr>
      <w:r>
        <w:t xml:space="preserve">A criterion that cannot be refuted is not an engineering principle. The thesis advanced here would be materially weakened by any of the following, and none is presently available in the literature surveyed:</w:t>
      </w:r>
    </w:p>
    <w:p>
      <w:pPr>
        <w:pStyle w:val="ListParagraph"/>
        <w:numPr>
          <w:ilvl w:val="0"/>
          <w:numId w:val="3"/>
        </w:numPr>
        <w:spacing w:after="100" w:line="300" w:lineRule="auto"/>
      </w:pPr>
      <w:r>
        <w:t xml:space="preserve">A peer-reviewed demonstration of a command and telemetry link with guaranteed availability under adversarial conditions. No such result exists; the surveyed security literature points uniformly the other way.</w:t>
      </w:r>
    </w:p>
    <w:p>
      <w:pPr>
        <w:pStyle w:val="ListParagraph"/>
        <w:numPr>
          <w:ilvl w:val="0"/>
          <w:numId w:val="3"/>
        </w:numPr>
        <w:spacing w:after="100" w:line="300" w:lineRule="auto"/>
      </w:pPr>
      <w:r>
        <w:t xml:space="preserve">Evidence that the deployment envelope never leaves reliable link range. This is empirically false for aircraft by construction, and Part 107’s visual-line-of-sight requirement is a legal constraint on the pilot, not a guarantee of radio propagation.</w:t>
      </w:r>
    </w:p>
    <w:p>
      <w:pPr>
        <w:pStyle w:val="ListParagraph"/>
        <w:numPr>
          <w:ilvl w:val="0"/>
          <w:numId w:val="3"/>
        </w:numPr>
        <w:spacing w:after="100" w:line="300" w:lineRule="auto"/>
      </w:pPr>
      <w:r>
        <w:t xml:space="preserve">A demonstration that no capability of interest requires cognition — that is, that a purely reactive aircraft suffices. This is a coherent position and this paper does not dispute it for platforms with no natural-language requirement.</w:t>
      </w:r>
    </w:p>
    <w:p>
      <w:pPr>
        <w:pStyle w:val="ListParagraph"/>
        <w:numPr>
          <w:ilvl w:val="0"/>
          <w:numId w:val="3"/>
        </w:numPr>
        <w:spacing w:after="100" w:line="300" w:lineRule="auto"/>
      </w:pPr>
      <w:r>
        <w:t xml:space="preserve">Hardware developments making onboard cognition physically infeasible within the mass and thermal budget. Section 6 shows the opposite is now true; a decade ago this argument would have prevailed.</w:t>
      </w:r>
    </w:p>
    <w:p>
      <w:pPr>
        <w:pStyle w:val="Heading2"/>
      </w:pPr>
      <w:r>
        <w:rPr>
          <w:b/>
          <w:bCs/>
        </w:rPr>
        <w:t xml:space="preserve">4.5 The Counterargument, Stated Fairly</w:t>
      </w:r>
    </w:p>
    <w:p>
      <w:pPr>
        <w:spacing w:after="200" w:line="300" w:lineRule="auto"/>
      </w:pPr>
      <w:r>
        <w:t xml:space="preserve">The strongest objection to this paper’s architecture does not concern link independence at all. It concerns whether a language model should be issuing flight commands under any network conditions whatsoever.</w:t>
      </w:r>
    </w:p>
    <w:p>
      <w:pPr>
        <w:spacing w:after="200" w:line="300" w:lineRule="auto"/>
      </w:pPr>
      <w:r>
        <w:t xml:space="preserve">The objection has authoritative backing. The SayCan authors state that language models “are not grounded in the physical world and they do not observe the consequences of their generations on any physical process,” which leads them “to interpret instructions in ways that are nonsensical or unsafe for a particular physical situation” </w:t>
      </w:r>
      <w:r>
        <w:t xml:space="preserve">[37]</w:t>
      </w:r>
      <w:r>
        <w:t xml:space="preserve">. The ChatGPT-for-Robotics authors are equally direct: their outputs “are not meant to be deployed directly on robots without careful analysis” </w:t>
      </w:r>
      <w:r>
        <w:t xml:space="preserve">[38]</w:t>
      </w:r>
      <w:r>
        <w:t xml:space="preserve">. These are not critics of the field; they are its leading practitioners, warning about their own work. The hallucination literature </w:t>
      </w:r>
      <w:r>
        <w:t xml:space="preserve">[49]</w:t>
      </w:r>
      <w:r>
        <w:t xml:space="preserve"> supplies the general characterization, and the symbol-grounding problem </w:t>
      </w:r>
      <w:r>
        <w:t xml:space="preserve">[45]</w:t>
      </w:r>
      <w:r>
        <w:t xml:space="preserve"> supplies the thirty-year-old philosophical statement of why the difficulty is structural rather than incidental.</w:t>
      </w:r>
    </w:p>
    <w:p>
      <w:pPr>
        <w:spacing w:after="200" w:line="300" w:lineRule="auto"/>
      </w:pPr>
      <w:r>
        <w:t xml:space="preserve">If this objection succeeds, it does not merely complicate the architecture — it defeats the entire project, and it does so independently of where the model executes. An ungrounded model that is unsafe to deploy is not made safe by being unsafe locally.</w:t>
      </w:r>
    </w:p>
    <w:p>
      <w:pPr>
        <w:spacing w:after="200" w:line="300" w:lineRule="auto"/>
      </w:pPr>
      <w:r>
        <w:t xml:space="preserve">Section 7 answers this objection in full. The answer is architectural: the objection is correct about what language models are, and wrong only if one assumes the model must be in the control path. It need not be, and in this design it is not.</w:t>
      </w:r>
    </w:p>
    <w:p>
      <w:pPr>
        <w:pStyle w:val="Heading2"/>
      </w:pPr>
      <w:r>
        <w:rPr>
          <w:b/>
          <w:bCs/>
        </w:rPr>
        <w:t xml:space="preserve">4.6 Why the Criterion Is Not Merely Latency</w:t>
      </w:r>
    </w:p>
    <w:p>
      <w:pPr>
        <w:spacing w:after="200" w:line="300" w:lineRule="auto"/>
      </w:pPr>
      <w:r>
        <w:t xml:space="preserve">A final clarification separates this paper’s claim from a superficially similar one common in the edge-computing literature </w:t>
      </w:r>
      <w:r>
        <w:t xml:space="preserve">[22, 23]</w:t>
      </w:r>
      <w:r>
        <w:t xml:space="preserve">. That literature motivates edge placement on latency and bandwidth grounds: computation should move near the data because round trips are expensive. This is true and it is not the present argument.</w:t>
      </w:r>
    </w:p>
    <w:p>
      <w:pPr>
        <w:spacing w:after="200" w:line="300" w:lineRule="auto"/>
      </w:pPr>
      <w:r>
        <w:t xml:space="preserve">Latency is an optimization concern; a system with poor latency is slow. Availability is a correctness concern; a system without its network is absent. A hub-offloaded aircraft within good wireless range performs perfectly well on latency grounds — a few tens of milliseconds is immaterial for a command that takes seconds to execute. The architecture fails not because it is slow but because its capability set is a function of radio propagation. That is a categorically different defect, and conflating the two is how systems come to be described as edge-native while remaining cloud-dependent.</w:t>
      </w:r>
    </w:p>
    <w:p>
      <w:pPr>
        <w:spacing w:after="200" w:line="300" w:lineRule="auto"/>
      </w:pPr>
      <w:r>
        <w:t xml:space="preserve">The networked-control-systems literature </w:t>
      </w:r>
      <w:r>
        <w:t xml:space="preserve">[128, 129]</w:t>
      </w:r>
      <w:r>
        <w:t xml:space="preserve"> formalizes the stability consequences of delay and packet loss in feedback loops closed over a network, and its conclusions are directly relevant to why the cognition tier and the control tier must be separated — a point developed in Section 7.2.</w:t>
      </w:r>
    </w:p>
    <w:p>
      <w:r>
        <w:br w:type="page"/>
      </w:r>
    </w:p>
    <w:p>
      <w:pPr>
        <w:pStyle w:val="Heading1"/>
      </w:pPr>
      <w:r>
        <w:rPr>
          <w:b/>
          <w:bCs/>
        </w:rPr>
        <w:t xml:space="preserve">5. System Architecture</w:t>
      </w:r>
    </w:p>
    <w:p>
      <w:pPr>
        <w:pStyle w:val="Heading2"/>
      </w:pPr>
      <w:r>
        <w:rPr>
          <w:b/>
          <w:bCs/>
        </w:rPr>
        <w:t xml:space="preserve">5.1 The Ecosystem</w:t>
      </w:r>
    </w:p>
    <w:p>
      <w:pPr>
        <w:spacing w:after="200" w:line="300" w:lineRule="auto"/>
      </w:pPr>
      <w:r>
        <w:t xml:space="preserve">The ClawMaxxing ecosystem is organized as a council of specialist agent divisions executing against a central inference hub </w:t>
      </w:r>
      <w:r>
        <w:t xml:space="preserve">[165]</w:t>
      </w:r>
      <w:r>
        <w:t xml:space="preserve">, with peripheral nodes of varying autonomy. The aerial node is the first member whose autonomy is complete — that is, the first that is a peer rather than a peripheral.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400"/>
        <w:gridCol w:w="3060"/>
      </w:tblGrid>
      <w:tr>
        <w:trPr>
          <w:tblHeader/>
        </w:trPr>
        <w:tc>
          <w:tcPr>
            <w:tcW w:type="dxa" w:w="1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Node</w:t>
            </w:r>
          </w:p>
        </w:tc>
        <w:tc>
          <w:tcPr>
            <w:tcW w:type="dxa" w:w="3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Hardware</w:t>
            </w:r>
          </w:p>
        </w:tc>
        <w:tc>
          <w:tcPr>
            <w:tcW w:type="dxa" w:w="1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Model tier</w:t>
            </w:r>
          </w:p>
        </w:tc>
        <w:tc>
          <w:tcPr>
            <w:tcW w:type="dxa" w:w="30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Autonomy</w:t>
            </w:r>
          </w:p>
        </w:tc>
      </w:tr>
      <w:tr>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Inference hub</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AMD Ryzen AI 9 HX 370, 32 GB, ~50 TOPS NPU</w:t>
            </w:r>
          </w:p>
        </w:tc>
        <w:tc>
          <w:tcPr>
            <w:tcW w:type="dxa" w:w="1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8–14B</w:t>
            </w:r>
          </w:p>
        </w:tc>
        <w:tc>
          <w:tcPr>
            <w:tcW w:type="dxa" w:w="30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Full — orchestration, heavy reasoning</w:t>
            </w:r>
          </w:p>
        </w:tc>
      </w:tr>
      <w:tr>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Ground agent</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Raspberry Pi 5, 16 GB</w:t>
            </w:r>
          </w:p>
        </w:tc>
        <w:tc>
          <w:tcPr>
            <w:tcW w:type="dxa" w:w="1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1–3B</w:t>
            </w:r>
          </w:p>
        </w:tc>
        <w:tc>
          <w:tcPr>
            <w:tcW w:type="dxa" w:w="30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Partial — indoor, reliable network</w:t>
            </w:r>
          </w:p>
        </w:tc>
      </w:tr>
      <w:tr>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Aerial node</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Jetson Orin NX 16 GB</w:t>
            </w:r>
          </w:p>
        </w:tc>
        <w:tc>
          <w:tcPr>
            <w:tcW w:type="dxa" w:w="1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3–4B</w:t>
            </w:r>
          </w:p>
        </w:tc>
        <w:tc>
          <w:tcPr>
            <w:tcW w:type="dxa" w:w="30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Full — link-independent</w:t>
            </w:r>
          </w:p>
        </w:tc>
      </w:tr>
      <w:tr>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Security node</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x86 laptop</w:t>
            </w:r>
          </w:p>
        </w:tc>
        <w:tc>
          <w:tcPr>
            <w:tcW w:type="dxa" w:w="1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Hub-served</w:t>
            </w:r>
          </w:p>
        </w:tc>
        <w:tc>
          <w:tcPr>
            <w:tcW w:type="dxa" w:w="30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Full — wired</w:t>
            </w:r>
          </w:p>
        </w:tc>
      </w:tr>
    </w:tbl>
    <w:p>
      <w:pPr>
        <w:pStyle w:val="Heading2"/>
      </w:pPr>
      <w:r>
        <w:rPr>
          <w:b/>
          <w:bCs/>
        </w:rPr>
        <w:t xml:space="preserve">5.2 The Aerial Node</w:t>
      </w:r>
    </w:p>
    <w:p>
      <w:pPr>
        <w:spacing w:after="200" w:line="300" w:lineRule="auto"/>
      </w:pPr>
      <w:r>
        <w:t xml:space="preserve">The airframe is a 650 mm-class quadcopter with carbon-fibre plates joined by aluminium foldable arm connectors, rated to carry 4.3 kg without a battery and 3.5 kg with a 5200 mAh pack installed, against a maximum take-off weight of 6,300 g </w:t>
      </w:r>
      <w:r>
        <w:t xml:space="preserve">[152]</w:t>
      </w:r>
      <w:r>
        <w:t xml:space="preserve">. The hybrid construction is functionally significant: the aluminium joints absorb impacts that would delaminate an all-composite frame.</w:t>
      </w:r>
    </w:p>
    <w:p>
      <w:pPr>
        <w:spacing w:after="200" w:line="300" w:lineRule="auto"/>
      </w:pPr>
      <w:r>
        <w:t xml:space="preserve">Flight control is a Pixhawk 6X running PX4 </w:t>
      </w:r>
      <w:r>
        <w:t xml:space="preserve">[50, 51]</w:t>
      </w:r>
      <w:r>
        <w:t xml:space="preserve">. Companion computation is an NVIDIA Jetson Orin NX 16 GB </w:t>
      </w:r>
      <w:r>
        <w:t xml:space="preserve">[141]</w:t>
      </w:r>
      <w:r>
        <w:t xml:space="preserve">, carried on a baseboard that connects the two internally over both a serial link and a gigabit Ethernet switch, requiring no external wiring between them </w:t>
      </w:r>
      <w:r>
        <w:t xml:space="preserve">[153, 154]</w:t>
      </w:r>
      <w:r>
        <w:t xml:space="preserve">. Perception is a Luxonis OAK-D </w:t>
      </w:r>
      <w:r>
        <w:t xml:space="preserve">[155]</w:t>
      </w:r>
      <w:r>
        <w:t xml:space="preserve"> whose onboard vision processor executes detection networks on the camera itself. Manipulation is a Zubax FluxGrip FG40 electro-permanent magnet </w:t>
      </w:r>
      <w:r>
        <w:t xml:space="preserve">[156]</w:t>
      </w:r>
      <w:r>
        <w:t xml:space="preserve">, massing 70 g and holding up to 250 N with zero power draw while engaged.</w:t>
      </w:r>
    </w:p>
    <w:p>
      <w:pPr>
        <w:pStyle w:val="Heading2"/>
      </w:pPr>
      <w:r>
        <w:rPr>
          <w:b/>
          <w:bCs/>
        </w:rPr>
        <w:t xml:space="preserve">5.3 Mass Budget</w:t>
      </w:r>
    </w:p>
    <w:p>
      <w:pPr>
        <w:spacing w:after="200" w:line="300" w:lineRule="auto"/>
      </w:pPr>
      <w:r>
        <w:t xml:space="preserve">The mass budget is stated in full because it disposes of the most common objection to onboard 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00"/>
        <w:gridCol w:w="2560"/>
      </w:tblGrid>
      <w:tr>
        <w:trPr>
          <w:tblHeader/>
        </w:trPr>
        <w:tc>
          <w:tcPr>
            <w:tcW w:type="dxa" w:w="4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Component</w:t>
            </w:r>
          </w:p>
        </w:tc>
        <w:tc>
          <w:tcPr>
            <w:tcW w:type="dxa" w:w="2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Mass</w:t>
            </w:r>
          </w:p>
        </w:tc>
        <w:tc>
          <w:tcPr>
            <w:tcW w:type="dxa" w:w="2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Source type</w:t>
            </w:r>
          </w:p>
        </w:tc>
      </w:tr>
      <w:tr>
        <w:tc>
          <w:tcPr>
            <w:tcW w:type="dxa" w:w="4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Baseboard assembly (Jetson + cooler + FC + SSD + Wi-Fi)</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203.2 g</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Vendor, documented</w:t>
            </w:r>
          </w:p>
        </w:tc>
      </w:tr>
      <w:tr>
        <w:tc>
          <w:tcPr>
            <w:tcW w:type="dxa" w:w="4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OAK-D, housed</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~300 g</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Vendor</w:t>
            </w:r>
          </w:p>
        </w:tc>
      </w:tr>
      <w:tr>
        <w:tc>
          <w:tcPr>
            <w:tcW w:type="dxa" w:w="4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FluxGrip FG40</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70 g</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Vendor datasheet</w:t>
            </w:r>
          </w:p>
        </w:tc>
      </w:tr>
      <w:tr>
        <w:tc>
          <w:tcPr>
            <w:tcW w:type="dxa" w:w="4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Installed payload total</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~573 g</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Sum</w:t>
            </w:r>
          </w:p>
        </w:tc>
      </w:tr>
      <w:tr>
        <w:tc>
          <w:tcPr>
            <w:tcW w:type="dxa" w:w="4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Payload capacity with 5200 mAh / 750 g pack</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3,500 g</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Vendor specification</w:t>
            </w:r>
          </w:p>
        </w:tc>
      </w:tr>
      <w:tr>
        <w:tc>
          <w:tcPr>
            <w:tcW w:type="dxa" w:w="4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Margin remaining</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~2,927 g</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Derived</w:t>
            </w:r>
          </w:p>
        </w:tc>
      </w:tr>
      <w:tr>
        <w:tc>
          <w:tcPr>
            <w:tcW w:type="dxa" w:w="4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Maximum take-off weight</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6,300 g</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Vendor specification</w:t>
            </w:r>
          </w:p>
        </w:tc>
      </w:tr>
    </w:tbl>
    <w:p>
      <w:pPr>
        <w:pBdr>
          <w:left w:val="single" w:color="1E8449" w:sz="18" w:space="12"/>
        </w:pBdr>
        <w:shd w:fill="E9F7EF" w:val="clear"/>
        <w:spacing w:after="200" w:before="60"/>
        <w:ind w:left="300" w:right="300"/>
      </w:pPr>
      <w:r>
        <w:rPr>
          <w:b/>
          <w:bCs/>
          <w:color w:val="1E8449"/>
          <w:sz w:val="22"/>
          <w:szCs w:val="22"/>
        </w:rPr>
        <w:t xml:space="preserve">✔ VERIFIED  </w:t>
      </w:r>
      <w:r>
        <w:rPr>
          <w:sz w:val="22"/>
          <w:szCs w:val="22"/>
        </w:rPr>
        <w:t xml:space="preserve">Compute, perception, and manipulation together consume approximately one-sixth of available payload. Mass is not the binding constraint on onboard cognition for a 650 mm-class airframe. The binding constraints are thermal dissipation and endurance, treated in Sections 6.6 and 12.2.</w:t>
      </w:r>
    </w:p>
    <w:p>
      <w:pPr>
        <w:pStyle w:val="Heading2"/>
      </w:pPr>
      <w:r>
        <w:rPr>
          <w:b/>
          <w:bCs/>
        </w:rPr>
        <w:t xml:space="preserve">5.4 Perception Architecture</w:t>
      </w:r>
    </w:p>
    <w:p>
      <w:pPr>
        <w:spacing w:after="200" w:line="300" w:lineRule="auto"/>
      </w:pPr>
      <w:r>
        <w:t xml:space="preserve">Vision executes on the camera's own processor rather than the companion computer </w:t>
      </w:r>
      <w:r>
        <w:t xml:space="preserve">[155]</w:t>
      </w:r>
      <w:r>
        <w:t xml:space="preserve">. This separation is load-bearing rather than incidental: it permits simultaneous person-following and natural-language interaction without either workload starving the other, and it means that loss of the companion computer does not blind the aircraft.</w:t>
      </w:r>
    </w:p>
    <w:p>
      <w:pPr>
        <w:spacing w:after="200" w:line="300" w:lineRule="auto"/>
      </w:pPr>
      <w:r>
        <w:t xml:space="preserve">The same camera supplies visual-inertial odometry when satellite navigation is denied, via any of several mature pipelines </w:t>
      </w:r>
      <w:r>
        <w:t xml:space="preserve">[56, 57, 58]</w:t>
      </w:r>
      <w:r>
        <w:t xml:space="preserve"> or vendor SDKs </w:t>
      </w:r>
      <w:r>
        <w:t xml:space="preserve">[163, 164]</w:t>
      </w:r>
      <w:r>
        <w:t xml:space="preserve">. Achieved drift is determined more by camera-inertial extrinsic calibration </w:t>
      </w:r>
      <w:r>
        <w:t xml:space="preserve">[61]</w:t>
      </w:r>
      <w:r>
        <w:t xml:space="preserve"> and mount rigidity than by algorithm choice, a point the benchmark literature makes repeatedly </w:t>
      </w:r>
      <w:r>
        <w:t xml:space="preserve">[64]</w:t>
      </w:r>
      <w:r>
        <w:t xml:space="preserve">.</w:t>
      </w:r>
    </w:p>
    <w:p>
      <w:pPr>
        <w:spacing w:after="200" w:line="300" w:lineRule="auto"/>
      </w:pPr>
      <w:r>
        <w:t xml:space="preserve">This capability exists only because both the camera and the compute are aboard. An aircraft whose perception was served over a radio would lose its navigation solution and its reasoning in the same instant, at precisely the moment conditions had turned adversarial. The peer model is what makes GNSS-denied navigation coherent.</w:t>
      </w:r>
    </w:p>
    <w:p>
      <w:pPr>
        <w:pStyle w:val="Heading2"/>
      </w:pPr>
      <w:r>
        <w:rPr>
          <w:b/>
          <w:bCs/>
        </w:rPr>
        <w:t xml:space="preserve">5.5 Federation</w:t>
      </w:r>
    </w:p>
    <w:p>
      <w:pPr>
        <w:spacing w:after="200" w:line="300" w:lineRule="auto"/>
      </w:pPr>
      <w:r>
        <w:t xml:space="preserve">The mesh is implemented with a userspace WireGuard client </w:t>
      </w:r>
      <w:r>
        <w:t xml:space="preserve">[122, 130]</w:t>
      </w:r>
      <w:r>
        <w:t xml:space="preserve">. WireGuard's cryptographic design — Curve25519 key agreement </w:t>
      </w:r>
      <w:r>
        <w:t xml:space="preserve">[125]</w:t>
      </w:r>
      <w:r>
        <w:t xml:space="preserve">, the Noise IK handshake pattern </w:t>
      </w:r>
      <w:r>
        <w:t xml:space="preserve">[124]</w:t>
      </w:r>
      <w:r>
        <w:t xml:space="preserve">, ChaCha20-Poly1305 authenticated encryption </w:t>
      </w:r>
      <w:r>
        <w:t xml:space="preserve">[126]</w:t>
      </w:r>
      <w:r>
        <w:t xml:space="preserve">, BLAKE2s hashing </w:t>
      </w:r>
      <w:r>
        <w:t xml:space="preserve">[127]</w:t>
      </w:r>
      <w:r>
        <w:t xml:space="preserve"> — has a formal security proof </w:t>
      </w:r>
      <w:r>
        <w:t xml:space="preserve">[123]</w:t>
      </w:r>
      <w:r>
        <w:t xml:space="preserve">, and its implementation is small enough to audit, a property its author emphasizes explicitly.</w:t>
      </w:r>
    </w:p>
    <w:p>
      <w:pPr>
        <w:spacing w:after="200" w:line="300" w:lineRule="auto"/>
      </w:pPr>
      <w:r>
        <w:t xml:space="preserve">The escalation path is best-effort with a hard timeout, and its failure mode is the architecture's whole thesis expressed in code:</w:t>
      </w:r>
    </w:p>
    <w:p>
      <w:pPr>
        <w:pBdr>
          <w:left w:val="single" w:color="8DA9C4" w:sz="12" w:space="8"/>
        </w:pBdr>
        <w:shd w:fill="F2F4F7" w:val="clear"/>
        <w:spacing w:after="90"/>
        <w:ind w:left="300"/>
      </w:pPr>
      <w:r>
        <w:rPr>
          <w:rFonts w:ascii="Consolas" w:cs="Consolas" w:eastAsia="Consolas" w:hAnsi="Consolas"/>
          <w:sz w:val="19"/>
          <w:szCs w:val="19"/>
        </w:rPr>
        <w:t xml:space="preserve">def escalate(prompt, timeout=2.0):</w:t>
      </w:r>
    </w:p>
    <w:p>
      <w:pPr>
        <w:pBdr>
          <w:left w:val="single" w:color="8DA9C4" w:sz="12" w:space="8"/>
        </w:pBdr>
        <w:shd w:fill="F2F4F7" w:val="clear"/>
        <w:spacing w:after="90"/>
        <w:ind w:left="300"/>
      </w:pPr>
      <w:r>
        <w:rPr>
          <w:rFonts w:ascii="Consolas" w:cs="Consolas" w:eastAsia="Consolas" w:hAnsi="Consolas"/>
          <w:sz w:val="19"/>
          <w:szCs w:val="19"/>
        </w:rPr>
        <w:t xml:space="preserve">    try:</w:t>
      </w:r>
    </w:p>
    <w:p>
      <w:pPr>
        <w:pBdr>
          <w:left w:val="single" w:color="8DA9C4" w:sz="12" w:space="8"/>
        </w:pBdr>
        <w:shd w:fill="F2F4F7" w:val="clear"/>
        <w:spacing w:after="90"/>
        <w:ind w:left="300"/>
      </w:pPr>
      <w:r>
        <w:rPr>
          <w:rFonts w:ascii="Consolas" w:cs="Consolas" w:eastAsia="Consolas" w:hAnsi="Consolas"/>
          <w:sz w:val="19"/>
          <w:szCs w:val="19"/>
        </w:rPr>
        <w:t xml:space="preserve">        r = requests.post('http://hub:11434/api/generate',</w:t>
      </w:r>
    </w:p>
    <w:p>
      <w:pPr>
        <w:pBdr>
          <w:left w:val="single" w:color="8DA9C4" w:sz="12" w:space="8"/>
        </w:pBdr>
        <w:shd w:fill="F2F4F7" w:val="clear"/>
        <w:spacing w:after="90"/>
        <w:ind w:left="300"/>
      </w:pPr>
      <w:r>
        <w:rPr>
          <w:rFonts w:ascii="Consolas" w:cs="Consolas" w:eastAsia="Consolas" w:hAnsi="Consolas"/>
          <w:sz w:val="19"/>
          <w:szCs w:val="19"/>
        </w:rPr>
        <w:t xml:space="preserve">                          json={'model':'qwen3:14b','prompt':prompt},</w:t>
      </w:r>
    </w:p>
    <w:p>
      <w:pPr>
        <w:pBdr>
          <w:left w:val="single" w:color="8DA9C4" w:sz="12" w:space="8"/>
        </w:pBdr>
        <w:shd w:fill="F2F4F7" w:val="clear"/>
        <w:spacing w:after="90"/>
        <w:ind w:left="300"/>
      </w:pPr>
      <w:r>
        <w:rPr>
          <w:rFonts w:ascii="Consolas" w:cs="Consolas" w:eastAsia="Consolas" w:hAnsi="Consolas"/>
          <w:sz w:val="19"/>
          <w:szCs w:val="19"/>
        </w:rPr>
        <w:t xml:space="preserve">                          timeout=timeout)</w:t>
      </w:r>
    </w:p>
    <w:p>
      <w:pPr>
        <w:pBdr>
          <w:left w:val="single" w:color="8DA9C4" w:sz="12" w:space="8"/>
        </w:pBdr>
        <w:shd w:fill="F2F4F7" w:val="clear"/>
        <w:spacing w:after="90"/>
        <w:ind w:left="300"/>
      </w:pPr>
      <w:r>
        <w:rPr>
          <w:rFonts w:ascii="Consolas" w:cs="Consolas" w:eastAsia="Consolas" w:hAnsi="Consolas"/>
          <w:sz w:val="19"/>
          <w:szCs w:val="19"/>
        </w:rPr>
        <w:t xml:space="preserve">        return r.json()['response']</w:t>
      </w:r>
    </w:p>
    <w:p>
      <w:pPr>
        <w:pBdr>
          <w:left w:val="single" w:color="8DA9C4" w:sz="12" w:space="8"/>
        </w:pBdr>
        <w:shd w:fill="F2F4F7" w:val="clear"/>
        <w:spacing w:after="90"/>
        <w:ind w:left="300"/>
      </w:pPr>
      <w:r>
        <w:rPr>
          <w:rFonts w:ascii="Consolas" w:cs="Consolas" w:eastAsia="Consolas" w:hAnsi="Consolas"/>
          <w:sz w:val="19"/>
          <w:szCs w:val="19"/>
        </w:rPr>
        <w:t xml:space="preserve">    except Exception:</w:t>
      </w:r>
    </w:p>
    <w:p>
      <w:pPr>
        <w:pBdr>
          <w:left w:val="single" w:color="8DA9C4" w:sz="12" w:space="8"/>
        </w:pBdr>
        <w:shd w:fill="F2F4F7" w:val="clear"/>
        <w:spacing w:after="90"/>
        <w:ind w:left="300"/>
      </w:pPr>
      <w:r>
        <w:rPr>
          <w:rFonts w:ascii="Consolas" w:cs="Consolas" w:eastAsia="Consolas" w:hAnsi="Consolas"/>
          <w:sz w:val="19"/>
          <w:szCs w:val="19"/>
        </w:rPr>
        <w:t xml:space="preserve">        return None      # &lt;- the aircraft carries on with its own model</w:t>
      </w:r>
    </w:p>
    <w:p>
      <w:pPr>
        <w:pBdr>
          <w:left w:val="single" w:color="8DA9C4" w:sz="12" w:space="8"/>
        </w:pBdr>
        <w:shd w:fill="F2F4F7" w:val="clear"/>
        <w:spacing w:after="90"/>
        <w:ind w:left="300"/>
      </w:pPr>
      <w:r>
        <w:rPr>
          <w:rFonts w:ascii="Consolas" w:cs="Consolas" w:eastAsia="Consolas" w:hAnsi="Consolas"/>
          <w:sz w:val="19"/>
          <w:szCs w:val="19"/>
        </w:rPr>
        <w:t xml:space="preserve"/>
      </w:r>
    </w:p>
    <w:p>
      <w:pPr>
        <w:pBdr>
          <w:left w:val="single" w:color="8DA9C4" w:sz="12" w:space="8"/>
        </w:pBdr>
        <w:shd w:fill="F2F4F7" w:val="clear"/>
        <w:spacing w:after="90"/>
        <w:ind w:left="300"/>
      </w:pPr>
      <w:r>
        <w:rPr>
          <w:rFonts w:ascii="Consolas" w:cs="Consolas" w:eastAsia="Consolas" w:hAnsi="Consolas"/>
          <w:sz w:val="19"/>
          <w:szCs w:val="19"/>
        </w:rPr>
        <w:t xml:space="preserve"># The hub becoming unreachable is a NON-EVENT, not an exception to handle.</w:t>
      </w:r>
    </w:p>
    <w:p>
      <w:pPr>
        <w:pBdr>
          <w:left w:val="single" w:color="8DA9C4" w:sz="12" w:space="8"/>
        </w:pBdr>
        <w:shd w:fill="F2F4F7" w:val="clear"/>
        <w:spacing w:after="90"/>
        <w:ind w:left="300"/>
      </w:pPr>
      <w:r>
        <w:rPr>
          <w:rFonts w:ascii="Consolas" w:cs="Consolas" w:eastAsia="Consolas" w:hAnsi="Consolas"/>
          <w:sz w:val="19"/>
          <w:szCs w:val="19"/>
        </w:rPr>
        <w:t xml:space="preserve"># If this can raise into the flight loop, the limb model has been</w:t>
      </w:r>
    </w:p>
    <w:p>
      <w:pPr>
        <w:pBdr>
          <w:left w:val="single" w:color="8DA9C4" w:sz="12" w:space="8"/>
        </w:pBdr>
        <w:shd w:fill="F2F4F7" w:val="clear"/>
        <w:spacing w:after="90"/>
        <w:ind w:left="300"/>
      </w:pPr>
      <w:r>
        <w:rPr>
          <w:rFonts w:ascii="Consolas" w:cs="Consolas" w:eastAsia="Consolas" w:hAnsi="Consolas"/>
          <w:sz w:val="19"/>
          <w:szCs w:val="19"/>
        </w:rPr>
        <w:t xml:space="preserve"># reconstructed by accident.</w:t>
      </w:r>
    </w:p>
    <w:p>
      <w:pPr>
        <w:pBdr>
          <w:left w:val="single" w:color="134074" w:sz="18" w:space="12"/>
        </w:pBdr>
        <w:shd w:fill="EEF2F7" w:val="clear"/>
        <w:spacing w:after="200" w:before="60"/>
        <w:ind w:left="300" w:right="300"/>
      </w:pPr>
      <w:r>
        <w:rPr>
          <w:b/>
          <w:bCs/>
          <w:color w:val="134074"/>
          <w:sz w:val="22"/>
          <w:szCs w:val="22"/>
        </w:rPr>
        <w:t xml:space="preserve">▸ NOTE  </w:t>
      </w:r>
      <w:r>
        <w:rPr>
          <w:sz w:val="22"/>
          <w:szCs w:val="22"/>
        </w:rPr>
        <w:t xml:space="preserve">The `return None` is not defensive programming. It is the formal expression of the criterion in Section 4.1: the hub is not in N, because the aircraft does not depend on it. Any code path in which hub failure propagates is a violation of the architecture, not merely a bug.</w:t>
      </w:r>
    </w:p>
    <w:p>
      <w:pPr>
        <w:pStyle w:val="Heading2"/>
      </w:pPr>
      <w:r>
        <w:rPr>
          <w:b/>
          <w:bCs/>
        </w:rPr>
        <w:t xml:space="preserve">5.6 The Command Bridge, and a Correction</w:t>
      </w:r>
    </w:p>
    <w:p>
      <w:pPr>
        <w:spacing w:after="200" w:line="300" w:lineRule="auto"/>
      </w:pPr>
      <w:r>
        <w:t xml:space="preserve">The onboard model reaches the flight controller through a MAVLink bridge. The physical path requires no external wiring: the baseboard connects the two internally over both a serial link and a gigabit Ethernet switch </w:t>
      </w:r>
      <w:r>
        <w:t xml:space="preserve">[153, 154]</w:t>
      </w:r>
      <w:r>
        <w:t xml:space="preserve">. The software path requires a choice, and the choice has a licensing dimension that matters for a project whose central commitment is operator autonomy.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Tool</w:t>
            </w:r>
          </w:p>
        </w:tc>
        <w:tc>
          <w:tcPr>
            <w:tcW w:type="dxa" w:w="1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License</w:t>
            </w:r>
          </w:p>
        </w:tc>
        <w:tc>
          <w:tcPr>
            <w:tcW w:type="dxa" w:w="52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Assessment</w:t>
            </w:r>
          </w:p>
        </w:tc>
      </w:tr>
      <w:tr>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MAVSDK [157]</w:t>
            </w:r>
          </w:p>
        </w:tc>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BSD 3-Clause</w:t>
            </w:r>
          </w:p>
        </w:tc>
        <w:tc>
          <w:tcPr>
            <w:tcW w:type="dxa" w:w="5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RECOMMENDED — PX4-native; modern DroneKit replacement</w:t>
            </w:r>
          </w:p>
        </w:tc>
      </w:tr>
      <w:tr>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pymavlink [158]</w:t>
            </w:r>
          </w:p>
        </w:tc>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LGPL v3</w:t>
            </w:r>
          </w:p>
        </w:tc>
        <w:tc>
          <w:tcPr>
            <w:tcW w:type="dxa" w:w="5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Low-level; MAVLink 1 &amp; 2; supports message signing</w:t>
            </w:r>
          </w:p>
        </w:tc>
      </w:tr>
      <w:tr>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DroneKit-Python [159]</w:t>
            </w:r>
          </w:p>
        </w:tc>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Apache 2.0</w:t>
            </w:r>
          </w:p>
        </w:tc>
        <w:tc>
          <w:tcPr>
            <w:tcW w:type="dxa" w:w="5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ArduPilot-oriented; low maintenance activity</w:t>
            </w:r>
          </w:p>
        </w:tc>
      </w:tr>
      <w:tr>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DroneServer [44]</w:t>
            </w:r>
          </w:p>
        </w:tc>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See correction</w:t>
            </w:r>
          </w:p>
        </w:tc>
        <w:tc>
          <w:tcPr>
            <w:tcW w:type="dxa" w:w="5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Pattern adopted; deployment rejected — see below</w:t>
            </w:r>
          </w:p>
        </w:tc>
      </w:tr>
    </w:tbl>
    <w:p>
      <w:pPr>
        <w:pBdr>
          <w:left w:val="single" w:color="B7791F" w:sz="18" w:space="12"/>
        </w:pBdr>
        <w:shd w:fill="FEF5E7" w:val="clear"/>
        <w:spacing w:after="200" w:before="60"/>
        <w:ind w:left="300" w:right="300"/>
      </w:pPr>
      <w:r>
        <w:rPr>
          <w:b/>
          <w:bCs/>
          <w:color w:val="B7791F"/>
          <w:sz w:val="22"/>
          <w:szCs w:val="22"/>
        </w:rPr>
        <w:t xml:space="preserve">↻ CORRECTION  </w:t>
      </w:r>
      <w:r>
        <w:rPr>
          <w:b/>
          <w:bCs/>
        </w:rPr>
        <w:t xml:space="preserve">Correction to prior guidance within this project. </w:t>
      </w:r>
      <w:r>
        <w:t xml:space="preserve">Earlier ClawMaxxing drone documentation authored by this author recommended DroneServer </w:t>
      </w:r>
      <w:r>
        <w:t xml:space="preserve">[44]</w:t>
      </w:r>
      <w:r>
        <w:t xml:space="preserve"> as the language-model-to-autopilot bridge, on the strength of its Model-Context-Protocol-over-MAVLink abstraction. Verification establishes that while the pattern is sound and worth adopting, the reference implementation runs a </w:t>
      </w:r>
      <w:r>
        <w:rPr>
          <w:b/>
          <w:bCs/>
        </w:rPr>
        <w:t xml:space="preserve">cloud-hosted</w:t>
      </w:r>
      <w:r>
        <w:t xml:space="preserve"> MCP server — which is directly contrary to this project's zero-cloud constraint and, more importantly, would reintroduce precisely the dependency that Section 4 argues disqualifies an architecture. The corrected guidance: adopt the MCP-over-MAVLink pattern, host the server on the aircraft or the hub, and never on a third party's infrastructure.</w:t>
      </w:r>
    </w:p>
    <w:p>
      <w:pPr>
        <w:spacing w:after="200" w:line="300" w:lineRule="auto"/>
      </w:pPr>
      <w:r>
        <w:t xml:space="preserve">The error is instructive beyond its immediate correction. The abstraction was evaluated and the deployment was not. A tool can be architecturally ideal and operationally disqualifying, and the distinction lives in the deployment section rather than the abstract. This is, we suspect, a common failure mode in a field where papers are read for their contributions and their reference implementations are read by nobody.</w:t>
      </w:r>
    </w:p>
    <w:p>
      <w:pPr>
        <w:spacing w:after="200" w:line="300" w:lineRule="auto"/>
      </w:pPr>
      <w:r>
        <w:t xml:space="preserve">Gripper actuation is native to the autopilot firmware and therefore parameter-only rather than code </w:t>
      </w:r>
      <w:r>
        <w:t xml:space="preserve">[161]</w:t>
      </w:r>
      <w:r>
        <w:t xml:space="preserve">, which keeps the manipulation path outside the model's reach by construction. Person-following adapts the Stanley pipeline </w:t>
      </w:r>
      <w:r>
        <w:t xml:space="preserve">[174]</w:t>
      </w:r>
      <w:r>
        <w:t xml:space="preserve"> — camera-side detection feeding velocity setpoints — to this platform.</w:t>
      </w:r>
    </w:p>
    <w:p>
      <w:pPr>
        <w:pStyle w:val="Heading2"/>
      </w:pPr>
      <w:r>
        <w:rPr>
          <w:b/>
          <w:bCs/>
        </w:rPr>
        <w:t xml:space="preserve">5.7 The Interface Contract</w:t>
      </w:r>
    </w:p>
    <w:p>
      <w:pPr>
        <w:spacing w:after="200" w:line="300" w:lineRule="auto"/>
      </w:pPr>
      <w:r>
        <w:t xml:space="preserve">Every request for physical action, from any source, has identical shape and identical authority. There is no privileged variant.</w:t>
      </w:r>
    </w:p>
    <w:p>
      <w:pPr>
        <w:pBdr>
          <w:left w:val="single" w:color="8DA9C4" w:sz="12" w:space="8"/>
        </w:pBdr>
        <w:shd w:fill="F2F4F7" w:val="clear"/>
        <w:spacing w:after="90"/>
        <w:ind w:left="300"/>
      </w:pPr>
      <w:r>
        <w:rPr>
          <w:rFonts w:ascii="Consolas" w:cs="Consolas" w:eastAsia="Consolas" w:hAnsi="Consolas"/>
          <w:sz w:val="19"/>
          <w:szCs w:val="19"/>
        </w:rPr>
        <w:t xml:space="preserve">{ "action": "takeoff|land|goto|follow|grab|release|survey|status",</w:t>
      </w:r>
    </w:p>
    <w:p>
      <w:pPr>
        <w:pBdr>
          <w:left w:val="single" w:color="8DA9C4" w:sz="12" w:space="8"/>
        </w:pBdr>
        <w:shd w:fill="F2F4F7" w:val="clear"/>
        <w:spacing w:after="90"/>
        <w:ind w:left="300"/>
      </w:pPr>
      <w:r>
        <w:rPr>
          <w:rFonts w:ascii="Consolas" w:cs="Consolas" w:eastAsia="Consolas" w:hAnsi="Consolas"/>
          <w:sz w:val="19"/>
          <w:szCs w:val="19"/>
        </w:rPr>
        <w:t xml:space="preserve">  "args":   { ... },</w:t>
      </w:r>
    </w:p>
    <w:p>
      <w:pPr>
        <w:pBdr>
          <w:left w:val="single" w:color="8DA9C4" w:sz="12" w:space="8"/>
        </w:pBdr>
        <w:shd w:fill="F2F4F7" w:val="clear"/>
        <w:spacing w:after="90"/>
        <w:ind w:left="300"/>
      </w:pPr>
      <w:r>
        <w:rPr>
          <w:rFonts w:ascii="Consolas" w:cs="Consolas" w:eastAsia="Consolas" w:hAnsi="Consolas"/>
          <w:sz w:val="19"/>
          <w:szCs w:val="19"/>
        </w:rPr>
        <w:t xml:space="preserve">  "origin": "onboard_model | council | operator",</w:t>
      </w:r>
    </w:p>
    <w:p>
      <w:pPr>
        <w:pBdr>
          <w:left w:val="single" w:color="8DA9C4" w:sz="12" w:space="8"/>
        </w:pBdr>
        <w:shd w:fill="F2F4F7" w:val="clear"/>
        <w:spacing w:after="90"/>
        <w:ind w:left="300"/>
      </w:pPr>
      <w:r>
        <w:rPr>
          <w:rFonts w:ascii="Consolas" w:cs="Consolas" w:eastAsia="Consolas" w:hAnsi="Consolas"/>
          <w:sz w:val="19"/>
          <w:szCs w:val="19"/>
        </w:rPr>
        <w:t xml:space="preserve">  "proposed_at": &lt;unix_ts&gt; }</w:t>
      </w:r>
    </w:p>
    <w:p>
      <w:pPr>
        <w:pBdr>
          <w:left w:val="single" w:color="8DA9C4" w:sz="12" w:space="8"/>
        </w:pBdr>
        <w:shd w:fill="F2F4F7" w:val="clear"/>
        <w:spacing w:after="90"/>
        <w:ind w:left="300"/>
      </w:pPr>
      <w:r>
        <w:rPr>
          <w:rFonts w:ascii="Consolas" w:cs="Consolas" w:eastAsia="Consolas" w:hAnsi="Consolas"/>
          <w:sz w:val="19"/>
          <w:szCs w:val="19"/>
        </w:rPr>
        <w:t xml:space="preserve"/>
      </w:r>
    </w:p>
    <w:p>
      <w:pPr>
        <w:pBdr>
          <w:left w:val="single" w:color="8DA9C4" w:sz="12" w:space="8"/>
        </w:pBdr>
        <w:shd w:fill="F2F4F7" w:val="clear"/>
        <w:spacing w:after="90"/>
        <w:ind w:left="300"/>
      </w:pPr>
      <w:r>
        <w:rPr>
          <w:rFonts w:ascii="Consolas" w:cs="Consolas" w:eastAsia="Consolas" w:hAnsi="Consolas"/>
          <w:sz w:val="19"/>
          <w:szCs w:val="19"/>
        </w:rPr>
        <w:t xml:space="preserve">// A PROPOSAL, not a command. origin is recorded for audit;</w:t>
      </w:r>
    </w:p>
    <w:p>
      <w:pPr>
        <w:pBdr>
          <w:left w:val="single" w:color="8DA9C4" w:sz="12" w:space="8"/>
        </w:pBdr>
        <w:shd w:fill="F2F4F7" w:val="clear"/>
        <w:spacing w:after="90"/>
        <w:ind w:left="300"/>
      </w:pPr>
      <w:r>
        <w:rPr>
          <w:rFonts w:ascii="Consolas" w:cs="Consolas" w:eastAsia="Consolas" w:hAnsi="Consolas"/>
          <w:sz w:val="19"/>
          <w:szCs w:val="19"/>
        </w:rPr>
        <w:t xml:space="preserve">// it confers NO privilege. A Council proposal and an onboard-model</w:t>
      </w:r>
    </w:p>
    <w:p>
      <w:pPr>
        <w:pBdr>
          <w:left w:val="single" w:color="8DA9C4" w:sz="12" w:space="8"/>
        </w:pBdr>
        <w:shd w:fill="F2F4F7" w:val="clear"/>
        <w:spacing w:after="90"/>
        <w:ind w:left="300"/>
      </w:pPr>
      <w:r>
        <w:rPr>
          <w:rFonts w:ascii="Consolas" w:cs="Consolas" w:eastAsia="Consolas" w:hAnsi="Consolas"/>
          <w:sz w:val="19"/>
          <w:szCs w:val="19"/>
        </w:rPr>
        <w:t xml:space="preserve">// proposal traverse the identical gate.</w:t>
      </w:r>
    </w:p>
    <w:p>
      <w:pPr>
        <w:spacing w:after="200" w:line="300" w:lineRule="auto"/>
      </w:pPr>
      <w:r>
        <w:t xml:space="preserve">The contract deliberately omits a remote-arm message, any message that disables the confirmation gate or the audit chain, and any privileged channel for the hub. These omissions are the contract, not gaps in it.</w:t>
      </w:r>
    </w:p>
    <w:p>
      <w:r>
        <w:br w:type="page"/>
      </w:r>
    </w:p>
    <w:p>
      <w:pPr>
        <w:pStyle w:val="Heading1"/>
      </w:pPr>
      <w:r>
        <w:rPr>
          <w:b/>
          <w:bCs/>
        </w:rPr>
        <w:t xml:space="preserve">6. Onboard Compute: Evaluation</w:t>
      </w:r>
    </w:p>
    <w:p>
      <w:pPr>
        <w:spacing w:after="200" w:line="300" w:lineRule="auto"/>
      </w:pPr>
      <w:r>
        <w:t xml:space="preserve">Having established that cognition must reside aboard, we evaluate what silicon can carry it. Four configurations were assessed against measured benchmarks, mass, power, thermal behaviour, software maturity, and mid-2026 pricing.</w:t>
      </w:r>
    </w:p>
    <w:p>
      <w:pPr>
        <w:pStyle w:val="Heading2"/>
      </w:pPr>
      <w:r>
        <w:rPr>
          <w:b/>
          <w:bCs/>
        </w:rPr>
        <w:t xml:space="preserve">6.1 Configuration A — Jetson Orin NX 16 GB</w:t>
      </w:r>
    </w:p>
    <w:p>
      <w:pPr>
        <w:spacing w:after="200" w:line="300" w:lineRule="auto"/>
      </w:pPr>
      <w:r>
        <w:t xml:space="preserve">The Orin NX 16 GB provides 1024 Ampere CUDA cores, up to 157 INT8 sparse TOPS in the JetPack 6.2 “Super Mode” profile, 102.4 GB/s of memory bandwidth, and sixteen gigabytes of unified memory </w:t>
      </w:r>
      <w:r>
        <w:t xml:space="preserve">[141, 140]</w:t>
      </w:r>
      <w:r>
        <w:t xml:space="preserve">. Unified memory is the architecturally decisive property: a quantized model, the perception pipeline, and the messaging daemon share one pool without the host-device copies that would otherwise dominate the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rPr>
          <w:tblHeader/>
        </w:trPr>
        <w:tc>
          <w:tcPr>
            <w:tcW w:type="dxa" w:w="20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Model</w:t>
            </w:r>
          </w:p>
        </w:tc>
        <w:tc>
          <w:tcPr>
            <w:tcW w:type="dxa" w:w="2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Vendor (INT4/MLC)</w:t>
            </w:r>
          </w:p>
        </w:tc>
        <w:tc>
          <w:tcPr>
            <w:tcW w:type="dxa" w:w="3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Independent (llama.cpp/Ollama)</w:t>
            </w:r>
          </w:p>
        </w:tc>
        <w:tc>
          <w:tcPr>
            <w:tcW w:type="dxa" w:w="17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Planning figure</w:t>
            </w:r>
          </w:p>
        </w:tc>
      </w:tr>
      <w:tr>
        <w:tc>
          <w:tcPr>
            <w:tcW w:type="dxa" w:w="2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Llama 3.2 3B</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45.8 tok/s</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~17–25 tok/s</w:t>
            </w:r>
          </w:p>
        </w:tc>
        <w:tc>
          <w:tcPr>
            <w:tcW w:type="dxa" w:w="17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17 tok/s</w:t>
            </w:r>
          </w:p>
        </w:tc>
      </w:tr>
      <w:tr>
        <w:tc>
          <w:tcPr>
            <w:tcW w:type="dxa" w:w="2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Llama 3.1 8B</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22.8 tok/s</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~12–18 tok/s</w:t>
            </w:r>
          </w:p>
        </w:tc>
        <w:tc>
          <w:tcPr>
            <w:tcW w:type="dxa" w:w="17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12 tok/s</w:t>
            </w:r>
          </w:p>
        </w:tc>
      </w:tr>
      <w:tr>
        <w:tc>
          <w:tcPr>
            <w:tcW w:type="dxa" w:w="2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Qwen 2.5 7B</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23.5 tok/s</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w:t>
            </w:r>
          </w:p>
        </w:tc>
        <w:tc>
          <w:tcPr>
            <w:tcW w:type="dxa" w:w="17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w:t>
            </w:r>
          </w:p>
        </w:tc>
      </w:tr>
      <w:tr>
        <w:tc>
          <w:tcPr>
            <w:tcW w:type="dxa" w:w="2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Gemma 2 2B</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39.0 tok/s</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w:t>
            </w:r>
          </w:p>
        </w:tc>
        <w:tc>
          <w:tcPr>
            <w:tcW w:type="dxa" w:w="17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w:t>
            </w:r>
          </w:p>
        </w:tc>
      </w:tr>
      <w:tr>
        <w:tc>
          <w:tcPr>
            <w:tcW w:type="dxa" w:w="2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Phi-3.5 3.8B</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40.9 tok/s</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w:t>
            </w:r>
          </w:p>
        </w:tc>
        <w:tc>
          <w:tcPr>
            <w:tcW w:type="dxa" w:w="17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w:t>
            </w:r>
          </w:p>
        </w:tc>
      </w:tr>
      <w:tr>
        <w:tc>
          <w:tcPr>
            <w:tcW w:type="dxa" w:w="2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SmolLM2 1.7B</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68.8 tok/s</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w:t>
            </w:r>
          </w:p>
        </w:tc>
        <w:tc>
          <w:tcPr>
            <w:tcW w:type="dxa" w:w="17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w:t>
            </w:r>
          </w:p>
        </w:tc>
      </w:tr>
    </w:tbl>
    <w:p>
      <w:pPr>
        <w:spacing w:after="200" w:line="300" w:lineRule="auto"/>
      </w:pPr>
      <w:r>
        <w:t xml:space="preserve">Both columns are honest. The left is the vendor's own measurement under INT4 quantization via the MLC API </w:t>
      </w:r>
      <w:r>
        <w:t xml:space="preserve">[140]</w:t>
      </w:r>
      <w:r>
        <w:t xml:space="preserve">; the right is what a practitioner obtains on day one </w:t>
      </w:r>
      <w:r>
        <w:t xml:space="preserve">[144]</w:t>
      </w:r>
      <w:r>
        <w:t xml:space="preserve">. Per Section 2.3, the architecture is designed to the right-hand column, and it is sufficient: at seventeen tokens per second, a three-billion-parameter model converts a spoken instruction into a flight action faster than the aircraft can execute it. AWQ's reported 2.9× speedup for an eight-billion-parameter model on this platform </w:t>
      </w:r>
      <w:r>
        <w:t xml:space="preserve">[8]</w:t>
      </w:r>
      <w:r>
        <w:t xml:space="preserve"> indicates meaningful headroom above the planning figure for a practitioner willing to invest in the toolchain.</w:t>
      </w:r>
    </w:p>
    <w:p>
      <w:pPr>
        <w:pBdr>
          <w:left w:val="single" w:color="B7791F" w:sz="18" w:space="12"/>
        </w:pBdr>
        <w:shd w:fill="FEF5E7" w:val="clear"/>
        <w:spacing w:after="200" w:before="60"/>
        <w:ind w:left="300" w:right="300"/>
      </w:pPr>
      <w:r>
        <w:rPr>
          <w:b/>
          <w:bCs/>
          <w:color w:val="B7791F"/>
          <w:sz w:val="22"/>
          <w:szCs w:val="22"/>
        </w:rPr>
        <w:t xml:space="preserve">↻ CORRECTION  </w:t>
      </w:r>
      <w:r>
        <w:rPr>
          <w:b/>
          <w:bCs/>
        </w:rPr>
        <w:t xml:space="preserve">Availability caveat. </w:t>
      </w:r>
      <w:r>
        <w:t xml:space="preserve">The integrated baseboard bundle lists at US$1,654.99–1,675.00, but every Orin NX 16 GB variant was observed sold out at verification on 17 July 2026, with the baseboard alone in stock at US$419 </w:t>
      </w:r>
      <w:r>
        <w:t xml:space="preserve">[153]</w:t>
      </w:r>
      <w:r>
        <w:t xml:space="preserve">. Any document quoting the bundle price must quote it as a list price subject to stock rather than an available purchase.</w:t>
      </w:r>
    </w:p>
    <w:p>
      <w:pPr>
        <w:pStyle w:val="Heading2"/>
      </w:pPr>
      <w:r>
        <w:rPr>
          <w:b/>
          <w:bCs/>
        </w:rPr>
        <w:t xml:space="preserve">6.2 Configuration B — Jetson Orin Nano Super</w:t>
      </w:r>
    </w:p>
    <w:p>
      <w:pPr>
        <w:spacing w:after="200" w:line="300" w:lineRule="auto"/>
      </w:pPr>
      <w:r>
        <w:t xml:space="preserve">At US$249, with 67 INT8 sparse TOPS and eight gigabytes of memory </w:t>
      </w:r>
      <w:r>
        <w:t xml:space="preserve">[142]</w:t>
      </w:r>
      <w:r>
        <w:t xml:space="preserve">, the Orin Nano Super measures 43.1 tok/s on a three-billion-parameter model under the same vendor methodology </w:t>
      </w:r>
      <w:r>
        <w:t xml:space="preserve">[140]</w:t>
      </w:r>
      <w:r>
        <w:t xml:space="preserve"> — very nearly the equal of its larger sibling at the working tier, for a fraction of the cost.</w:t>
      </w:r>
    </w:p>
    <w:p>
      <w:pPr>
        <w:spacing w:after="200" w:line="300" w:lineRule="auto"/>
      </w:pPr>
      <w:r>
        <w:t xml:space="preserve">Two considerations temper the recommendation. The eight-gigabyte ceiling constrains concurrent workloads, and independent evaluation </w:t>
      </w:r>
      <w:r>
        <w:t xml:space="preserve">[13]</w:t>
      </w:r>
      <w:r>
        <w:t xml:space="preserve"> finds the practical limit closer to the one-billion-parameter tier under contention. Separately, the integrated baseboard's Nano option ships a four-gigabyte part, which cannot hold a useful model at all. The Nano Super remains an excellent choice for a cost-constrained build committed to a small model.</w:t>
      </w:r>
    </w:p>
    <w:p>
      <w:pPr>
        <w:pStyle w:val="Heading2"/>
      </w:pPr>
      <w:r>
        <w:rPr>
          <w:b/>
          <w:bCs/>
        </w:rPr>
        <w:t xml:space="preserve">6.3 Configuration C — Raspberry Pi with Neural Acceleration: A Negative Finding</w:t>
      </w:r>
    </w:p>
    <w:p>
      <w:pPr>
        <w:spacing w:after="200" w:line="300" w:lineRule="auto"/>
      </w:pPr>
      <w:r>
        <w:t xml:space="preserve">The Raspberry Pi is the reflexive answer to any embedded-compute question, and the Raspberry Pi AI HAT+ is widely assumed to render it an artificial-intelligence platform. For language models this assumption is false, and the finding is significant enough to state without hedging.</w:t>
      </w:r>
    </w:p>
    <w:p>
      <w:pPr>
        <w:pBdr>
          <w:left w:val="single" w:color="C0392B" w:sz="18" w:space="12"/>
        </w:pBdr>
        <w:shd w:fill="FDECEA" w:val="clear"/>
        <w:spacing w:after="200" w:before="60"/>
        <w:ind w:left="300" w:right="300"/>
      </w:pPr>
      <w:r>
        <w:rPr>
          <w:b/>
          <w:bCs/>
          <w:color w:val="C0392B"/>
          <w:sz w:val="22"/>
          <w:szCs w:val="22"/>
        </w:rPr>
        <w:t xml:space="preserve">⚠ WARNING  </w:t>
      </w:r>
      <w:r>
        <w:rPr>
          <w:b/>
          <w:bCs/>
        </w:rPr>
        <w:t xml:space="preserve">Negative finding. </w:t>
      </w:r>
      <w:r>
        <w:t xml:space="preserve">The Raspberry Pi AI HAT+ (Hailo-8L, 13 TOPS; Hailo-8, 26 TOPS) cannot execute large language models at all. Both the board vendor and the silicon vendor document it as a vision and convolutional-network accelerator for object detection, pose estimation, and segmentation </w:t>
      </w:r>
      <w:r>
        <w:t xml:space="preserve">[146, 151]</w:t>
      </w:r>
      <w:r>
        <w:t xml:space="preserve">. Its integer-only dataflow architecture and absence of on-module memory make autoregressive transformer decode infeasible. Any build plan assuming this board accelerates a language model rests on a false premise.</w:t>
      </w:r>
    </w:p>
    <w:p>
      <w:pPr>
        <w:spacing w:after="200" w:line="300" w:lineRule="auto"/>
      </w:pPr>
      <w:r>
        <w:t xml:space="preserve">There is exactly one exception, and it is recent. The AI HAT+ 2, released 15 January 2026 at US$130, carries the Hailo-10H: forty INT4 TOPS, eight gigabytes of on-module memory, approximately 2.5 W active </w:t>
      </w:r>
      <w:r>
        <w:t xml:space="preserve">[147]</w:t>
      </w:r>
      <w:r>
        <w:t xml:space="preserve">. It does execute language models — but only models of roughly one to one-and-a-half billion parameters, and only those compiled to a proprietary format through a toolchain that runs on x86 hosts exclusively. Arbitrary models from the open ecosystem cannot be loaded.</w:t>
      </w:r>
    </w:p>
    <w:p>
      <w:pPr>
        <w:pStyle w:val="Heading3"/>
      </w:pPr>
      <w:r>
        <w:rPr>
          <w:b/>
          <w:bCs/>
        </w:rPr>
        <w:t xml:space="preserve">6.3.1 The throughput dispute</w:t>
      </w:r>
    </w:p>
    <w:p>
      <w:pPr>
        <w:spacing w:after="200" w:line="300" w:lineRule="auto"/>
      </w:pPr>
      <w:r>
        <w:t xml:space="preserve">Published throughput figures for this accelerator differ by roughly a factor of five. Per Section 2.4, we report the conflict rather than synthesizing a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400"/>
        <w:gridCol w:w="3060"/>
      </w:tblGrid>
      <w:tr>
        <w:trPr>
          <w:tblHeader/>
        </w:trPr>
        <w:tc>
          <w:tcPr>
            <w:tcW w:type="dxa" w:w="2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Source</w:t>
            </w:r>
          </w:p>
        </w:tc>
        <w:tc>
          <w:tcPr>
            <w:tcW w:type="dxa" w:w="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3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Claim</w:t>
            </w:r>
          </w:p>
        </w:tc>
        <w:tc>
          <w:tcPr>
            <w:tcW w:type="dxa" w:w="30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Assessment</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Vendor-adjacent press</w:t>
            </w:r>
          </w:p>
        </w:tc>
        <w:tc>
          <w:tcPr>
            <w:tcW w:type="dxa" w:w="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w:t>
            </w:r>
          </w:p>
        </w:tc>
        <w:tc>
          <w:tcPr>
            <w:tcW w:type="dxa" w:w="3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~30–50 tok/s, Llama 3.2 1B</w:t>
            </w:r>
          </w:p>
        </w:tc>
        <w:tc>
          <w:tcPr>
            <w:tcW w:type="dxa" w:w="30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Unreplicated</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Hailo (original)</w:t>
            </w:r>
          </w:p>
        </w:tc>
        <w:tc>
          <w:tcPr>
            <w:tcW w:type="dxa" w:w="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c>
          <w:tcPr>
            <w:tcW w:type="dxa" w:w="3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Llama2-7B at up to 10 tok/s under 5 W</w:t>
            </w:r>
          </w:p>
        </w:tc>
        <w:tc>
          <w:tcPr>
            <w:tcW w:type="dxa" w:w="30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Subsequently revised — see below</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CNX Software</w:t>
            </w:r>
          </w:p>
        </w:tc>
        <w:tc>
          <w:tcPr>
            <w:tcW w:type="dxa" w:w="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IB</w:t>
            </w:r>
          </w:p>
        </w:tc>
        <w:tc>
          <w:tcPr>
            <w:tcW w:type="dxa" w:w="3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6.7 tok/s vs 9.04 tok/s on Pi 5 CPU</w:t>
            </w:r>
          </w:p>
        </w:tc>
        <w:tc>
          <w:tcPr>
            <w:tcW w:type="dxa" w:w="30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Measured, DeepSeek-R1-1.5B</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arXiv:2603.23640</w:t>
            </w:r>
          </w:p>
        </w:tc>
        <w:tc>
          <w:tcPr>
            <w:tcW w:type="dxa" w:w="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PP</w:t>
            </w:r>
          </w:p>
        </w:tc>
        <w:tc>
          <w:tcPr>
            <w:tcW w:type="dxa" w:w="3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6.9 tok/s at &lt;2 W, near-zero variance</w:t>
            </w:r>
          </w:p>
        </w:tc>
        <w:tc>
          <w:tcPr>
            <w:tcW w:type="dxa" w:w="30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Formal methodology; corroborates</w:t>
            </w:r>
          </w:p>
        </w:tc>
      </w:tr>
    </w:tbl>
    <w:p>
      <w:pPr>
        <w:spacing w:after="200" w:line="300" w:lineRule="auto"/>
      </w:pPr>
      <w:r>
        <w:t xml:space="preserve">The independent measurement </w:t>
      </w:r>
      <w:r>
        <w:t xml:space="preserve">[148]</w:t>
      </w:r>
      <w:r>
        <w:t xml:space="preserve"> found the Raspberry Pi's own processor outperforming the accelerator purchased to assist it: 9.04 tokens per second on the CPU against 6.7 on the Hailo-10H, a result the reviewer characterized as disappointing. The formal edge-inference evaluation </w:t>
      </w:r>
      <w:r>
        <w:t xml:space="preserve">[13]</w:t>
      </w:r>
      <w:r>
        <w:t xml:space="preserve"> independently measures 6.9 tok/s at under 2 W with near-zero variance and supplies the mechanism: autoregressive decode is memory-bandwidth-bound rather than compute-bound, so the device cannot exploit its parallel compute units and its 40 TOPS rating is largely irrelevant to the workload. The Pi 5 and the Hailo-10H share comparable LPDDR4X memory subsystems, which explains why the accelerator confers no advantage.</w:t>
      </w:r>
    </w:p>
    <w:p>
      <w:pPr>
        <w:pBdr>
          <w:left w:val="single" w:color="B7791F" w:sz="18" w:space="12"/>
        </w:pBdr>
        <w:shd w:fill="FEF5E7" w:val="clear"/>
        <w:spacing w:after="200" w:before="60"/>
        <w:ind w:left="300" w:right="300"/>
      </w:pPr>
      <w:r>
        <w:rPr>
          <w:b/>
          <w:bCs/>
          <w:color w:val="B7791F"/>
          <w:sz w:val="22"/>
          <w:szCs w:val="22"/>
        </w:rPr>
        <w:t xml:space="preserve">↻ CORRECTION  </w:t>
      </w:r>
      <w:r>
        <w:rPr>
          <w:b/>
          <w:bCs/>
        </w:rPr>
        <w:t xml:space="preserve">The manufacturer's own revision. </w:t>
      </w:r>
      <w:r>
        <w:t xml:space="preserve">The dispute was settled by the vendor. Trade reporting </w:t>
      </w:r>
      <w:r>
        <w:t xml:space="preserve">[149]</w:t>
      </w:r>
      <w:r>
        <w:t xml:space="preserve"> documents Hailo revising its power-performance billing from a seven-billion-parameter, five-watt point — which the company acknowledged was “based on simulation of the same silicon” — to a measured point at approximately two billion parameters and 2.5 watts. The claim moved by more than a factor of three, and it moved because it had been simulated rather than measured. FLAGGED: this report is single-sourced and should be treated as provisional pending corroboration.</w:t>
      </w:r>
    </w:p>
    <w:p>
      <w:pPr>
        <w:spacing w:after="200" w:line="300" w:lineRule="auto"/>
      </w:pPr>
      <w:r>
        <w:t xml:space="preserve">We treat this episode as the paper's central worked example in evidentiary reasoning. It is not an indictment of the manufacturer, who corrected the record. It is an illustration of why Section 2.3's discipline exists: a figure that is simulated is a prediction, a figure that is measured is a result, and the two are routinely published in the same typeface.</w:t>
      </w:r>
    </w:p>
    <w:p>
      <w:pPr>
        <w:spacing w:after="200" w:line="300" w:lineRule="auto"/>
      </w:pPr>
      <w:r>
        <w:t xml:space="preserve">For completeness: a bare Pi 5 processor manages approximately 2–5 tok/s on a three-billion-parameter model and 5–15 on the one-to-one-and-a-half-billion tier </w:t>
      </w:r>
      <w:r>
        <w:t xml:space="preserve">[150]</w:t>
      </w:r>
      <w:r>
        <w:t xml:space="preserve">, with no ability to use its graphics processor for the task. The Raspberry Pi remains an excellent board and a defensible choice for flight-adjacent duties. It is not a language-model host for an aircraft at the tier this architecture requires, and no currently available accessory makes it one.</w:t>
      </w:r>
    </w:p>
    <w:p>
      <w:pPr>
        <w:pStyle w:val="Heading2"/>
      </w:pPr>
      <w:r>
        <w:rPr>
          <w:b/>
          <w:bCs/>
        </w:rPr>
        <w:t xml:space="preserve">6.4 Configuration D — Hub-Offloaded Inference</w:t>
      </w:r>
    </w:p>
    <w:p>
      <w:pPr>
        <w:spacing w:after="200" w:line="300" w:lineRule="auto"/>
      </w:pPr>
      <w:r>
        <w:t xml:space="preserve">The fourth configuration executes only vision and control aboard, dispatching natural-language work to the hub over the mesh. The hub is genuinely more capable, serving eight- to fourteen-billion-parameter models comfortably </w:t>
      </w:r>
      <w:r>
        <w:t xml:space="preserve">[165]</w:t>
      </w:r>
      <w:r>
        <w:t xml:space="preserve"> — far beyond any airborne module. On latency alone, within good wireless range, this configuration performs well.</w:t>
      </w:r>
    </w:p>
    <w:p>
      <w:pPr>
        <w:spacing w:after="200" w:line="300" w:lineRule="auto"/>
      </w:pPr>
      <w:r>
        <w:t xml:space="preserve">It fails the criterion at Section 4.1, and it fails it exactly where autonomy matters. Every natural-language command becomes a round trip over a radio; the aircraft's reasoning is available precisely as long as its wireless is. Beyond range or under interference, the aircraft is not a degraded intelligent system but an unintelligent one. Per Section 4.6, this is an availability defect rather than a latency defect, and it is not repairable by faster radios.</w:t>
      </w:r>
    </w:p>
    <w:p>
      <w:pPr>
        <w:spacing w:after="200" w:line="300" w:lineRule="auto"/>
      </w:pPr>
      <w:r>
        <w:t xml:space="preserve">Hub-offload is therefore adopted, but only in the role Section 5.5 specifies: an optional escalation within the peer model, never the primary.</w:t>
      </w:r>
    </w:p>
    <w:p>
      <w:pPr>
        <w:pStyle w:val="Heading2"/>
      </w:pPr>
      <w:r>
        <w:rPr>
          <w:b/>
          <w:bCs/>
        </w:rPr>
        <w:t xml:space="preserve">6.5 Model Selection</w:t>
      </w:r>
    </w:p>
    <w:p>
      <w:pPr>
        <w:spacing w:after="200" w:line="300" w:lineRule="auto"/>
      </w:pPr>
      <w:r>
        <w:t xml:space="preserve">Model choice is not a matter of taste, because the literature names names. The PX4 natural-language study </w:t>
      </w:r>
      <w:r>
        <w:t xml:space="preserve">[36]</w:t>
      </w:r>
      <w:r>
        <w:t xml:space="preserve"> found Gemma 3, Qwen 2.5, and Llama 3.2 each producing 100% valid flight commands against DeepSeek-LLM's 38% </w:t>
      </w:r>
      <w:r>
        <w:t xml:space="preserve">[173]</w:t>
      </w:r>
      <w:r>
        <w:t xml:space="preserve">. A model family that generates invalid flight commands three-fifths of the time is not a candidate for an aircraft, and this is a rare instance of published evidence resolving a design decision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900"/>
        <w:gridCol w:w="4760"/>
      </w:tblGrid>
      <w:tr>
        <w:trPr>
          <w:tblHeader/>
        </w:trPr>
        <w:tc>
          <w:tcPr>
            <w:tcW w:type="dxa" w:w="1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Model</w:t>
            </w:r>
          </w:p>
        </w:tc>
        <w:tc>
          <w:tcPr>
            <w:tcW w:type="dxa" w:w="10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Params</w:t>
            </w:r>
          </w:p>
        </w:tc>
        <w:tc>
          <w:tcPr>
            <w:tcW w:type="dxa" w:w="19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License</w:t>
            </w:r>
          </w:p>
        </w:tc>
        <w:tc>
          <w:tcPr>
            <w:tcW w:type="dxa" w:w="47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Rationale</w:t>
            </w:r>
          </w:p>
        </w:tc>
      </w:tr>
      <w:tr>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Llama 3.2 3B</w:t>
            </w:r>
          </w:p>
        </w:tc>
        <w:tc>
          <w:tcPr>
            <w:tcW w:type="dxa" w:w="1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3B</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Llama 3.2 Community</w:t>
            </w:r>
          </w:p>
        </w:tc>
        <w:tc>
          <w:tcPr>
            <w:tcW w:type="dxa" w:w="47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Compatibility baseline; 100% valid-command family</w:t>
            </w:r>
          </w:p>
        </w:tc>
      </w:tr>
      <w:tr>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Gemma 3 4B</w:t>
            </w:r>
          </w:p>
        </w:tc>
        <w:tc>
          <w:tcPr>
            <w:tcW w:type="dxa" w:w="1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4B</w:t>
            </w:r>
          </w:p>
        </w:tc>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Gemma Terms</w:t>
            </w:r>
          </w:p>
        </w:tc>
        <w:tc>
          <w:tcPr>
            <w:tcW w:type="dxa" w:w="47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Multimodal; 100% valid-command family</w:t>
            </w:r>
          </w:p>
        </w:tc>
      </w:tr>
      <w:tr>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Qwen 3 4B</w:t>
            </w:r>
          </w:p>
        </w:tc>
        <w:tc>
          <w:tcPr>
            <w:tcW w:type="dxa" w:w="1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4B</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Apache 2.0</w:t>
            </w:r>
          </w:p>
        </w:tc>
        <w:tc>
          <w:tcPr>
            <w:tcW w:type="dxa" w:w="47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Strongest tool-calling; permissive license</w:t>
            </w:r>
          </w:p>
        </w:tc>
      </w:tr>
      <w:tr>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Phi-4-mini</w:t>
            </w:r>
          </w:p>
        </w:tc>
        <w:tc>
          <w:tcPr>
            <w:tcW w:type="dxa" w:w="1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3.8B</w:t>
            </w:r>
          </w:p>
        </w:tc>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MIT</w:t>
            </w:r>
          </w:p>
        </w:tc>
        <w:tc>
          <w:tcPr>
            <w:tcW w:type="dxa" w:w="47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Reasoning density per parameter</w:t>
            </w:r>
          </w:p>
        </w:tc>
      </w:tr>
      <w:tr>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SmolLM2 1.7B</w:t>
            </w:r>
          </w:p>
        </w:tc>
        <w:tc>
          <w:tcPr>
            <w:tcW w:type="dxa" w:w="1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1.7B</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Apache 2.0</w:t>
            </w:r>
          </w:p>
        </w:tc>
        <w:tc>
          <w:tcPr>
            <w:tcW w:type="dxa" w:w="47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Latency fallback tier</w:t>
            </w:r>
          </w:p>
        </w:tc>
      </w:tr>
      <w:tr>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FunctionGemma</w:t>
            </w:r>
          </w:p>
        </w:tc>
        <w:tc>
          <w:tcPr>
            <w:tcW w:type="dxa" w:w="1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270M</w:t>
            </w:r>
          </w:p>
        </w:tc>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Gemma Terms</w:t>
            </w:r>
          </w:p>
        </w:tc>
        <w:tc>
          <w:tcPr>
            <w:tcW w:type="dxa" w:w="47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Function-calling specialist</w:t>
            </w:r>
          </w:p>
        </w:tc>
      </w:tr>
      <w:tr>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LFM2 / LFM2.5</w:t>
            </w:r>
          </w:p>
        </w:tc>
        <w:tc>
          <w:tcPr>
            <w:tcW w:type="dxa" w:w="1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0.35–2.6B</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Open weights</w:t>
            </w:r>
          </w:p>
        </w:tc>
        <w:tc>
          <w:tcPr>
            <w:tcW w:type="dxa" w:w="47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Tokens-per-watt at the small tier</w:t>
            </w:r>
          </w:p>
        </w:tc>
      </w:tr>
    </w:tbl>
    <w:p>
      <w:pPr>
        <w:spacing w:after="200" w:line="300" w:lineRule="auto"/>
      </w:pPr>
      <w:r>
        <w:t xml:space="preserve">The 2026 small-model landscape </w:t>
      </w:r>
      <w:r>
        <w:t xml:space="preserve">[166, 167, 168, 169, 170, 171, 172]</w:t>
      </w:r>
      <w:r>
        <w:t xml:space="preserve"> is materially stronger than that of even a year prior, and the working recommendation is a three- to four-billion-parameter model from a family with published evidence of valid command generation, with a one-to-two-billion-parameter model held in reserve as a low-latency fallback.</w:t>
      </w:r>
    </w:p>
    <w:p>
      <w:pPr>
        <w:pBdr>
          <w:left w:val="single" w:color="134074" w:sz="18" w:space="12"/>
        </w:pBdr>
        <w:shd w:fill="EEF2F7" w:val="clear"/>
        <w:spacing w:after="200" w:before="60"/>
        <w:ind w:left="300" w:right="300"/>
      </w:pPr>
      <w:r>
        <w:rPr>
          <w:b/>
          <w:bCs/>
          <w:color w:val="134074"/>
          <w:sz w:val="22"/>
          <w:szCs w:val="22"/>
        </w:rPr>
        <w:t xml:space="preserve">▸ NOTE  </w:t>
      </w:r>
      <w:r>
        <w:t xml:space="preserve">License note: Llama 3.2 is distributed under a community license rather than a standard open-source license </w:t>
      </w:r>
      <w:r>
        <w:t xml:space="preserve">[170]</w:t>
      </w:r>
      <w:r>
        <w:t xml:space="preserve">; Qwen 3 </w:t>
      </w:r>
      <w:r>
        <w:t xml:space="preserve">[166]</w:t>
      </w:r>
      <w:r>
        <w:t xml:space="preserve"> and SmolLM2 </w:t>
      </w:r>
      <w:r>
        <w:t xml:space="preserve">[171]</w:t>
      </w:r>
      <w:r>
        <w:t xml:space="preserve"> are Apache 2.0. For a project whose central commitment is operator autonomy, the license tier is not an incidental detail, and the tension between “best compatibility” and “genuinely open” is real and unresolved here.</w:t>
      </w:r>
    </w:p>
    <w:p>
      <w:pPr>
        <w:pStyle w:val="Heading2"/>
      </w:pPr>
      <w:r>
        <w:rPr>
          <w:b/>
          <w:bCs/>
        </w:rPr>
        <w:t xml:space="preserve">6.6 Runtime Selection and the Thermal Constraint</w:t>
      </w:r>
    </w:p>
    <w:p>
      <w:pPr>
        <w:spacing w:after="200" w:line="300" w:lineRule="auto"/>
      </w:pPr>
      <w:r>
        <w:t xml:space="preserve">On this platform the container ecosystem </w:t>
      </w:r>
      <w:r>
        <w:t xml:space="preserve">[145]</w:t>
      </w:r>
      <w:r>
        <w:t xml:space="preserve"> supplies llama.cpp, Ollama, MLC-LLM, and vLLM. MLC through the TVM stack </w:t>
      </w:r>
      <w:r>
        <w:t xml:space="preserve">[12, 18]</w:t>
      </w:r>
      <w:r>
        <w:t xml:space="preserve"> underlies the vendor's headline figures and is the fastest path; llama.cpp </w:t>
      </w:r>
      <w:r>
        <w:t xml:space="preserve">[16]</w:t>
      </w:r>
      <w:r>
        <w:t xml:space="preserve"> is the most portable; Ollama </w:t>
      </w:r>
      <w:r>
        <w:t xml:space="preserve">[17]</w:t>
      </w:r>
      <w:r>
        <w:t xml:space="preserve"> is the easiest to install and, on independent measurement of sub-one-billion-parameter models, materially slower than llama.cpp </w:t>
      </w:r>
      <w:r>
        <w:t xml:space="preserve">[13]</w:t>
      </w:r>
      <w:r>
        <w:t xml:space="preserve">.</w:t>
      </w:r>
    </w:p>
    <w:p>
      <w:pPr>
        <w:spacing w:after="200" w:line="300" w:lineRule="auto"/>
      </w:pPr>
      <w:r>
        <w:t xml:space="preserve">Sustained inference draws between fifteen and forty watts depending on the selected power mode </w:t>
      </w:r>
      <w:r>
        <w:t xml:space="preserve">[143]</w:t>
      </w:r>
      <w:r>
        <w:t xml:space="preserve">. The uncapped profile is appropriate for bench benchmarking and inappropriate for flight until a thermal test at the intended sortie duration has established a cap that holds. This is, in our assessment, the most likely cause of a system that demonstrates correctly on a desk and fails in the air: the module is not being asked to do anything different, only to do it in a warm enclosed airframe under sustained load.</w:t>
      </w:r>
    </w:p>
    <w:p>
      <w:pPr>
        <w:pStyle w:val="Heading2"/>
      </w:pPr>
      <w:r>
        <w:rPr>
          <w:b/>
          <w:bCs/>
        </w:rPr>
        <w:t xml:space="preserve">6.7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200"/>
        <w:gridCol w:w="1500"/>
        <w:gridCol w:w="1600"/>
        <w:gridCol w:w="1260"/>
      </w:tblGrid>
      <w:tr>
        <w:trPr>
          <w:tblHeader/>
        </w:trPr>
        <w:tc>
          <w:tcPr>
            <w:tcW w:type="dxa" w:w="21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Configuration</w:t>
            </w:r>
          </w:p>
        </w:tc>
        <w:tc>
          <w:tcPr>
            <w:tcW w:type="dxa" w:w="1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Real tok/s (3B)</w:t>
            </w:r>
          </w:p>
        </w:tc>
        <w:tc>
          <w:tcPr>
            <w:tcW w:type="dxa" w:w="1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Mass</w:t>
            </w:r>
          </w:p>
        </w:tc>
        <w:tc>
          <w:tcPr>
            <w:tcW w:type="dxa" w:w="15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Cost</w:t>
            </w:r>
          </w:p>
        </w:tc>
        <w:tc>
          <w:tcPr>
            <w:tcW w:type="dxa" w:w="16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Link-indep.</w:t>
            </w:r>
          </w:p>
        </w:tc>
        <w:tc>
          <w:tcPr>
            <w:tcW w:type="dxa" w:w="12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Verdict</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Orin NX 16 GB</w:t>
            </w:r>
          </w:p>
        </w:tc>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~17–25</w:t>
            </w:r>
          </w:p>
        </w:tc>
        <w:tc>
          <w:tcPr>
            <w:tcW w:type="dxa" w:w="1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203 g assy</w:t>
            </w:r>
          </w:p>
        </w:tc>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$1,655–1,675*</w:t>
            </w:r>
          </w:p>
        </w:tc>
        <w:tc>
          <w:tcPr>
            <w:tcW w:type="dxa" w:w="1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Yes</w:t>
            </w:r>
          </w:p>
        </w:tc>
        <w:tc>
          <w:tcPr>
            <w:tcW w:type="dxa" w:w="1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RECOMMENDED</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Orin Nano Super</w:t>
            </w:r>
          </w:p>
        </w:tc>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~20–30 est.</w:t>
            </w:r>
          </w:p>
        </w:tc>
        <w:tc>
          <w:tcPr>
            <w:tcW w:type="dxa" w:w="1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~180 g est.</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$249</w:t>
            </w:r>
          </w:p>
        </w:tc>
        <w:tc>
          <w:tcPr>
            <w:tcW w:type="dxa" w:w="1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Yes</w:t>
            </w:r>
          </w:p>
        </w:tc>
        <w:tc>
          <w:tcPr>
            <w:tcW w:type="dxa" w:w="1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Budget alternative</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Pi 5 + AI HAT+ 2</w:t>
            </w:r>
          </w:p>
        </w:tc>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n/a (1–1.5B only)</w:t>
            </w:r>
          </w:p>
        </w:tc>
        <w:tc>
          <w:tcPr>
            <w:tcW w:type="dxa" w:w="1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~120 g</w:t>
            </w:r>
          </w:p>
        </w:tc>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$255</w:t>
            </w:r>
          </w:p>
        </w:tc>
        <w:tc>
          <w:tcPr>
            <w:tcW w:type="dxa" w:w="1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Yes, 1B ceiling</w:t>
            </w:r>
          </w:p>
        </w:tc>
        <w:tc>
          <w:tcPr>
            <w:tcW w:type="dxa" w:w="1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Flight-adjacent only</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Pi 5 + AI HAT+ (Hailo-8)</w:t>
            </w:r>
          </w:p>
        </w:tc>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Cannot run LLMs</w:t>
            </w:r>
          </w:p>
        </w:tc>
        <w:tc>
          <w:tcPr>
            <w:tcW w:type="dxa" w:w="1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~120 g</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$195</w:t>
            </w:r>
          </w:p>
        </w:tc>
        <w:tc>
          <w:tcPr>
            <w:tcW w:type="dxa" w:w="1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n/a</w:t>
            </w:r>
          </w:p>
        </w:tc>
        <w:tc>
          <w:tcPr>
            <w:tcW w:type="dxa" w:w="1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REJECTED</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Pi 5 CPU only</w:t>
            </w:r>
          </w:p>
        </w:tc>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~2–5</w:t>
            </w:r>
          </w:p>
        </w:tc>
        <w:tc>
          <w:tcPr>
            <w:tcW w:type="dxa" w:w="1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~60 g</w:t>
            </w:r>
          </w:p>
        </w:tc>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$125</w:t>
            </w:r>
          </w:p>
        </w:tc>
        <w:tc>
          <w:tcPr>
            <w:tcW w:type="dxa" w:w="1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Yes, too slow</w:t>
            </w:r>
          </w:p>
        </w:tc>
        <w:tc>
          <w:tcPr>
            <w:tcW w:type="dxa" w:w="1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Rejected</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Hub-offload</w:t>
            </w:r>
          </w:p>
        </w:tc>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Hub-class (8–14B)</w:t>
            </w:r>
          </w:p>
        </w:tc>
        <w:tc>
          <w:tcPr>
            <w:tcW w:type="dxa" w:w="1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0 g</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$0</w:t>
            </w:r>
          </w:p>
        </w:tc>
        <w:tc>
          <w:tcPr>
            <w:tcW w:type="dxa" w:w="1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NO</w:t>
            </w:r>
          </w:p>
        </w:tc>
        <w:tc>
          <w:tcPr>
            <w:tcW w:type="dxa" w:w="1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Escalation only</w:t>
            </w:r>
          </w:p>
        </w:tc>
      </w:tr>
    </w:tbl>
    <w:p>
      <w:pPr>
        <w:spacing w:after="200" w:line="300" w:lineRule="auto"/>
      </w:pPr>
      <w:r>
        <w:rPr>
          <w:i/>
          <w:iCs/>
        </w:rPr>
        <w:t xml:space="preserve">* List price; all Orin NX 16 GB bundle variants observed sold out at verification. Module and baseboard separately: ~$599–734 + $419.</w:t>
      </w:r>
    </w:p>
    <w:p>
      <w:pPr>
        <w:pStyle w:val="Heading3"/>
      </w:pPr>
      <w:r>
        <w:rPr>
          <w:b/>
          <w:bCs/>
        </w:rPr>
        <w:t xml:space="preserve">6.7.1 Thresholds that reverse this recommendation</w:t>
      </w:r>
    </w:p>
    <w:p>
      <w:pPr>
        <w:pStyle w:val="ListParagraph"/>
        <w:numPr>
          <w:ilvl w:val="0"/>
          <w:numId w:val="3"/>
        </w:numPr>
        <w:spacing w:after="100" w:line="300" w:lineRule="auto"/>
      </w:pPr>
      <w:r>
        <w:t xml:space="preserve">If the aircraft will only ever parse commands at the one-billion-parameter scale, accepts a proprietary model corpus, and prioritizes mass and cost above all — the Pi 5 with the AI HAT+ 2 becomes defensible at US$130.</w:t>
      </w:r>
    </w:p>
    <w:p>
      <w:pPr>
        <w:pStyle w:val="ListParagraph"/>
        <w:numPr>
          <w:ilvl w:val="0"/>
          <w:numId w:val="3"/>
        </w:numPr>
        <w:spacing w:after="100" w:line="300" w:lineRule="auto"/>
      </w:pPr>
      <w:r>
        <w:t xml:space="preserve">If budget binds — the Orin Nano Super delivers the three-billion-parameter tier at US$249, accepting the eight-gigabyte ceiling.</w:t>
      </w:r>
    </w:p>
    <w:p>
      <w:pPr>
        <w:pStyle w:val="ListParagraph"/>
        <w:numPr>
          <w:ilvl w:val="0"/>
          <w:numId w:val="3"/>
        </w:numPr>
        <w:spacing w:after="100" w:line="300" w:lineRule="auto"/>
      </w:pPr>
      <w:r>
        <w:t xml:space="preserve">If the deployment envelope demonstrably never leaves reliable link range — hub-offload becomes acceptable, at the cost of forfeiting the autonomy claim and, per Section 4.4, the paper's thesis with it.</w:t>
      </w:r>
    </w:p>
    <w:p>
      <w:pPr>
        <w:pStyle w:val="ListParagraph"/>
        <w:numPr>
          <w:ilvl w:val="0"/>
          <w:numId w:val="3"/>
        </w:numPr>
        <w:spacing w:after="100" w:line="300" w:lineRule="auto"/>
      </w:pPr>
      <w:r>
        <w:t xml:space="preserve">If a future module materially improves tokens-per-watt at this tier — the analysis reopens. Nothing in the architecture is coupled to specific silicon.</w:t>
      </w:r>
    </w:p>
    <w:p>
      <w:r>
        <w:br w:type="page"/>
      </w:r>
    </w:p>
    <w:p>
      <w:pPr>
        <w:pStyle w:val="Heading1"/>
      </w:pPr>
      <w:r>
        <w:rPr>
          <w:b/>
          <w:bCs/>
        </w:rPr>
        <w:t xml:space="preserve">7. The Grounding Problem and the Safety Architecture</w:t>
      </w:r>
    </w:p>
    <w:p>
      <w:pPr>
        <w:pStyle w:val="Heading2"/>
      </w:pPr>
      <w:r>
        <w:rPr>
          <w:b/>
          <w:bCs/>
        </w:rPr>
        <w:t xml:space="preserve">7.1 The Objection Restated</w:t>
      </w:r>
    </w:p>
    <w:p>
      <w:pPr>
        <w:spacing w:after="200" w:line="300" w:lineRule="auto"/>
      </w:pPr>
      <w:r>
        <w:t xml:space="preserve">Section 4.5 stated the strongest objection to this work: language models are ungrounded, and their leading practitioners say so in print </w:t>
      </w:r>
      <w:r>
        <w:t xml:space="preserve">[37, 38]</w:t>
      </w:r>
      <w:r>
        <w:t xml:space="preserve">. The objection is not that models are imperfect — all engineering artifacts are. It is that a language model has no representation of physical consequence, and that its errors are therefore not merely wrong but </w:t>
      </w:r>
      <w:r>
        <w:rPr>
          <w:i/>
          <w:iCs/>
        </w:rPr>
        <w:t xml:space="preserve">uncorrelated with physical danger</w:t>
      </w:r>
      <w:r>
        <w:t xml:space="preserve">. A model is exactly as fluent when proposing a safe action as an unsafe one. The symbol-grounding literature </w:t>
      </w:r>
      <w:r>
        <w:t xml:space="preserve">[45]</w:t>
      </w:r>
      <w:r>
        <w:t xml:space="preserve"> locates this as a structural property rather than a defect awaiting a patch.</w:t>
      </w:r>
    </w:p>
    <w:p>
      <w:pPr>
        <w:spacing w:after="200" w:line="300" w:lineRule="auto"/>
      </w:pPr>
      <w:r>
        <w:t xml:space="preserve">This paper accepts the objection in full. We do not argue that the models are better grounded than their authors claim, and we do not appeal to scale, prompting, or fine-tuning to close the gap.</w:t>
      </w:r>
    </w:p>
    <w:p>
      <w:pPr>
        <w:pStyle w:val="Heading2"/>
      </w:pPr>
      <w:r>
        <w:rPr>
          <w:b/>
          <w:bCs/>
        </w:rPr>
        <w:t xml:space="preserve">7.2 The Architectural Resolution</w:t>
      </w:r>
    </w:p>
    <w:p>
      <w:pPr>
        <w:spacing w:after="200" w:line="300" w:lineRule="auto"/>
      </w:pPr>
      <w:r>
        <w:t xml:space="preserve">The objection is decisive against one architecture and silent against another. It defeats any design in which the language model is in the control path. It says nothing about a design in which the model is confined to an advisory tier above a deterministic controller that the model cannot override.</w:t>
      </w:r>
    </w:p>
    <w:p>
      <w:pPr>
        <w:spacing w:after="200" w:line="300" w:lineRule="auto"/>
      </w:pPr>
      <w:r>
        <w:t xml:space="preserve">The four-stage automation model </w:t>
      </w:r>
      <w:r>
        <w:t xml:space="preserve">[91]</w:t>
      </w:r>
      <w:r>
        <w:t xml:space="preserve"> makes the distinction precise. Automation applies independently to information acquisition, information analysis, decision and action selection, and action implementation. The claim that language models are unsafe for robotics is, properly stated, a claim about the fourth stage. This architecture places the model at stages two and three and excludes it categorically from stage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200"/>
        <w:gridCol w:w="1700"/>
        <w:gridCol w:w="1560"/>
      </w:tblGrid>
      <w:tr>
        <w:trPr>
          <w:tblHeader/>
        </w:trPr>
        <w:tc>
          <w:tcPr>
            <w:tcW w:type="dxa" w:w="15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Tier</w:t>
            </w:r>
          </w:p>
        </w:tc>
        <w:tc>
          <w:tcPr>
            <w:tcW w:type="dxa" w:w="2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Component</w:t>
            </w:r>
          </w:p>
        </w:tc>
        <w:tc>
          <w:tcPr>
            <w:tcW w:type="dxa" w:w="2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Determinism</w:t>
            </w:r>
          </w:p>
        </w:tc>
        <w:tc>
          <w:tcPr>
            <w:tcW w:type="dxa" w:w="1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Authority</w:t>
            </w:r>
          </w:p>
        </w:tc>
        <w:tc>
          <w:tcPr>
            <w:tcW w:type="dxa" w:w="1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Failure mode</w:t>
            </w:r>
          </w:p>
        </w:tc>
      </w:tr>
      <w:tr>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Cognition</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3–4B LLM on Jetson</w:t>
            </w:r>
          </w:p>
        </w:tc>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Stochastic</w:t>
            </w:r>
          </w:p>
        </w:tc>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Proposes only</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Degraded capability</w:t>
            </w:r>
          </w:p>
        </w:tc>
      </w:tr>
      <w:tr>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Authorization</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Human confirmation gate</w:t>
            </w:r>
          </w:p>
        </w:tc>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Deterministic</w:t>
            </w:r>
          </w:p>
        </w:tc>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Permits or denies</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Denies (fail-closed)</w:t>
            </w:r>
          </w:p>
        </w:tc>
      </w:tr>
      <w:tr>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Control</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PX4 on Pixhawk 6X</w:t>
            </w:r>
          </w:p>
        </w:tc>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Deterministic, hard real-time</w:t>
            </w:r>
          </w:p>
        </w:tc>
        <w:tc>
          <w:tcPr>
            <w:tcW w:type="dxa" w:w="1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Executes and overrides</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Failsafe ladder</w:t>
            </w:r>
          </w:p>
        </w:tc>
      </w:tr>
      <w:tr>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Record</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Hash-chained audit log</w:t>
            </w:r>
          </w:p>
        </w:tc>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Deterministic</w:t>
            </w:r>
          </w:p>
        </w:tc>
        <w:tc>
          <w:tcPr>
            <w:tcW w:type="dxa" w:w="1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Observes all</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Detectable</w:t>
            </w:r>
          </w:p>
        </w:tc>
      </w:tr>
    </w:tbl>
    <w:p>
      <w:pPr>
        <w:pBdr>
          <w:left w:val="single" w:color="1E8449" w:sz="18" w:space="12"/>
        </w:pBdr>
        <w:shd w:fill="E9F7EF" w:val="clear"/>
        <w:spacing w:after="200" w:before="60"/>
        <w:ind w:left="300" w:right="300"/>
      </w:pPr>
      <w:r>
        <w:rPr>
          <w:b/>
          <w:bCs/>
          <w:color w:val="1E8449"/>
          <w:sz w:val="22"/>
          <w:szCs w:val="22"/>
        </w:rPr>
        <w:t xml:space="preserve">✔ VERIFIED  </w:t>
      </w:r>
      <w:r>
        <w:t xml:space="preserve">The language model is never in the flight-critical control path. Loss of the model, the hub, or the mesh degrades capability without degrading flight safety, because the flight controller's failsafe ladder executes independently of all three </w:t>
      </w:r>
      <w:r>
        <w:t xml:space="preserve">[160]</w:t>
      </w:r>
      <w:r>
        <w:t xml:space="preserve">. This is the property that makes an ungrounded model tolerable aboard a physical vehicle.</w:t>
      </w:r>
    </w:p>
    <w:p>
      <w:pPr>
        <w:pStyle w:val="Heading2"/>
      </w:pPr>
      <w:r>
        <w:rPr>
          <w:b/>
          <w:bCs/>
        </w:rPr>
        <w:t xml:space="preserve">7.3 Why Separation Is Not Merely Prudent</w:t>
      </w:r>
    </w:p>
    <w:p>
      <w:pPr>
        <w:spacing w:after="200" w:line="300" w:lineRule="auto"/>
      </w:pPr>
      <w:r>
        <w:t xml:space="preserve">The separation of stochastic cognition from deterministic control is not a conservative choice adopted out of caution; it is required by the reliability literature. Avizienis et al.'s taxonomy of dependable computing </w:t>
      </w:r>
      <w:r>
        <w:t xml:space="preserve">[131]</w:t>
      </w:r>
      <w:r>
        <w:t xml:space="preserve"> and the partitioning literature from avionics </w:t>
      </w:r>
      <w:r>
        <w:t xml:space="preserve">[139]</w:t>
      </w:r>
      <w:r>
        <w:t xml:space="preserve"> both establish that components of differing assurance levels must be isolated such that the lower-assurance component cannot compromise the higher. Leveson's systems-theoretic analysis </w:t>
      </w:r>
      <w:r>
        <w:t xml:space="preserve">[132]</w:t>
      </w:r>
      <w:r>
        <w:t xml:space="preserve"> makes the complementary point that accidents in complex systems arise from inadequate control structure rather than component failure per se — which is precisely what an ungrounded model in a control path would constitute. The safety-critical systems literature </w:t>
      </w:r>
      <w:r>
        <w:t xml:space="preserve">[133]</w:t>
      </w:r>
      <w:r>
        <w:t xml:space="preserve"> identified the general challenge decades earlier, and structured hazard analysis </w:t>
      </w:r>
      <w:r>
        <w:t xml:space="preserve">[138]</w:t>
      </w:r>
      <w:r>
        <w:t xml:space="preserve"> supplies the method by which the failure modes of each tier in Section 7.2 are enumerated rather than assumed.</w:t>
      </w:r>
    </w:p>
    <w:p>
      <w:pPr>
        <w:spacing w:after="200" w:line="300" w:lineRule="auto"/>
      </w:pPr>
      <w:r>
        <w:t xml:space="preserve">The formal safety standards </w:t>
      </w:r>
      <w:r>
        <w:t xml:space="preserve">[134, 135, 136, 137]</w:t>
      </w:r>
      <w:r>
        <w:t xml:space="preserve"> institutionalize this principle through integrity levels. This system is not certified under any of them and does not claim to be; a hobbyist aircraft is outside their scope. But their central architectural insight — that assurance is a property of structure rather than of testing — applies regardless of certification status, and it is the insight this architecture implements.</w:t>
      </w:r>
    </w:p>
    <w:p>
      <w:pPr>
        <w:spacing w:after="200" w:line="300" w:lineRule="auto"/>
      </w:pPr>
      <w:r>
        <w:t xml:space="preserve">The networked-control-systems literature </w:t>
      </w:r>
      <w:r>
        <w:t xml:space="preserve">[128, 129]</w:t>
      </w:r>
      <w:r>
        <w:t xml:space="preserve"> supplies the final piece: a feedback loop closed over a lossy network has stability properties that degrade with delay and loss. This is a further and independent reason the control tier cannot traverse the mesh, and it is why the flight-safety path in Figure 1 passes through the autopilot alone.</w:t>
      </w:r>
    </w:p>
    <w:p>
      <w:pPr>
        <w:pBdr>
          <w:left w:val="single" w:color="C0392B" w:sz="18" w:space="12"/>
        </w:pBdr>
        <w:shd w:fill="FDECEA" w:val="clear"/>
        <w:spacing w:after="200" w:before="60"/>
        <w:ind w:left="300" w:right="300"/>
      </w:pPr>
      <w:r>
        <w:rPr>
          <w:b/>
          <w:bCs/>
          <w:color w:val="C0392B"/>
          <w:sz w:val="22"/>
          <w:szCs w:val="22"/>
        </w:rPr>
        <w:t xml:space="preserve">⚠ WARNING  </w:t>
      </w:r>
      <w:r>
        <w:rPr>
          <w:b/>
          <w:bCs/>
        </w:rPr>
        <w:t xml:space="preserve">An honest gap. </w:t>
      </w:r>
      <w:r>
        <w:t xml:space="preserve">Industry guidance holds that a companion-computer link lost for more than roughly two hundred milliseconds should already be triggering a transition to a safe holding mode. We have been unable to source this threshold to a primary result in the networked-control literature. It is stated here as an engineering design choice, not as an established finding, and it is flagged in Section 12.1 accordingly.</w:t>
      </w:r>
    </w:p>
    <w:p>
      <w:pPr>
        <w:pStyle w:val="Heading2"/>
      </w:pPr>
      <w:r>
        <w:rPr>
          <w:b/>
          <w:bCs/>
        </w:rPr>
        <w:t xml:space="preserve">7.4 Meaningful Human Control</w:t>
      </w:r>
    </w:p>
    <w:p>
      <w:pPr>
        <w:spacing w:after="200" w:line="300" w:lineRule="auto"/>
      </w:pPr>
      <w:r>
        <w:t xml:space="preserve">The philosophical account of meaningful human control </w:t>
      </w:r>
      <w:r>
        <w:t xml:space="preserve">[90]</w:t>
      </w:r>
      <w:r>
        <w:t xml:space="preserve"> imposes two conditions. The </w:t>
      </w:r>
      <w:r>
        <w:rPr>
          <w:i/>
          <w:iCs/>
        </w:rPr>
        <w:t xml:space="preserve">tracking</w:t>
      </w:r>
      <w:r>
        <w:t xml:space="preserve"> condition requires that the system respond to the relevant reasons of the humans governing it. The </w:t>
      </w:r>
      <w:r>
        <w:rPr>
          <w:i/>
          <w:iCs/>
        </w:rPr>
        <w:t xml:space="preserve">tracing</w:t>
      </w:r>
      <w:r>
        <w:t xml:space="preserve"> condition requires that at least one human in the design and operation chain understand the system's capabilities and be positioned to appreciate the moral consequences of its actions. Both derive from Fischer and Ravizza's guidance-control theory </w:t>
      </w:r>
      <w:r>
        <w:t xml:space="preserve">[96]</w:t>
      </w:r>
      <w:r>
        <w:t xml:space="preserve">, and both address the responsibility gap </w:t>
      </w:r>
      <w:r>
        <w:t xml:space="preserve">[97]</w:t>
      </w:r>
      <w:r>
        <w:t xml:space="preserve"> that arises when an autonomous system acts without an identifiable responsible agent.</w:t>
      </w:r>
    </w:p>
    <w:p>
      <w:pPr>
        <w:spacing w:after="200" w:line="300" w:lineRule="auto"/>
      </w:pPr>
      <w:r>
        <w:t xml:space="preserve">The architecture satisfies both. Tracking is satisfied because no action executes without an explicit human confirmation responsive to that specific proposal in that specific situation. Tracing is satisfied because the operator is the designer, the pilot in command, and the party who will answer for the aircraft's behaviour.</w:t>
      </w:r>
    </w:p>
    <w:p>
      <w:pPr>
        <w:spacing w:after="200" w:line="300" w:lineRule="auto"/>
      </w:pPr>
      <w:r>
        <w:t xml:space="preserve">A caution the human-factors literature insists upon: a confirmation gate is not automatically meaningful. Automation bias </w:t>
      </w:r>
      <w:r>
        <w:t xml:space="preserve">[98]</w:t>
      </w:r>
      <w:r>
        <w:t xml:space="preserve"> and the trust literature </w:t>
      </w:r>
      <w:r>
        <w:t xml:space="preserve">[93, 95]</w:t>
      </w:r>
      <w:r>
        <w:t xml:space="preserve"> establish that operators reliably under-scrutinize automated proposals, particularly when those proposals are usually correct. A gate that a human clicks through reflexively provides the appearance of control without its substance. This is a genuine and unresolved weakness of the present design, and Section 12.3 treats it as such rather than claiming the gate disposes of the problem.</w:t>
      </w:r>
    </w:p>
    <w:p>
      <w:pPr>
        <w:pStyle w:val="Heading2"/>
      </w:pPr>
      <w:r>
        <w:rPr>
          <w:b/>
          <w:bCs/>
        </w:rPr>
        <w:t xml:space="preserve">7.5 Refusal as a Requirement</w:t>
      </w:r>
    </w:p>
    <w:p>
      <w:pPr>
        <w:spacing w:after="200" w:line="300" w:lineRule="auto"/>
      </w:pPr>
      <w:r>
        <w:t xml:space="preserve">An out-of-scope request must produce a refusal, not an improvisation. This is stated as an architectural requirement rather than a prompt-engineering aspiration, and it is tested: the acceptance protocol in Appendix C requires one hundred varied phrasings, including deliberately improper and out-of-envelope requests, with a target of one hundred per cent valid-or-refused and zero invented actions.</w:t>
      </w:r>
    </w:p>
    <w:p>
      <w:pPr>
        <w:spacing w:after="200" w:line="300" w:lineRule="auto"/>
      </w:pPr>
      <w:r>
        <w:t xml:space="preserve">The published baseline </w:t>
      </w:r>
      <w:r>
        <w:t xml:space="preserve">[36]</w:t>
      </w:r>
      <w:r>
        <w:t xml:space="preserve"> for the recommended model families is 100% valid command generation. A system materially below that baseline has a prompt or harness defect rather than a model defect, and diagnosing it as the latter is a common and expensive error.</w:t>
      </w:r>
    </w:p>
    <w:p>
      <w:r>
        <w:br w:type="page"/>
      </w:r>
    </w:p>
    <w:p>
      <w:pPr>
        <w:pStyle w:val="Heading1"/>
      </w:pPr>
      <w:r>
        <w:rPr>
          <w:b/>
          <w:bCs/>
        </w:rPr>
        <w:t xml:space="preserve">8. Security Architecture</w:t>
      </w:r>
    </w:p>
    <w:p>
      <w:pPr>
        <w:spacing w:after="200" w:line="300" w:lineRule="auto"/>
      </w:pPr>
      <w:r>
        <w:t xml:space="preserve">The aircraft defends its own command link, its own navigation solution, and its own evidentiary record. It engages nothing. This section specifies that posture and states its limits honestly, including where the literature says the defence is insufficient.</w:t>
      </w:r>
    </w:p>
    <w:p>
      <w:pPr>
        <w:pStyle w:val="Heading2"/>
      </w:pPr>
      <w:r>
        <w:rPr>
          <w:b/>
          <w:bCs/>
        </w:rPr>
        <w:t xml:space="preserve">8.1 The Threat Model</w:t>
      </w:r>
    </w:p>
    <w:p>
      <w:pPr>
        <w:spacing w:after="200" w:line="300" w:lineRule="auto"/>
      </w:pPr>
      <w:r>
        <w:t xml:space="preserve">A defence without a stated threat model is decoration. This one addresses six conditions, none of which requires an adversary specifically targeting this aircraft, and all of which are documented in the surveyed literature as ordinary hazards.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100"/>
        <w:gridCol w:w="1560"/>
      </w:tblGrid>
      <w:tr>
        <w:trPr>
          <w:tblHeader/>
        </w:trPr>
        <w:tc>
          <w:tcPr>
            <w:tcW w:type="dxa" w:w="2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Threat</w:t>
            </w:r>
          </w:p>
        </w:tc>
        <w:tc>
          <w:tcPr>
            <w:tcW w:type="dxa" w:w="15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Source in literature</w:t>
            </w:r>
          </w:p>
        </w:tc>
        <w:tc>
          <w:tcPr>
            <w:tcW w:type="dxa" w:w="31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Realistic origin</w:t>
            </w:r>
          </w:p>
        </w:tc>
        <w:tc>
          <w:tcPr>
            <w:tcW w:type="dxa" w:w="1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Answering layer</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Command-link interference</w:t>
            </w:r>
          </w:p>
        </w:tc>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[75, 80]</w:t>
            </w:r>
          </w:p>
        </w:tc>
        <w:tc>
          <w:tcPr>
            <w:tcW w:type="dxa" w:w="3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Congested ISM bands; incidental</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L1 + L3</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Command injection / takeover</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[75, 74]</w:t>
            </w:r>
          </w:p>
        </w:tc>
        <w:tc>
          <w:tcPr>
            <w:tcW w:type="dxa" w:w="3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Stock ELRS hardware, per advisory</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L1</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GNSS jamming</w:t>
            </w:r>
          </w:p>
        </w:tc>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[73, 72]</w:t>
            </w:r>
          </w:p>
        </w:tc>
        <w:tc>
          <w:tcPr>
            <w:tcW w:type="dxa" w:w="3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Incidental RFI; nearby transmitters</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L2 + L4</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GNSS spoofing</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[71, 70, 67]</w:t>
            </w:r>
          </w:p>
        </w:tc>
        <w:tc>
          <w:tcPr>
            <w:tcW w:type="dxa" w:w="3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Commodity SDR</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L2 + L4</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Adaptive / covert spoofing</w:t>
            </w:r>
          </w:p>
        </w:tc>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[68, 69]</w:t>
            </w:r>
          </w:p>
        </w:tc>
        <w:tc>
          <w:tcPr>
            <w:tcW w:type="dxa" w:w="3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Sophisticated adversary</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PARTIAL — see 8.3</w:t>
            </w:r>
          </w:p>
        </w:tc>
      </w:tr>
      <w:tr>
        <w:tc>
          <w:tcPr>
            <w:tcW w:type="dxa" w:w="2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Companion failure</w:t>
            </w:r>
          </w:p>
        </w:tc>
        <w:tc>
          <w:tcPr>
            <w:tcW w:type="dxa" w:w="1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[131]</w:t>
            </w:r>
          </w:p>
        </w:tc>
        <w:tc>
          <w:tcPr>
            <w:tcW w:type="dxa" w:w="3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Thermal, power, software</w:t>
            </w:r>
          </w:p>
        </w:tc>
        <w:tc>
          <w:tcPr>
            <w:tcW w:type="dxa" w:w="1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L3 — independent</w:t>
            </w:r>
          </w:p>
        </w:tc>
      </w:tr>
      <w:tr>
        <w:tc>
          <w:tcPr>
            <w:tcW w:type="dxa" w:w="2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Disputed post-hoc account</w:t>
            </w:r>
          </w:p>
        </w:tc>
        <w:tc>
          <w:tcPr>
            <w:tcW w:type="dxa" w:w="1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[82, 88]</w:t>
            </w:r>
          </w:p>
        </w:tc>
        <w:tc>
          <w:tcPr>
            <w:tcW w:type="dxa" w:w="3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Any incident inquiry</w:t>
            </w:r>
          </w:p>
        </w:tc>
        <w:tc>
          <w:tcPr>
            <w:tcW w:type="dxa" w:w="1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L5 — audit chain</w:t>
            </w:r>
          </w:p>
        </w:tc>
      </w:tr>
    </w:tbl>
    <w:p>
      <w:pPr>
        <w:pBdr>
          <w:left w:val="single" w:color="134074" w:sz="18" w:space="12"/>
        </w:pBdr>
        <w:shd w:fill="EEF2F7" w:val="clear"/>
        <w:spacing w:after="200" w:before="60"/>
        <w:ind w:left="300" w:right="300"/>
      </w:pPr>
      <w:r>
        <w:rPr>
          <w:b/>
          <w:bCs/>
          <w:color w:val="134074"/>
          <w:sz w:val="22"/>
          <w:szCs w:val="22"/>
        </w:rPr>
        <w:t xml:space="preserve">▸ NOTE  </w:t>
      </w:r>
      <w:r>
        <w:rPr>
          <w:sz w:val="22"/>
          <w:szCs w:val="22"/>
        </w:rPr>
        <w:t xml:space="preserve">Absent from this table is any threat posed by another aircraft. This is deliberate. An aircraft flown by another party is not this system's problem to solve, and the moment it becomes one the system has departed the lawful envelope specified in Section 10.2.</w:t>
      </w:r>
    </w:p>
    <w:p>
      <w:pPr>
        <w:pStyle w:val="Heading2"/>
      </w:pPr>
      <w:r>
        <w:rPr>
          <w:b/>
          <w:bCs/>
        </w:rPr>
        <w:t xml:space="preserve">8.2 Layer 1 — Command-Link Authentication</w:t>
      </w:r>
    </w:p>
    <w:p>
      <w:pPr>
        <w:spacing w:after="200" w:line="300" w:lineRule="auto"/>
      </w:pPr>
      <w:r>
        <w:t xml:space="preserve">MAVLink 2 message signing authenticates commands with a thirteen-byte signature comprising a link identifier, a timestamp, and a truncated hash computed over a shared key </w:t>
      </w:r>
      <w:r>
        <w:t xml:space="preserve">[55, 74]</w:t>
      </w:r>
      <w:r>
        <w:t xml:space="preserve">; the timestamp defeats replay. Unsigned or incorrectly signed commands are rejected by the flight controller. The consequence of NOT enabling signing is not hypothetical: a 2026 advisory </w:t>
      </w:r>
      <w:r>
        <w:t xml:space="preserve">[78]</w:t>
      </w:r>
      <w:r>
        <w:t xml:space="preserve"> reports shell access via unsigned MAVLink serial control at CVSS 9.8 — flagged as single-sourced and provisional per Section 12.1, but directionally consistent with the CVE record </w:t>
      </w:r>
      <w:r>
        <w:t xml:space="preserve">[76, 77]</w:t>
      </w:r>
      <w:r>
        <w:t xml:space="preserve">.</w:t>
      </w:r>
    </w:p>
    <w:p>
      <w:pPr>
        <w:pBdr>
          <w:left w:val="single" w:color="C0392B" w:sz="18" w:space="12"/>
        </w:pBdr>
        <w:shd w:fill="FDECEA" w:val="clear"/>
        <w:spacing w:after="200" w:before="60"/>
        <w:ind w:left="300" w:right="300"/>
      </w:pPr>
      <w:r>
        <w:rPr>
          <w:b/>
          <w:bCs/>
          <w:color w:val="C0392B"/>
          <w:sz w:val="22"/>
          <w:szCs w:val="22"/>
        </w:rPr>
        <w:t xml:space="preserve">⚠ WARNING  </w:t>
      </w:r>
      <w:r>
        <w:rPr>
          <w:b/>
          <w:bCs/>
        </w:rPr>
        <w:t xml:space="preserve">Stated limitation. </w:t>
      </w:r>
      <w:r>
        <w:t xml:space="preserve">Signing authenticates; it does not encrypt </w:t>
      </w:r>
      <w:r>
        <w:t xml:space="preserve">[76]</w:t>
      </w:r>
      <w:r>
        <w:t xml:space="preserve">. ExpressLRS is jam-resistant through frequency hopping but is not a secure link: the NCC Group advisory </w:t>
      </w:r>
      <w:r>
        <w:t xml:space="preserve">[75]</w:t>
      </w:r>
      <w:r>
        <w:t xml:space="preserve"> establishes that observation of a single synchronization packet exposes most of the identifier, and that the binding phrase is an anti-collision measure rather than a security control. Command authenticity therefore rests entirely on MAVLink signing and never on the radio. Any claim that an ExpressLRS link is secure is contradicted by the primary source.</w:t>
      </w:r>
    </w:p>
    <w:p>
      <w:pPr>
        <w:pStyle w:val="Heading2"/>
      </w:pPr>
      <w:r>
        <w:rPr>
          <w:b/>
          <w:bCs/>
        </w:rPr>
        <w:t xml:space="preserve">8.3 Layer 2 — Navigation-Signal Integrity, and Its Limits</w:t>
      </w:r>
    </w:p>
    <w:p>
      <w:pPr>
        <w:spacing w:after="200" w:line="300" w:lineRule="auto"/>
      </w:pPr>
      <w:r>
        <w:t xml:space="preserve">The receiver exposes jamming and spoofing status flags, and the flight controller's estimator independently validates satellite measurements against the inertial solution through innovation test ratios </w:t>
      </w:r>
      <w:r>
        <w:t xml:space="preserve">[162]</w:t>
      </w:r>
      <w:r>
        <w:t xml:space="preserve">; divergence beyond threshold triggers rejection rather than absorption. The peer-reviewed anti-spoofing state of the art </w:t>
      </w:r>
      <w:r>
        <w:t xml:space="preserve">[66]</w:t>
      </w:r>
      <w:r>
        <w:t xml:space="preserve"> builds on precisely this mechanism.</w:t>
      </w:r>
    </w:p>
    <w:p>
      <w:pPr>
        <w:pBdr>
          <w:left w:val="single" w:color="C0392B" w:sz="18" w:space="12"/>
        </w:pBdr>
        <w:shd w:fill="FDECEA" w:val="clear"/>
        <w:spacing w:after="200" w:before="60"/>
        <w:ind w:left="300" w:right="300"/>
      </w:pPr>
      <w:r>
        <w:rPr>
          <w:b/>
          <w:bCs/>
          <w:color w:val="C0392B"/>
          <w:sz w:val="22"/>
          <w:szCs w:val="22"/>
        </w:rPr>
        <w:t xml:space="preserve">⚠ WARNING  </w:t>
      </w:r>
      <w:r>
        <w:rPr>
          <w:b/>
          <w:bCs/>
        </w:rPr>
        <w:t xml:space="preserve">This defence is incomplete, and the literature says so. </w:t>
      </w:r>
      <w:r>
        <w:t xml:space="preserve">Adaptive spoofers that introduce error slowly enough to remain within innovation thresholds defeat filter-based detection because they never produce a loss of lock </w:t>
      </w:r>
      <w:r>
        <w:t xml:space="preserve">[68]</w:t>
      </w:r>
      <w:r>
        <w:t xml:space="preserve">. More directly, Drift with Devil </w:t>
      </w:r>
      <w:r>
        <w:t xml:space="preserve">[69]</w:t>
      </w:r>
      <w:r>
        <w:t xml:space="preserve"> establishes that multi-sensor fusion does </w:t>
      </w:r>
      <w:r>
        <w:rPr>
          <w:i/>
          <w:iCs/>
        </w:rPr>
        <w:t xml:space="preserve">not</w:t>
      </w:r>
      <w:r>
        <w:t xml:space="preserve"> confer immunity to spoofing in high-level autonomous systems. This paper does not claim spoofing resistance. It claims that naive spoofing is detected, that covert spoofing is mitigated but not defeated, and that the residual risk is addressed at Layer 4 by an independent navigation source rather than at Layer 2 by a better filter.</w:t>
      </w:r>
    </w:p>
    <w:p>
      <w:pPr>
        <w:pStyle w:val="Heading2"/>
      </w:pPr>
      <w:r>
        <w:rPr>
          <w:b/>
          <w:bCs/>
        </w:rPr>
        <w:t xml:space="preserve">8.4 Layer 3 — Failsafe Independence</w:t>
      </w:r>
    </w:p>
    <w:p>
      <w:pPr>
        <w:spacing w:after="200" w:line="300" w:lineRule="auto"/>
      </w:pPr>
      <w:r>
        <w:t xml:space="preserve">The failsafe ladder escalates hold, return, and land, and is enforced by the flight controller alone </w:t>
      </w:r>
      <w:r>
        <w:t xml:space="preserve">[160]</w:t>
      </w:r>
      <w:r>
        <w:t xml:space="preserve">. This is a load-bearing architectural statement rather than a configuration detail: the failsafe does not depend on the companion computer, the mesh, or the model. If the Jetson fails in flight, the aircraft returns. If the mesh fails, nothing occurs, because the mesh was never in the path.</w:t>
      </w:r>
    </w:p>
    <w:p>
      <w:pPr>
        <w:spacing w:after="200" w:line="300" w:lineRule="auto"/>
      </w:pPr>
      <w:r>
        <w:t xml:space="preserve">The acceptance protocol therefore requires testing the failsafe with the companion computer powered down </w:t>
      </w:r>
      <w:r>
        <w:t xml:space="preserve">[131]</w:t>
      </w:r>
      <w:r>
        <w:t xml:space="preserve">. A failsafe that has only been tested with the companion running has not been tested.</w:t>
      </w:r>
    </w:p>
    <w:p>
      <w:pPr>
        <w:pStyle w:val="Heading2"/>
      </w:pPr>
      <w:r>
        <w:rPr>
          <w:b/>
          <w:bCs/>
        </w:rPr>
        <w:t xml:space="preserve">8.5 Layer 4 — Navigation Without Satellites</w:t>
      </w:r>
    </w:p>
    <w:p>
      <w:pPr>
        <w:spacing w:after="200" w:line="300" w:lineRule="auto"/>
      </w:pPr>
      <w:r>
        <w:t xml:space="preserve">Denial of satellite navigation degrades the aircraft; it does not end the flight. Visual-inertial odometry </w:t>
      </w:r>
      <w:r>
        <w:t xml:space="preserve">[56, 58, 163]</w:t>
      </w:r>
      <w:r>
        <w:t xml:space="preserve"> permits position hold and return on vision and inertial sensing alone, with the estimator reconfigured to fuse external vision as its position source </w:t>
      </w:r>
      <w:r>
        <w:t xml:space="preserve">[162]</w:t>
      </w:r>
      <w:r>
        <w:t xml:space="preserve">.</w:t>
      </w:r>
    </w:p>
    <w:p>
      <w:pPr>
        <w:spacing w:after="200" w:line="300" w:lineRule="auto"/>
      </w:pPr>
      <w:r>
        <w:t xml:space="preserve">Per Section 5.4, this capability is a direct consequence of the peer model. It is also the correct answer to the Layer 2 limitation: the defence against a spoofer sophisticated enough to defeat innovation testing is not a better filter but a source that the spoofer cannot reach. An adversary with a software-defined radio can forge satellite signals; they cannot forge the aircraft's cameras and inertial sensors simultaneously.</w:t>
      </w:r>
    </w:p>
    <w:p>
      <w:pPr>
        <w:pStyle w:val="Heading2"/>
      </w:pPr>
      <w:r>
        <w:rPr>
          <w:b/>
          <w:bCs/>
        </w:rPr>
        <w:t xml:space="preserve">8.6 Layer 5 — The Evidentiary Record</w:t>
      </w:r>
    </w:p>
    <w:p>
      <w:pPr>
        <w:spacing w:after="200" w:line="300" w:lineRule="auto"/>
      </w:pPr>
      <w:r>
        <w:t xml:space="preserve">Treated in full in Section 9.</w:t>
      </w:r>
    </w:p>
    <w:p>
      <w:r>
        <w:br w:type="page"/>
      </w:r>
    </w:p>
    <w:p>
      <w:pPr>
        <w:pStyle w:val="Heading1"/>
      </w:pPr>
      <w:r>
        <w:rPr>
          <w:b/>
          <w:bCs/>
        </w:rPr>
        <w:t xml:space="preserve">9. Accountability and Tamper-Evident Logging</w:t>
      </w:r>
    </w:p>
    <w:p>
      <w:pPr>
        <w:pStyle w:val="Heading2"/>
      </w:pPr>
      <w:r>
        <w:rPr>
          <w:b/>
          <w:bCs/>
        </w:rPr>
        <w:t xml:space="preserve">9.1 Why This Is Not Optional</w:t>
      </w:r>
    </w:p>
    <w:p>
      <w:pPr>
        <w:spacing w:after="200" w:line="300" w:lineRule="auto"/>
      </w:pPr>
      <w:r>
        <w:t xml:space="preserve">For a system in which a stochastic language model issues commands to a physical vehicle, the ability to establish afterwards what actually happened is not a convenience. It is the property that distinguishes an engineering artifact from an unaccountable one, and it is the mechanism by which the tracing condition of meaningful human control </w:t>
      </w:r>
      <w:r>
        <w:t xml:space="preserve">[90]</w:t>
      </w:r>
      <w:r>
        <w:t xml:space="preserve"> is discharged in practice rather than asserted.</w:t>
      </w:r>
    </w:p>
    <w:p>
      <w:pPr>
        <w:spacing w:after="200" w:line="300" w:lineRule="auto"/>
      </w:pPr>
      <w:r>
        <w:t xml:space="preserve">The accountability-in-computing tradition </w:t>
      </w:r>
      <w:r>
        <w:t xml:space="preserve">[88]</w:t>
      </w:r>
      <w:r>
        <w:t xml:space="preserve"> identified the general problem three decades ago: computerized systems diffuse responsibility until no party can be held to account. The responsibility-gap literature </w:t>
      </w:r>
      <w:r>
        <w:t xml:space="preserve">[97]</w:t>
      </w:r>
      <w:r>
        <w:t xml:space="preserve"> sharpens this for autonomous systems specifically. A verifiable record does not close the gap by itself, but it makes the gap visible and adjudicable, which is a precondition for closing it.</w:t>
      </w:r>
    </w:p>
    <w:p>
      <w:pPr>
        <w:pStyle w:val="Heading2"/>
      </w:pPr>
      <w:r>
        <w:rPr>
          <w:b/>
          <w:bCs/>
        </w:rPr>
        <w:t xml:space="preserve">9.2 Construction</w:t>
      </w:r>
    </w:p>
    <w:p>
      <w:pPr>
        <w:spacing w:after="200" w:line="300" w:lineRule="auto"/>
      </w:pPr>
      <w:r>
        <w:t xml:space="preserve">Every autonomous action — mode change, arm, disarm, gripper actuation, failsafe trigger, model proposal, human confirmation, human denial, refusal — is written to a hash chain in which each record binds its own hash and its predecessor's. The construction is standard </w:t>
      </w:r>
      <w:r>
        <w:t xml:space="preserve">[85, 86]</w:t>
      </w:r>
      <w:r>
        <w:t xml:space="preserve"> and this paper claims no novelty in it. The canonical efficient treatment </w:t>
      </w:r>
      <w:r>
        <w:t xml:space="preserve">[82]</w:t>
      </w:r>
      <w:r>
        <w:t xml:space="preserve"> supplies the history-tree upgrade path for logs large enough that linear verification becomes impractical, and the antecedent audit-log literature </w:t>
      </w:r>
      <w:r>
        <w:t xml:space="preserve">[83, 84]</w:t>
      </w:r>
      <w:r>
        <w:t xml:space="preserve"> supplies the forward-integrity properties.</w:t>
      </w:r>
    </w:p>
    <w:p>
      <w:pPr>
        <w:pBdr>
          <w:left w:val="single" w:color="8DA9C4" w:sz="12" w:space="8"/>
        </w:pBdr>
        <w:shd w:fill="F2F4F7" w:val="clear"/>
        <w:spacing w:after="90"/>
        <w:ind w:left="300"/>
      </w:pPr>
      <w:r>
        <w:rPr>
          <w:rFonts w:ascii="Consolas" w:cs="Consolas" w:eastAsia="Consolas" w:hAnsi="Consolas"/>
          <w:sz w:val="19"/>
          <w:szCs w:val="19"/>
        </w:rPr>
        <w:t xml:space="preserve">e = { ts, event, data, prev: &lt;hash of previous record&gt; }</w:t>
      </w:r>
    </w:p>
    <w:p>
      <w:pPr>
        <w:pBdr>
          <w:left w:val="single" w:color="8DA9C4" w:sz="12" w:space="8"/>
        </w:pBdr>
        <w:shd w:fill="F2F4F7" w:val="clear"/>
        <w:spacing w:after="90"/>
        <w:ind w:left="300"/>
      </w:pPr>
      <w:r>
        <w:rPr>
          <w:rFonts w:ascii="Consolas" w:cs="Consolas" w:eastAsia="Consolas" w:hAnsi="Consolas"/>
          <w:sz w:val="19"/>
          <w:szCs w:val="19"/>
        </w:rPr>
        <w:t xml:space="preserve">e.hash = SHA256( canonical_json(e) || e.prev )</w:t>
      </w:r>
    </w:p>
    <w:p>
      <w:pPr>
        <w:pBdr>
          <w:left w:val="single" w:color="8DA9C4" w:sz="12" w:space="8"/>
        </w:pBdr>
        <w:shd w:fill="F2F4F7" w:val="clear"/>
        <w:spacing w:after="90"/>
        <w:ind w:left="300"/>
      </w:pPr>
      <w:r>
        <w:rPr>
          <w:rFonts w:ascii="Consolas" w:cs="Consolas" w:eastAsia="Consolas" w:hAnsi="Consolas"/>
          <w:sz w:val="19"/>
          <w:szCs w:val="19"/>
        </w:rPr>
        <w:t xml:space="preserve"/>
      </w:r>
    </w:p>
    <w:p>
      <w:pPr>
        <w:pBdr>
          <w:left w:val="single" w:color="8DA9C4" w:sz="12" w:space="8"/>
        </w:pBdr>
        <w:shd w:fill="F2F4F7" w:val="clear"/>
        <w:spacing w:after="90"/>
        <w:ind w:left="300"/>
      </w:pPr>
      <w:r>
        <w:rPr>
          <w:rFonts w:ascii="Consolas" w:cs="Consolas" w:eastAsia="Consolas" w:hAnsi="Consolas"/>
          <w:sz w:val="19"/>
          <w:szCs w:val="19"/>
        </w:rPr>
        <w:t xml:space="preserve">// Detects: modification, reordering, truncation.</w:t>
      </w:r>
    </w:p>
    <w:p>
      <w:pPr>
        <w:pBdr>
          <w:left w:val="single" w:color="8DA9C4" w:sz="12" w:space="8"/>
        </w:pBdr>
        <w:shd w:fill="F2F4F7" w:val="clear"/>
        <w:spacing w:after="90"/>
        <w:ind w:left="300"/>
      </w:pPr>
      <w:r>
        <w:rPr>
          <w:rFonts w:ascii="Consolas" w:cs="Consolas" w:eastAsia="Consolas" w:hAnsi="Consolas"/>
          <w:sz w:val="19"/>
          <w:szCs w:val="19"/>
        </w:rPr>
        <w:t xml:space="preserve">// Does NOT detect: wholesale regeneration of the entire chain.</w:t>
      </w:r>
    </w:p>
    <w:p>
      <w:pPr>
        <w:pBdr>
          <w:left w:val="single" w:color="8DA9C4" w:sz="12" w:space="8"/>
        </w:pBdr>
        <w:shd w:fill="F2F4F7" w:val="clear"/>
        <w:spacing w:after="90"/>
        <w:ind w:left="300"/>
      </w:pPr>
      <w:r>
        <w:rPr>
          <w:rFonts w:ascii="Consolas" w:cs="Consolas" w:eastAsia="Consolas" w:hAnsi="Consolas"/>
          <w:sz w:val="19"/>
          <w:szCs w:val="19"/>
        </w:rPr>
        <w:t xml:space="preserve">// -&gt; therefore anchor periodically, off-board, with a signature.</w:t>
      </w:r>
    </w:p>
    <w:p>
      <w:pPr>
        <w:spacing w:after="200" w:line="300" w:lineRule="auto"/>
      </w:pPr>
      <w:r>
        <w:t xml:space="preserve">The stated non-detection is the reason for the anchor. A hash chain proves internal consistency; it does not prove that the chain was not discarded and rebuilt. Periodic root hashes signed off-board with Ed25519 </w:t>
      </w:r>
      <w:r>
        <w:t xml:space="preserve">[89]</w:t>
      </w:r>
      <w:r>
        <w:t xml:space="preserve"> and copied off the aircraft supply non-repudiation, following the pattern that Certificate Transparency </w:t>
      </w:r>
      <w:r>
        <w:t xml:space="preserve">[87]</w:t>
      </w:r>
      <w:r>
        <w:t xml:space="preserve"> deploys at internet scale.</w:t>
      </w:r>
    </w:p>
    <w:p>
      <w:pPr>
        <w:pStyle w:val="Heading2"/>
      </w:pPr>
      <w:r>
        <w:rPr>
          <w:b/>
          <w:bCs/>
        </w:rPr>
        <w:t xml:space="preserve">9.3 Verification as a Requirement</w:t>
      </w:r>
    </w:p>
    <w:p>
      <w:pPr>
        <w:spacing w:after="200" w:line="300" w:lineRule="auto"/>
      </w:pPr>
      <w:r>
        <w:t xml:space="preserve">A verifier that has never been tested against a deliberately altered record is decoration. The acceptance protocol requires editing one byte of a middle record and confirming the verifier reports alteration at exactly that index. This takes minutes and is the only evidence that the log is worth anything.</w:t>
      </w:r>
    </w:p>
    <w:p>
      <w:pPr>
        <w:pBdr>
          <w:left w:val="single" w:color="1E8449" w:sz="18" w:space="12"/>
        </w:pBdr>
        <w:shd w:fill="E9F7EF" w:val="clear"/>
        <w:spacing w:after="200" w:before="60"/>
        <w:ind w:left="300" w:right="300"/>
      </w:pPr>
      <w:r>
        <w:rPr>
          <w:b/>
          <w:bCs/>
          <w:color w:val="1E8449"/>
          <w:sz w:val="22"/>
          <w:szCs w:val="22"/>
        </w:rPr>
        <w:t xml:space="preserve">✓ TIP  </w:t>
      </w:r>
      <w:r>
        <w:rPr>
          <w:sz w:val="22"/>
          <w:szCs w:val="22"/>
        </w:rPr>
        <w:t xml:space="preserve">The audit chain earns its place at exactly one moment: after an incident, when the question is what the system did and whether the record was altered afterwards. Both questions have answers only if the chain was running and the anchor was external. Neither can be retrofitted.</w:t>
      </w:r>
    </w:p>
    <w:p>
      <w:pPr>
        <w:pStyle w:val="Heading2"/>
      </w:pPr>
      <w:r>
        <w:rPr>
          <w:b/>
          <w:bCs/>
        </w:rPr>
        <w:t xml:space="preserve">9.4 What the Record Is For</w:t>
      </w:r>
    </w:p>
    <w:p>
      <w:pPr>
        <w:spacing w:after="200" w:line="300" w:lineRule="auto"/>
      </w:pPr>
      <w:r>
        <w:t xml:space="preserve">Three purposes, in ascending order of importance. First, debugging: the chain cross-checks against the flight controller's own log, and disagreement between them localizes faults. Second, regulatory: an operator asked to account for an autonomous action can do so evidentially. Third, and most significantly, epistemic: the operator can determine what their own system did, which for a stochastic component is not otherwise reliably available. The third purpose is the one that matters most in practice and is discussed least.</w:t>
      </w:r>
    </w:p>
    <w:p>
      <w:r>
        <w:br w:type="page"/>
      </w:r>
    </w:p>
    <w:p>
      <w:pPr>
        <w:pStyle w:val="Heading1"/>
      </w:pPr>
      <w:r>
        <w:rPr>
          <w:b/>
          <w:bCs/>
        </w:rPr>
        <w:t xml:space="preserve">10. Regulatory and Ethical Position</w:t>
      </w:r>
    </w:p>
    <w:p>
      <w:pPr>
        <w:pStyle w:val="Heading2"/>
      </w:pPr>
      <w:r>
        <w:rPr>
          <w:b/>
          <w:bCs/>
        </w:rPr>
        <w:t xml:space="preserve">10.1 Federal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Requirement</w:t>
            </w:r>
          </w:p>
        </w:tc>
        <w:tc>
          <w:tcPr>
            <w:tcW w:type="dxa" w:w="1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Authority</w:t>
            </w:r>
          </w:p>
        </w:tc>
        <w:tc>
          <w:tcPr>
            <w:tcW w:type="dxa" w:w="5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Application here</w:t>
            </w:r>
          </w:p>
        </w:tc>
      </w:tr>
      <w:tr>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Aircraft registration</w:t>
            </w:r>
          </w:p>
        </w:tc>
        <w:tc>
          <w:tcPr>
            <w:tcW w:type="dxa" w:w="1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[105]</w:t>
            </w:r>
          </w:p>
        </w:tc>
        <w:tc>
          <w:tcPr>
            <w:tcW w:type="dxa" w:w="5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Required — far above 250 g threshold</w:t>
            </w:r>
          </w:p>
        </w:tc>
      </w:tr>
      <w:tr>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Remote Pilot Certificate</w:t>
            </w:r>
          </w:p>
        </w:tc>
        <w:tc>
          <w:tcPr>
            <w:tcW w:type="dxa" w:w="1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[102]</w:t>
            </w:r>
          </w:p>
        </w:tc>
        <w:tc>
          <w:tcPr>
            <w:tcW w:type="dxa" w:w="5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Required — gripper defeats recreational framing</w:t>
            </w:r>
          </w:p>
        </w:tc>
      </w:tr>
      <w:tr>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Remote ID broadcast</w:t>
            </w:r>
          </w:p>
        </w:tc>
        <w:tc>
          <w:tcPr>
            <w:tcW w:type="dxa" w:w="1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[104]</w:t>
            </w:r>
          </w:p>
        </w:tc>
        <w:tc>
          <w:tcPr>
            <w:tcW w:type="dxa" w:w="5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Required — enforced since 16 Mar 2024</w:t>
            </w:r>
          </w:p>
        </w:tc>
      </w:tr>
      <w:tr>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Airspace authorization</w:t>
            </w:r>
          </w:p>
        </w:tc>
        <w:tc>
          <w:tcPr>
            <w:tcW w:type="dxa" w:w="1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[111]</w:t>
            </w:r>
          </w:p>
        </w:tc>
        <w:tc>
          <w:tcPr>
            <w:tcW w:type="dxa" w:w="5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Per flight — Class G or LAANC</w:t>
            </w:r>
          </w:p>
        </w:tc>
      </w:tr>
      <w:tr>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External load</w:t>
            </w:r>
          </w:p>
        </w:tc>
        <w:tc>
          <w:tcPr>
            <w:tcW w:type="dxa" w:w="1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[110]</w:t>
            </w:r>
          </w:p>
        </w:tc>
        <w:tc>
          <w:tcPr>
            <w:tcW w:type="dxa" w:w="5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Governs gripper carriage and release</w:t>
            </w:r>
          </w:p>
        </w:tc>
      </w:tr>
      <w:tr>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Autonomy under PIC control</w:t>
            </w:r>
          </w:p>
        </w:tc>
        <w:tc>
          <w:tcPr>
            <w:tcW w:type="dxa" w:w="1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[103]</w:t>
            </w:r>
          </w:p>
        </w:tc>
        <w:tc>
          <w:tcPr>
            <w:tcW w:type="dxa" w:w="5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Permitted — §5.2.3, PIC can direct</w:t>
            </w:r>
          </w:p>
        </w:tc>
      </w:tr>
      <w:tr>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Weapons prohibition</w:t>
            </w:r>
          </w:p>
        </w:tc>
        <w:tc>
          <w:tcPr>
            <w:tcW w:type="dxa" w:w="1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[100, 101]</w:t>
            </w:r>
          </w:p>
        </w:tc>
        <w:tc>
          <w:tcPr>
            <w:tcW w:type="dxa" w:w="5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EXCLUDES any projectile capability</w:t>
            </w:r>
          </w:p>
        </w:tc>
      </w:tr>
      <w:tr>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Counter-UAS</w:t>
            </w:r>
          </w:p>
        </w:tc>
        <w:tc>
          <w:tcPr>
            <w:tcW w:type="dxa" w:w="1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[106]</w:t>
            </w:r>
          </w:p>
        </w:tc>
        <w:tc>
          <w:tcPr>
            <w:tcW w:type="dxa" w:w="5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EXCLUDES — authority reserved</w:t>
            </w:r>
          </w:p>
        </w:tc>
      </w:tr>
      <w:tr>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Signal interference</w:t>
            </w:r>
          </w:p>
        </w:tc>
        <w:tc>
          <w:tcPr>
            <w:tcW w:type="dxa" w:w="1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[107]</w:t>
            </w:r>
          </w:p>
        </w:tc>
        <w:tc>
          <w:tcPr>
            <w:tcW w:type="dxa" w:w="5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EXCLUDES jamming and spoofing</w:t>
            </w:r>
          </w:p>
        </w:tc>
      </w:tr>
    </w:tbl>
    <w:p>
      <w:pPr>
        <w:spacing w:after="200" w:line="300" w:lineRule="auto"/>
      </w:pPr>
      <w:r>
        <w:t xml:space="preserve">Two of these deserve emphasis. Autonomous operation is permitted under Part 107 provided the remote pilot in command retains the ability to direct the aircraft to avoid hazards </w:t>
      </w:r>
      <w:r>
        <w:t xml:space="preserve">[103]</w:t>
      </w:r>
      <w:r>
        <w:t xml:space="preserve"> — the architecture in Section 7.2 satisfies this by construction rather than by policy. And a gripper is an external load explicitly contemplated by the regulations </w:t>
      </w:r>
      <w:r>
        <w:t xml:space="preserve">[110]</w:t>
      </w:r>
      <w:r>
        <w:t xml:space="preserve">, where a projectile launcher is a weapon </w:t>
      </w:r>
      <w:r>
        <w:t xml:space="preserve">[100]</w:t>
      </w:r>
      <w:r>
        <w:t xml:space="preserve">. The physical difference between grasping and launching is modest; the legal difference is total.</w:t>
      </w:r>
    </w:p>
    <w:p>
      <w:pPr>
        <w:pStyle w:val="Heading2"/>
      </w:pPr>
      <w:r>
        <w:rPr>
          <w:b/>
          <w:bCs/>
        </w:rPr>
        <w:t xml:space="preserve">10.2 The Exclusions and Their Basis</w:t>
      </w:r>
    </w:p>
    <w:p>
      <w:pPr>
        <w:pBdr>
          <w:left w:val="single" w:color="0B2545" w:sz="18" w:space="12"/>
        </w:pBdr>
        <w:shd w:fill="E8EEF4" w:val="clear"/>
        <w:spacing w:after="200" w:before="60"/>
        <w:ind w:left="300" w:right="300"/>
      </w:pPr>
      <w:r>
        <w:rPr>
          <w:b/>
          <w:bCs/>
          <w:color w:val="0B2545"/>
          <w:sz w:val="22"/>
          <w:szCs w:val="22"/>
        </w:rPr>
        <w:t xml:space="preserve">§ LEGAL  </w:t>
      </w:r>
      <w:r>
        <w:t xml:space="preserve">Section 363 of the FAA Reauthorization Act of 2018 </w:t>
      </w:r>
      <w:r>
        <w:t xml:space="preserve">[100]</w:t>
      </w:r>
      <w:r>
        <w:t xml:space="preserve"> provides that, unless authorized by the Administrator, a person may not operate an uncrewed aircraft equipped or armed with a dangerous weapon, with civil penalties up to US$25,000 per violation. “Dangerous weapon” incorporates the definition at 18 U.S.C. §930(g)(2) </w:t>
      </w:r>
      <w:r>
        <w:t xml:space="preserve">[101]</w:t>
      </w:r>
      <w:r>
        <w:t xml:space="preserve">. There is no research exception, no low-energy exception, and no defensive-intent exception. The statute asks what the aircraft is equipped with, not why.</w:t>
      </w:r>
    </w:p>
    <w:p>
      <w:pPr>
        <w:pBdr>
          <w:left w:val="single" w:color="0B2545" w:sz="18" w:space="12"/>
        </w:pBdr>
        <w:shd w:fill="E8EEF4" w:val="clear"/>
        <w:spacing w:after="200" w:before="60"/>
        <w:ind w:left="300" w:right="300"/>
      </w:pPr>
      <w:r>
        <w:rPr>
          <w:b/>
          <w:bCs/>
          <w:color w:val="0B2545"/>
          <w:sz w:val="22"/>
          <w:szCs w:val="22"/>
        </w:rPr>
        <w:t xml:space="preserve">§ LEGAL  </w:t>
      </w:r>
      <w:r>
        <w:t xml:space="preserve">Counter-UAS authority is reserved to designated federal agencies </w:t>
      </w:r>
      <w:r>
        <w:t xml:space="preserve">[106]</w:t>
      </w:r>
      <w:r>
        <w:t xml:space="preserve">; signal interference is independently prohibited </w:t>
      </w:r>
      <w:r>
        <w:t xml:space="preserve">[107]</w:t>
      </w:r>
      <w:r>
        <w:t xml:space="preserve">. A private party has no lawful path to detecting, tracking, intercepting, jamming, or taking over another aircraft, and interference with aircraft carries criminal rather than merely civil exposure.</w:t>
      </w:r>
    </w:p>
    <w:p>
      <w:pPr>
        <w:pStyle w:val="Heading3"/>
      </w:pPr>
      <w:r>
        <w:rPr>
          <w:b/>
          <w:bCs/>
        </w:rPr>
        <w:t xml:space="preserve">10.2.1 On the defensive-intent argument</w:t>
      </w:r>
    </w:p>
    <w:p>
      <w:pPr>
        <w:spacing w:after="200" w:line="300" w:lineRule="auto"/>
      </w:pPr>
      <w:r>
        <w:t xml:space="preserve">A recurring temptation in this domain is to argue that a capability is lawful because the intent behind it is defensive. The statutes do not operate that way. Section 363 prohibits operating an aircraft so equipped and does not inquire into motive. Section 124n reserves an authority and does not create a private right for those with good reasons. Section 333 prohibits interference regardless of the interferer's purpose. Intent is not a defence, and a design that requires the intent argument in order to be lawful is a design that is not lawful.</w:t>
      </w:r>
    </w:p>
    <w:p>
      <w:pPr>
        <w:pStyle w:val="Heading2"/>
      </w:pPr>
      <w:r>
        <w:rPr>
          <w:b/>
          <w:bCs/>
        </w:rPr>
        <w:t xml:space="preserve">10.3 State and Local</w:t>
      </w:r>
    </w:p>
    <w:p>
      <w:pPr>
        <w:spacing w:after="200" w:line="300" w:lineRule="auto"/>
      </w:pPr>
      <w:r>
        <w:t xml:space="preserve">Arkansas Act 597 of 2025 </w:t>
      </w:r>
      <w:r>
        <w:t xml:space="preserve">[108]</w:t>
      </w:r>
      <w:r>
        <w:t xml:space="preserve">, the Arkansas Privacy Act, amended the state's unlawful-use statute </w:t>
      </w:r>
      <w:r>
        <w:t xml:space="preserve">[109]</w:t>
      </w:r>
      <w:r>
        <w:t xml:space="preserve"> to separate critical-infrastructure surveillance from a new offense covering image surveillance of persons and private property, with civil remedies up to US$5,000 for image capture and US$10,000 for distribution and a two-year limitations period. Roughly twenty-five lawful uses are enumerated, including an FAA-compliant commercial-flight carve-out.</w:t>
      </w:r>
    </w:p>
    <w:p>
      <w:pPr>
        <w:pBdr>
          <w:left w:val="single" w:color="C0392B" w:sz="18" w:space="12"/>
        </w:pBdr>
        <w:shd w:fill="FDECEA" w:val="clear"/>
        <w:spacing w:after="200" w:before="60"/>
        <w:ind w:left="300" w:right="300"/>
      </w:pPr>
      <w:r>
        <w:rPr>
          <w:b/>
          <w:bCs/>
          <w:color w:val="C0392B"/>
          <w:sz w:val="22"/>
          <w:szCs w:val="22"/>
        </w:rPr>
        <w:t xml:space="preserve">⚠ WARNING  </w:t>
      </w:r>
      <w:r>
        <w:rPr>
          <w:b/>
          <w:bCs/>
        </w:rPr>
        <w:t xml:space="preserve">The preemption trap. </w:t>
      </w:r>
      <w:r>
        <w:t xml:space="preserve">Arkansas lacks statewide preemption, which means municipal ordinances and institutional policies apply independently and cumulatively. A flight that is federally lawful and state-lawful can still violate a city ordinance or a university policy. Four layers — federal, state, municipal, institutional — must each be checked before every new site. “The FAA permits it” is not a complete answer in this jurisdiction.</w:t>
      </w:r>
    </w:p>
    <w:p>
      <w:pPr>
        <w:pStyle w:val="Heading2"/>
      </w:pPr>
      <w:r>
        <w:rPr>
          <w:b/>
          <w:bCs/>
        </w:rPr>
        <w:t xml:space="preserve">10.4 Privacy</w:t>
      </w:r>
    </w:p>
    <w:p>
      <w:pPr>
        <w:spacing w:after="200" w:line="300" w:lineRule="auto"/>
      </w:pPr>
      <w:r>
        <w:t xml:space="preserve">The Fourth Amendment aerial-surveillance line </w:t>
      </w:r>
      <w:r>
        <w:t xml:space="preserve">[112, 113]</w:t>
      </w:r>
      <w:r>
        <w:t xml:space="preserve"> established that observation from navigable airspace is not a search, a doctrine developed when aerial observation required an aircraft and a pilot. Kyllo </w:t>
      </w:r>
      <w:r>
        <w:t xml:space="preserve">[114]</w:t>
      </w:r>
      <w:r>
        <w:t xml:space="preserve"> complicated it for sense-enhancing technology not in general public use, and Carpenter </w:t>
      </w:r>
      <w:r>
        <w:t xml:space="preserve">[115]</w:t>
      </w:r>
      <w:r>
        <w:t xml:space="preserve"> signalled judicial willingness to revisit doctrine when technology makes pervasive what was once episodic. The drone-as-privacy-catalyst argument </w:t>
      </w:r>
      <w:r>
        <w:t xml:space="preserve">[116]</w:t>
      </w:r>
      <w:r>
        <w:t xml:space="preserve"> anticipated that uncrewed aircraft would force this reckoning precisely because they make aerial observation cheap.</w:t>
      </w:r>
    </w:p>
    <w:p>
      <w:pPr>
        <w:spacing w:after="200" w:line="300" w:lineRule="auto"/>
      </w:pPr>
      <w:r>
        <w:t xml:space="preserve">This doctrine governs state actors and does not directly bind a private operator, who is instead governed by Act 597. But it is relevant to the ethical position: the reason aerial observation was historically tolerated is that it was expensive, and the platform described here is an instance of the technology that removed the expense. An operator who relies on Ciraolo to justify what Ciraolo's reasoning assumed was impractical has misread it.</w:t>
      </w:r>
    </w:p>
    <w:p>
      <w:pPr>
        <w:pStyle w:val="Heading2"/>
      </w:pPr>
      <w:r>
        <w:rPr>
          <w:b/>
          <w:bCs/>
        </w:rPr>
        <w:t xml:space="preserve">10.5 The Ethical Position</w:t>
      </w:r>
    </w:p>
    <w:p>
      <w:pPr>
        <w:spacing w:after="200" w:line="300" w:lineRule="auto"/>
      </w:pPr>
      <w:r>
        <w:t xml:space="preserve">Beyond compliance, the design embodies commitments that the value-sensitive-design literature </w:t>
      </w:r>
      <w:r>
        <w:t xml:space="preserve">[117, 118]</w:t>
      </w:r>
      <w:r>
        <w:t xml:space="preserve"> would recognize as design-time rather than policy-time. The aircraft extends one operator's perception and reach. It acts only with human authorization. It records what it does verifiably. It is structurally incapable of harming a person or engaging another aircraft.</w:t>
      </w:r>
    </w:p>
    <w:p>
      <w:pPr>
        <w:spacing w:after="200" w:line="300" w:lineRule="auto"/>
      </w:pPr>
      <w:r>
        <w:t xml:space="preserve">The renunciation of offensive capability is chosen rather than merely conceded. The roboethics literature </w:t>
      </w:r>
      <w:r>
        <w:t xml:space="preserve">[119]</w:t>
      </w:r>
      <w:r>
        <w:t xml:space="preserve">, the autonomous-weapons critique </w:t>
      </w:r>
      <w:r>
        <w:t xml:space="preserve">[121]</w:t>
      </w:r>
      <w:r>
        <w:t xml:space="preserve">, and the dual-use-research tradition </w:t>
      </w:r>
      <w:r>
        <w:t xml:space="preserve">[120]</w:t>
      </w:r>
      <w:r>
        <w:t xml:space="preserve"> all converge on the position that capability decisions are moral decisions made at design time, not deployment time — and that a capability which exists will eventually be used by someone other than its designer.</w:t>
      </w:r>
    </w:p>
    <w:p>
      <w:pPr>
        <w:spacing w:after="200" w:line="300" w:lineRule="auto"/>
      </w:pPr>
      <w:r>
        <w:t xml:space="preserve">Section 11.4 argues that these exclusions are the source of the artifact's value rather than a tax upon it.</w:t>
      </w:r>
    </w:p>
    <w:p>
      <w:r>
        <w:br w:type="page"/>
      </w:r>
    </w:p>
    <w:p>
      <w:pPr>
        <w:pStyle w:val="Heading1"/>
      </w:pPr>
      <w:r>
        <w:rPr>
          <w:b/>
          <w:bCs/>
        </w:rPr>
        <w:t xml:space="preserve">11. Discussion</w:t>
      </w:r>
    </w:p>
    <w:p>
      <w:pPr>
        <w:pStyle w:val="Heading2"/>
      </w:pPr>
      <w:r>
        <w:rPr>
          <w:b/>
          <w:bCs/>
        </w:rPr>
        <w:t xml:space="preserve">11.1 What the Evidence Supports</w:t>
      </w:r>
    </w:p>
    <w:p>
      <w:pPr>
        <w:spacing w:after="200" w:line="300" w:lineRule="auto"/>
      </w:pPr>
      <w:r>
        <w:t xml:space="preserve">The link-independence criterion survives contact with the literature, and it survives it in an unusual way. It is not supported by a single authoritative source that this paper can point to and rest upon. It is supported by the observation that three research communities — local-first software, GNSS security, and radio-link security — independently arrive at the same conclusion while, so far as the surveyed citation graphs reveal, never citing one another.</w:t>
      </w:r>
    </w:p>
    <w:p>
      <w:pPr>
        <w:spacing w:after="200" w:line="300" w:lineRule="auto"/>
      </w:pPr>
      <w:r>
        <w:t xml:space="preserve">That convergence is epistemically stronger than any single citation would be. Three fields with different methods, different venues, and different concerns do not accidentally agree that networks a system does not control cannot be relied upon. The criterion this paper advances is a generalization of a conclusion each of them had already reached in its own vocabulary.</w:t>
      </w:r>
    </w:p>
    <w:p>
      <w:pPr>
        <w:pStyle w:val="Heading2"/>
      </w:pPr>
      <w:r>
        <w:rPr>
          <w:b/>
          <w:bCs/>
        </w:rPr>
        <w:t xml:space="preserve">11.2 What the Evidence Complicates</w:t>
      </w:r>
    </w:p>
    <w:p>
      <w:pPr>
        <w:spacing w:after="200" w:line="300" w:lineRule="auto"/>
      </w:pPr>
      <w:r>
        <w:t xml:space="preserve">Two findings cut against comfortable optimism, and both are stated here rather than in a footnote.</w:t>
      </w:r>
    </w:p>
    <w:p>
      <w:pPr>
        <w:spacing w:after="200" w:line="300" w:lineRule="auto"/>
      </w:pPr>
      <w:r>
        <w:t xml:space="preserve">First, the grounding objection </w:t>
      </w:r>
      <w:r>
        <w:t xml:space="preserve">[37, 38, 45]</w:t>
      </w:r>
      <w:r>
        <w:t xml:space="preserve"> is correct on its own terms. Language models are not grounded, their errors are uncorrelated with physical danger, and their leading practitioners say so. Section 7's resolution is architectural rather than epistemic: it does not make the models safer, it makes their unsafety non-load-bearing. This is a real answer, but it is a narrower answer than “language models can fly aircraft,” and the difference should not be elided.</w:t>
      </w:r>
    </w:p>
    <w:p>
      <w:pPr>
        <w:spacing w:after="200" w:line="300" w:lineRule="auto"/>
      </w:pPr>
      <w:r>
        <w:t xml:space="preserve">Second, the gap between valid command generation and successful mission execution is large. The nearest precursor </w:t>
      </w:r>
      <w:r>
        <w:t xml:space="preserve">[36]</w:t>
      </w:r>
      <w:r>
        <w:t xml:space="preserve"> reports 100% valid commands and 40% end-to-end mission success from the same systems. Command parsing is solved to a first approximation; missions are not. Any claim about what onboard language models deliver must respect that distinction, and public communication about this project is bound to it.</w:t>
      </w:r>
    </w:p>
    <w:p>
      <w:pPr>
        <w:pStyle w:val="Heading2"/>
      </w:pPr>
      <w:r>
        <w:rPr>
          <w:b/>
          <w:bCs/>
        </w:rPr>
        <w:t xml:space="preserve">11.3 The Methodological Contribution</w:t>
      </w:r>
    </w:p>
    <w:p>
      <w:pPr>
        <w:spacing w:after="200" w:line="300" w:lineRule="auto"/>
      </w:pPr>
      <w:r>
        <w:t xml:space="preserve">The Hailo-10H episode </w:t>
      </w:r>
      <w:r>
        <w:t xml:space="preserve">[148, 13, 149]</w:t>
      </w:r>
      <w:r>
        <w:t xml:space="preserve"> is, in our assessment, the most transferable result in this paper. A vendor published a power-performance point derived from simulation; independent measurement contradicted it by roughly a factor of five; the vendor subsequently revised its own claim by more than a factor of three, conceding the simulation basis. Every step of that sequence was public, and the original figure nonetheless propagated widely.</w:t>
      </w:r>
    </w:p>
    <w:p>
      <w:pPr>
        <w:spacing w:after="200" w:line="300" w:lineRule="auto"/>
      </w:pPr>
      <w:r>
        <w:t xml:space="preserve">The lesson is not that vendors are dishonest. It is that a simulated figure and a measured figure are published in the same typeface, and that the burden of distinguishing them falls entirely on the reader. Section 2.3's discipline — quote the ceiling only alongside an independently measured floor, design to the floor — is the operational response, and we suggest it generalizes well beyond this hardware.</w:t>
      </w:r>
    </w:p>
    <w:p>
      <w:pPr>
        <w:pBdr>
          <w:left w:val="single" w:color="1E8449" w:sz="18" w:space="12"/>
        </w:pBdr>
        <w:shd w:fill="E9F7EF" w:val="clear"/>
        <w:spacing w:after="200" w:before="60"/>
        <w:ind w:left="300" w:right="300"/>
      </w:pPr>
      <w:r>
        <w:rPr>
          <w:b/>
          <w:bCs/>
          <w:color w:val="1E8449"/>
          <w:sz w:val="22"/>
          <w:szCs w:val="22"/>
        </w:rPr>
        <w:t xml:space="preserve">✔ VERIFIED  </w:t>
      </w:r>
      <w:r>
        <w:rPr>
          <w:sz w:val="22"/>
          <w:szCs w:val="22"/>
        </w:rPr>
        <w:t xml:space="preserve">Any edge-AI claim that cannot cite both a vendor figure and an independent measurement should be treated as a prediction rather than a result. Where the two disagree by more than a factor of two, the disagreement is the finding.</w:t>
      </w:r>
    </w:p>
    <w:p>
      <w:pPr>
        <w:pStyle w:val="Heading2"/>
      </w:pPr>
      <w:r>
        <w:rPr>
          <w:b/>
          <w:bCs/>
        </w:rPr>
        <w:t xml:space="preserve">11.4 Why the Exclusions Strengthen the Artifact</w:t>
      </w:r>
    </w:p>
    <w:p>
      <w:pPr>
        <w:spacing w:after="200" w:line="300" w:lineRule="auto"/>
      </w:pPr>
      <w:r>
        <w:t xml:space="preserve">It would be easy to read Section 10.2 as a list of capabilities the project was denied. That reading inverts the actual relationship.</w:t>
      </w:r>
    </w:p>
    <w:p>
      <w:pPr>
        <w:spacing w:after="200" w:line="300" w:lineRule="auto"/>
      </w:pPr>
      <w:r>
        <w:t xml:space="preserve">A system that can be documented publicly, flown lawfully, submitted to review, and defended under adversarial questioning is worth more — as engineering, as evidence of competence, and as a contribution — than a system that can be none of those things. The exclusions are what make the remainder of this paper publishable. A capability that cannot be described in public is not a research contribution; it is an undisclosed liability with a plausible cover story.</w:t>
      </w:r>
    </w:p>
    <w:p>
      <w:pPr>
        <w:spacing w:after="200" w:line="300" w:lineRule="auto"/>
      </w:pPr>
      <w:r>
        <w:t xml:space="preserve">There is a stronger version of the argument. The self-defence posture in Section 8 is harder engineering than its offensive inverse. Jamming a signal requires a transmitter and a poor decision. Building a system that remains correct while its navigation inputs are being falsified </w:t>
      </w:r>
      <w:r>
        <w:t xml:space="preserve">[66, 69]</w:t>
      </w:r>
      <w:r>
        <w:t xml:space="preserve"> is a genuine research problem that the field has not fully solved. The lawful path is also the interesting one, which is a happier coincidence than the field usually enjoys.</w:t>
      </w:r>
    </w:p>
    <w:p>
      <w:pPr>
        <w:pStyle w:val="Heading2"/>
      </w:pPr>
      <w:r>
        <w:rPr>
          <w:b/>
          <w:bCs/>
        </w:rPr>
        <w:t xml:space="preserve">11.5 Generalization Beyond Aircraft</w:t>
      </w:r>
    </w:p>
    <w:p>
      <w:pPr>
        <w:spacing w:after="200" w:line="300" w:lineRule="auto"/>
      </w:pPr>
      <w:r>
        <w:t xml:space="preserve">The aircraft is a test case, not the thesis. The criterion applies to any edge node whose deployment envelope includes conditions its designer does not control: a ground robot in a warehouse with dead zones, a sensor platform in a remote installation, a wearable device outside cellular coverage, a vehicle in a tunnel.</w:t>
      </w:r>
    </w:p>
    <w:p>
      <w:pPr>
        <w:spacing w:after="200" w:line="300" w:lineRule="auto"/>
      </w:pPr>
      <w:r>
        <w:t xml:space="preserve">The multi-agent literature </w:t>
      </w:r>
      <w:r>
        <w:t xml:space="preserve">[25, 26, 27]</w:t>
      </w:r>
      <w:r>
        <w:t xml:space="preserve"> is, as Section 3.3 noted, largely concerned with agents coordinating over reliable networks. We suggest this reflects an implicit datacentre assumption inherited from the field's origins rather than a considered position, and that the partitioned case — an agent that must act correctly while unable to reach its peers — deserves more attention than it receives. An aircraft is simply the setting where the assumption fails most visibly and most expensively.</w:t>
      </w:r>
    </w:p>
    <w:p>
      <w:pPr>
        <w:pStyle w:val="Heading2"/>
      </w:pPr>
      <w:r>
        <w:rPr>
          <w:b/>
          <w:bCs/>
        </w:rPr>
        <w:t xml:space="preserve">11.6 The Honest Cost</w:t>
      </w:r>
    </w:p>
    <w:p>
      <w:pPr>
        <w:spacing w:after="200" w:line="300" w:lineRule="auto"/>
      </w:pPr>
      <w:r>
        <w:t xml:space="preserve">Link independence is not free, and this paper would be dishonest if it did not tabulate the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Cost</w:t>
            </w:r>
          </w:p>
        </w:tc>
        <w:tc>
          <w:tcPr>
            <w:tcW w:type="dxa" w:w="28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Magnitude</w:t>
            </w:r>
          </w:p>
        </w:tc>
        <w:tc>
          <w:tcPr>
            <w:tcW w:type="dxa" w:w="46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Assessment</w:t>
            </w:r>
          </w:p>
        </w:tc>
      </w:tr>
      <w:tr>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Money</w:t>
            </w:r>
          </w:p>
        </w:tc>
        <w:tc>
          <w:tcPr>
            <w:tcW w:type="dxa" w:w="28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+$1,400 vs. hub-offload</w:t>
            </w:r>
          </w:p>
        </w:tc>
        <w:tc>
          <w:tcPr>
            <w:tcW w:type="dxa" w:w="46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The dominant cost. Non-trivial for a student.</w:t>
            </w:r>
          </w:p>
        </w:tc>
      </w:tr>
      <w:tr>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Mass</w:t>
            </w:r>
          </w:p>
        </w:tc>
        <w:tc>
          <w:tcPr>
            <w:tcW w:type="dxa" w:w="28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+203 g</w:t>
            </w:r>
          </w:p>
        </w:tc>
        <w:tc>
          <w:tcPr>
            <w:tcW w:type="dxa" w:w="46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Immaterial — ~6% of payload budget</w:t>
            </w:r>
          </w:p>
        </w:tc>
      </w:tr>
      <w:tr>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Power</w:t>
            </w:r>
          </w:p>
        </w:tc>
        <w:tc>
          <w:tcPr>
            <w:tcW w:type="dxa" w:w="28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15–40 W sustained</w:t>
            </w:r>
          </w:p>
        </w:tc>
        <w:tc>
          <w:tcPr>
            <w:tcW w:type="dxa" w:w="46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Material — reduces endurance; see 12.2</w:t>
            </w:r>
          </w:p>
        </w:tc>
      </w:tr>
      <w:tr>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Thermal</w:t>
            </w:r>
          </w:p>
        </w:tc>
        <w:tc>
          <w:tcPr>
            <w:tcW w:type="dxa" w:w="28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Requires active cooling + measured cap</w:t>
            </w:r>
          </w:p>
        </w:tc>
        <w:tc>
          <w:tcPr>
            <w:tcW w:type="dxa" w:w="46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Material — the most likely field failure</w:t>
            </w:r>
          </w:p>
        </w:tc>
      </w:tr>
      <w:tr>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Capability</w:t>
            </w:r>
          </w:p>
        </w:tc>
        <w:tc>
          <w:tcPr>
            <w:tcW w:type="dxa" w:w="28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3–4B onboard vs. 8–14B on hub</w:t>
            </w:r>
          </w:p>
        </w:tc>
        <w:tc>
          <w:tcPr>
            <w:tcW w:type="dxa" w:w="46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Real — mitigated by optional escalation</w:t>
            </w:r>
          </w:p>
        </w:tc>
      </w:tr>
      <w:tr>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Complexity</w:t>
            </w:r>
          </w:p>
        </w:tc>
        <w:tc>
          <w:tcPr>
            <w:tcW w:type="dxa" w:w="28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Two inference tiers, one contract</w:t>
            </w:r>
          </w:p>
        </w:tc>
        <w:tc>
          <w:tcPr>
            <w:tcW w:type="dxa" w:w="46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Modest — the contract is 20 lines</w:t>
            </w:r>
          </w:p>
        </w:tc>
      </w:tr>
    </w:tbl>
    <w:p>
      <w:pPr>
        <w:spacing w:after="200" w:line="300" w:lineRule="auto"/>
      </w:pPr>
      <w:r>
        <w:t xml:space="preserve">The capability cost is the one worth dwelling on. A three-billion-parameter model is meaningfully less capable than a fourteen-billion-parameter one, and an architecture that insists on the former is accepting a real reduction. The peer model's answer — escalate when possible, proceed regardless — recovers much of the difference without reintroducing the dependency, but it does not recover all of it. This is the trade the criterion demands, stated plainly.</w:t>
      </w:r>
    </w:p>
    <w:p>
      <w:r>
        <w:br w:type="page"/>
      </w:r>
    </w:p>
    <w:p>
      <w:pPr>
        <w:pStyle w:val="Heading1"/>
      </w:pPr>
      <w:r>
        <w:rPr>
          <w:b/>
          <w:bCs/>
        </w:rPr>
        <w:t xml:space="preserve">12. Limitations and Future Work</w:t>
      </w:r>
    </w:p>
    <w:p>
      <w:pPr>
        <w:pStyle w:val="Heading2"/>
      </w:pPr>
      <w:r>
        <w:rPr>
          <w:b/>
          <w:bCs/>
        </w:rPr>
        <w:t xml:space="preserve">12.1 Unsupported and Provisional Claims</w:t>
      </w:r>
    </w:p>
    <w:p>
      <w:pPr>
        <w:spacing w:after="200" w:line="300" w:lineRule="auto"/>
      </w:pPr>
      <w:r>
        <w:t xml:space="preserve">Following Section 2.4, claims that could not be adequately sourced are flagged here rather than left for a reader to discover.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Claim</w:t>
            </w:r>
          </w:p>
        </w:tc>
        <w:tc>
          <w:tcPr>
            <w:tcW w:type="dxa" w:w="19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c>
          <w:tcPr>
            <w:tcW w:type="dxa" w:w="44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Disposition</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~200 ms companion-link-loss threshold</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UNSOURCED</w:t>
            </w:r>
          </w:p>
        </w:tc>
        <w:tc>
          <w:tcPr>
            <w:tcW w:type="dxa" w:w="44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Stated as design choice, not finding (§7.3)</w:t>
            </w:r>
          </w:p>
        </w:tc>
      </w:tr>
      <w:tr>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Hailo revision to ~2B / 2.5 W</w:t>
            </w:r>
          </w:p>
        </w:tc>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SINGLE-SOURCED</w:t>
            </w:r>
          </w:p>
        </w:tc>
        <w:tc>
          <w:tcPr>
            <w:tcW w:type="dxa" w:w="44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Provisional; corroboration sought</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CVE-2026-1579 (PX4, CVSS 9.8)</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SINGLE-VENDOR</w:t>
            </w:r>
          </w:p>
        </w:tc>
        <w:tc>
          <w:tcPr>
            <w:tcW w:type="dxa" w:w="44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Provisional; recent</w:t>
            </w:r>
          </w:p>
        </w:tc>
      </w:tr>
      <w:tr>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FluxGrip export restriction</w:t>
            </w:r>
          </w:p>
        </w:tc>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DISTRIBUTION ONLY</w:t>
            </w:r>
          </w:p>
        </w:tc>
        <w:tc>
          <w:tcPr>
            <w:tcW w:type="dxa" w:w="44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NOT a confirmed ITAR listing (§12.4)</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Hailo-10H throughput</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SOURCES CONFLICT</w:t>
            </w:r>
          </w:p>
        </w:tc>
        <w:tc>
          <w:tcPr>
            <w:tcW w:type="dxa" w:w="44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Conflict reported, not resolved (§6.3.1)</w:t>
            </w:r>
          </w:p>
        </w:tc>
      </w:tr>
      <w:tr>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Orin Nano Super ~20–30 tok/s real</w:t>
            </w:r>
          </w:p>
        </w:tc>
        <w:tc>
          <w:tcPr>
            <w:tcW w:type="dxa" w:w="1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ESTIMATED</w:t>
            </w:r>
          </w:p>
        </w:tc>
        <w:tc>
          <w:tcPr>
            <w:tcW w:type="dxa" w:w="44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Extrapolated; not independently measured</w:t>
            </w:r>
          </w:p>
        </w:tc>
      </w:tr>
      <w:tr>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Bundle pricing and stock</w:t>
            </w:r>
          </w:p>
        </w:tc>
        <w:tc>
          <w:tcPr>
            <w:tcW w:type="dxa" w:w="1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VOLATILE</w:t>
            </w:r>
          </w:p>
        </w:tc>
        <w:tc>
          <w:tcPr>
            <w:tcW w:type="dxa" w:w="44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Verified 17 Jul 2026; cite with access date</w:t>
            </w:r>
          </w:p>
        </w:tc>
      </w:tr>
    </w:tbl>
    <w:p>
      <w:pPr>
        <w:pStyle w:val="Heading2"/>
      </w:pPr>
      <w:r>
        <w:rPr>
          <w:b/>
          <w:bCs/>
        </w:rPr>
        <w:t xml:space="preserve">12.2 Empirical Limitations</w:t>
      </w:r>
    </w:p>
    <w:p>
      <w:pPr>
        <w:spacing w:after="200" w:line="300" w:lineRule="auto"/>
      </w:pPr>
      <w:r>
        <w:t xml:space="preserve">This is a design-verification study. No flight data is reported. Every throughput, drift, thermal, and endurance figure requires confirmation on the assembled airframe, and Appendix C specifies the protocol. The most consequential unmeasured quantity is endurance: the paper argues in Section 6.6 that a well-configured node spends most of a sortie near idle because command parsing is bursty and vision runs on the camera, but this is an argument rather than a measurement, and it is the argument most likely to be wrong.</w:t>
      </w:r>
    </w:p>
    <w:p>
      <w:pPr>
        <w:spacing w:after="200" w:line="300" w:lineRule="auto"/>
      </w:pPr>
      <w:r>
        <w:t xml:space="preserve">The accuracy figures quoted from the SLAM literature </w:t>
      </w:r>
      <w:r>
        <w:t xml:space="preserve">[56, 62]</w:t>
      </w:r>
      <w:r>
        <w:t xml:space="preserve"> are dataset-specific benchmark results. They establish that the approach is viable; they do not predict performance on this airframe with its vibration signature, its lighting conditions, and its mount rigidity.</w:t>
      </w:r>
    </w:p>
    <w:p>
      <w:pPr>
        <w:pStyle w:val="Heading2"/>
      </w:pPr>
      <w:r>
        <w:rPr>
          <w:b/>
          <w:bCs/>
        </w:rPr>
        <w:t xml:space="preserve">12.3 The Confirmation-Gate Weakness</w:t>
      </w:r>
    </w:p>
    <w:p>
      <w:pPr>
        <w:spacing w:after="200" w:line="300" w:lineRule="auto"/>
      </w:pPr>
      <w:r>
        <w:t xml:space="preserve">Section 7.4 conceded this and it is restated here because it is, in our view, the architecture's most serious unresolved weakness. The human-factors literature </w:t>
      </w:r>
      <w:r>
        <w:t xml:space="preserve">[98, 93, 95, 94]</w:t>
      </w:r>
      <w:r>
        <w:t xml:space="preserve"> establishes robustly that operators under-scrutinize automated proposals, and that they do so more as the proposals become more reliable. A confirmation gate that is usually correct trains the operator to click through it.</w:t>
      </w:r>
    </w:p>
    <w:p>
      <w:pPr>
        <w:spacing w:after="200" w:line="300" w:lineRule="auto"/>
      </w:pPr>
      <w:r>
        <w:t xml:space="preserve">The architecture currently relies on the gate for its principal safety property, and the literature says the gate degrades in exactly the conditions where it is most needed. We do not have an answer. Plausible directions include forcing active rather than passive confirmation for irreversible actions, varying the confirmation modality, injecting deliberate proposal errors to maintain vigilance, and reducing the proposal rate so that each carries more weight. All are speculative and none is implemented.</w:t>
      </w:r>
    </w:p>
    <w:p>
      <w:pPr>
        <w:pStyle w:val="Heading2"/>
      </w:pPr>
      <w:r>
        <w:rPr>
          <w:b/>
          <w:bCs/>
        </w:rPr>
        <w:t xml:space="preserve">12.4 Sourcing Gaps</w:t>
      </w:r>
    </w:p>
    <w:p>
      <w:pPr>
        <w:spacing w:after="200" w:line="300" w:lineRule="auto"/>
      </w:pPr>
      <w:r>
        <w:t xml:space="preserve">Four areas remain thinner than the paper's standard requires, and are named so that a reader can discount accordingly:</w:t>
      </w:r>
    </w:p>
    <w:p>
      <w:pPr>
        <w:pStyle w:val="ListParagraph"/>
        <w:numPr>
          <w:ilvl w:val="0"/>
          <w:numId w:val="3"/>
        </w:numPr>
        <w:spacing w:after="100" w:line="300" w:lineRule="auto"/>
      </w:pPr>
      <w:r>
        <w:rPr>
          <w:b/>
          <w:bCs/>
        </w:rPr>
        <w:t xml:space="preserve">Networked-control thresholds. </w:t>
      </w:r>
      <w:r>
        <w:t xml:space="preserve">The literature </w:t>
      </w:r>
      <w:r>
        <w:t xml:space="preserve">[128, 129]</w:t>
      </w:r>
      <w:r>
        <w:t xml:space="preserve"> establishes that stability degrades with delay and loss but does not supply the specific threshold quoted in industry practice. Section 7.3 flags this.</w:t>
      </w:r>
    </w:p>
    <w:p>
      <w:pPr>
        <w:pStyle w:val="ListParagraph"/>
        <w:numPr>
          <w:ilvl w:val="0"/>
          <w:numId w:val="3"/>
        </w:numPr>
        <w:spacing w:after="100" w:line="300" w:lineRule="auto"/>
      </w:pPr>
      <w:r>
        <w:rPr>
          <w:b/>
          <w:bCs/>
        </w:rPr>
        <w:t xml:space="preserve">Autonomy taxonomies. </w:t>
      </w:r>
      <w:r>
        <w:t xml:space="preserve">The NIST framework </w:t>
      </w:r>
      <w:r>
        <w:t xml:space="preserve">[52]</w:t>
      </w:r>
      <w:r>
        <w:t xml:space="preserve"> predates language-model cognition and accommodates it poorly. No successor taxonomy was located that handles a stochastic advisory tier above a deterministic controller.</w:t>
      </w:r>
    </w:p>
    <w:p>
      <w:pPr>
        <w:pStyle w:val="ListParagraph"/>
        <w:numPr>
          <w:ilvl w:val="0"/>
          <w:numId w:val="3"/>
        </w:numPr>
        <w:spacing w:after="100" w:line="300" w:lineRule="auto"/>
      </w:pPr>
      <w:r>
        <w:rPr>
          <w:b/>
          <w:bCs/>
        </w:rPr>
        <w:t xml:space="preserve">Export control. </w:t>
      </w:r>
      <w:r>
        <w:t xml:space="preserve">The gripper's stated restriction </w:t>
      </w:r>
      <w:r>
        <w:t xml:space="preserve">[156]</w:t>
      </w:r>
      <w:r>
        <w:t xml:space="preserve"> is a manufacturer distribution policy covering EU, NATO, Commonwealth and Israel. This is not a confirmed ITAR listing and must not be described as one without independent verification.</w:t>
      </w:r>
    </w:p>
    <w:p>
      <w:pPr>
        <w:pStyle w:val="ListParagraph"/>
        <w:numPr>
          <w:ilvl w:val="0"/>
          <w:numId w:val="3"/>
        </w:numPr>
        <w:spacing w:after="100" w:line="300" w:lineRule="auto"/>
      </w:pPr>
      <w:r>
        <w:rPr>
          <w:b/>
          <w:bCs/>
        </w:rPr>
        <w:t xml:space="preserve">Formal verification of model output. </w:t>
      </w:r>
      <w:r>
        <w:t xml:space="preserve">The paper asserts that command validity should be gated but does not specify a formal verification method. The safety-standards literature </w:t>
      </w:r>
      <w:r>
        <w:t xml:space="preserve">[134, 137]</w:t>
      </w:r>
      <w:r>
        <w:t xml:space="preserve"> assumes deterministic components and offers no direct guidance for a stochastic proposer.</w:t>
      </w:r>
    </w:p>
    <w:p>
      <w:pPr>
        <w:pStyle w:val="Heading2"/>
      </w:pPr>
      <w:r>
        <w:rPr>
          <w:b/>
          <w:bCs/>
        </w:rPr>
        <w:t xml:space="preserve">12.5 Future Work</w:t>
      </w:r>
    </w:p>
    <w:p>
      <w:pPr>
        <w:pStyle w:val="ListParagraph"/>
        <w:numPr>
          <w:ilvl w:val="0"/>
          <w:numId w:val="2"/>
        </w:numPr>
        <w:spacing w:after="110" w:line="300" w:lineRule="auto"/>
      </w:pPr>
      <w:r>
        <w:t xml:space="preserve">Execute the acceptance protocol in Appendix C on the assembled airframe and publish measured throughput, time-to-first-token, thermal behaviour under sortie-duration load, and command-validity rate against the 100% published baseline.</w:t>
      </w:r>
    </w:p>
    <w:p>
      <w:pPr>
        <w:pStyle w:val="ListParagraph"/>
        <w:numPr>
          <w:ilvl w:val="0"/>
          <w:numId w:val="2"/>
        </w:numPr>
        <w:spacing w:after="110" w:line="300" w:lineRule="auto"/>
      </w:pPr>
      <w:r>
        <w:t xml:space="preserve">Measure endurance with and without sustained inference to quantify the cognition tier's true cost — the paper's largest unmeasured claim.</w:t>
      </w:r>
    </w:p>
    <w:p>
      <w:pPr>
        <w:pStyle w:val="ListParagraph"/>
        <w:numPr>
          <w:ilvl w:val="0"/>
          <w:numId w:val="2"/>
        </w:numPr>
        <w:spacing w:after="110" w:line="300" w:lineRule="auto"/>
      </w:pPr>
      <w:r>
        <w:t xml:space="preserve">Evaluate whether AWQ's reported 2.9× speedup on this platform reproduces for the 3–4B tier, which would materially raise the planning figure.</w:t>
      </w:r>
    </w:p>
    <w:p>
      <w:pPr>
        <w:pStyle w:val="ListParagraph"/>
        <w:numPr>
          <w:ilvl w:val="0"/>
          <w:numId w:val="2"/>
        </w:numPr>
        <w:spacing w:after="110" w:line="300" w:lineRule="auto"/>
      </w:pPr>
      <w:r>
        <w:t xml:space="preserve">Address the confirmation-gate weakness empirically rather than architecturally: measure operator scrutiny rates over extended use.</w:t>
      </w:r>
    </w:p>
    <w:p>
      <w:pPr>
        <w:pStyle w:val="ListParagraph"/>
        <w:numPr>
          <w:ilvl w:val="0"/>
          <w:numId w:val="2"/>
        </w:numPr>
        <w:spacing w:after="110" w:line="300" w:lineRule="auto"/>
      </w:pPr>
      <w:r>
        <w:t xml:space="preserve">Close the mission-success gap between 100% valid commands and 40% end-to-end success, which is where the field's remaining engineering lives.</w:t>
      </w:r>
    </w:p>
    <w:p>
      <w:pPr>
        <w:pStyle w:val="ListParagraph"/>
        <w:numPr>
          <w:ilvl w:val="0"/>
          <w:numId w:val="2"/>
        </w:numPr>
        <w:spacing w:after="110" w:line="300" w:lineRule="auto"/>
      </w:pPr>
      <w:r>
        <w:t xml:space="preserve">Extend the link-independence criterion to a formal availability calculus that a designer could apply without case-by-case argument.</w:t>
      </w:r>
    </w:p>
    <w:p>
      <w:r>
        <w:br w:type="page"/>
      </w:r>
    </w:p>
    <w:p>
      <w:pPr>
        <w:pStyle w:val="Heading1"/>
      </w:pPr>
      <w:r>
        <w:rPr>
          <w:b/>
          <w:bCs/>
        </w:rPr>
        <w:t xml:space="preserve">13. Conclusion</w:t>
      </w:r>
    </w:p>
    <w:p>
      <w:pPr>
        <w:spacing w:after="200" w:line="300" w:lineRule="auto"/>
      </w:pPr>
      <w:r>
        <w:t xml:space="preserve">This paper asked where the intelligence should live in a local-first system whose deployment envelope includes conditions its operator does not control, and answered: aboard.</w:t>
      </w:r>
    </w:p>
    <w:p>
      <w:pPr>
        <w:spacing w:after="200" w:line="300" w:lineRule="auto"/>
      </w:pPr>
      <w:r>
        <w:t xml:space="preserve">The link-independence criterion — that an autonomous capability is real only if it survives the loss of every network the system cannot itself guarantee — disqualifies the intuitive hub-and-limb architecture not on grounds of preference but on grounds of what the word autonomous denotes. The criterion is supported by the convergent testimony of three literatures that do not cite one another: local-first software </w:t>
      </w:r>
      <w:r>
        <w:t xml:space="preserve">[19]</w:t>
      </w:r>
      <w:r>
        <w:t xml:space="preserve"> holds that dependency on another party's cooperation is not ownership; GNSS security </w:t>
      </w:r>
      <w:r>
        <w:t xml:space="preserve">[66, 67, 69]</w:t>
      </w:r>
      <w:r>
        <w:t xml:space="preserve"> holds that satellite navigation cannot be trusted; radio-link security </w:t>
      </w:r>
      <w:r>
        <w:t xml:space="preserve">[75, 74]</w:t>
      </w:r>
      <w:r>
        <w:t xml:space="preserve"> holds that the command link cannot be trusted either. Each field reached the criterion in its own vocabulary before this paper named it.</w:t>
      </w:r>
    </w:p>
    <w:p>
      <w:pPr>
        <w:spacing w:after="200" w:line="300" w:lineRule="auto"/>
      </w:pPr>
      <w:r>
        <w:t xml:space="preserve">The Jetson Orin NX 16 GB is the only evaluated configuration delivering real-time natural-language inference within a flight-worthy mass, power, and thermal budget while surviving loss of every network. The Raspberry Pi cannot fill the role at this tier: its neural accelerator is a vision engine </w:t>
      </w:r>
      <w:r>
        <w:t xml:space="preserve">[146]</w:t>
      </w:r>
      <w:r>
        <w:t xml:space="preserve">, and its 2026 successor reaches only the smallest models through a closed toolchain </w:t>
      </w:r>
      <w:r>
        <w:t xml:space="preserve">[147]</w:t>
      </w:r>
      <w:r>
        <w:t xml:space="preserve"> — in one independent measurement more slowly than the processor it was meant to assist </w:t>
      </w:r>
      <w:r>
        <w:t xml:space="preserve">[148]</w:t>
      </w:r>
      <w:r>
        <w:t xml:space="preserve">, a discrepancy the manufacturer subsequently conceded </w:t>
      </w:r>
      <w:r>
        <w:t xml:space="preserve">[149]</w:t>
      </w:r>
      <w:r>
        <w:t xml:space="preserve">. Published evidence establishes that small models from the Gemma, Qwen, and Llama families generate valid flight commands at rates adequate for practical use </w:t>
      </w:r>
      <w:r>
        <w:t xml:space="preserve">[36]</w:t>
      </w:r>
      <w:r>
        <w:t xml:space="preserve">, which converts the architecture from an aspiration into a plan.</w:t>
      </w:r>
    </w:p>
    <w:p>
      <w:pPr>
        <w:spacing w:after="200" w:line="300" w:lineRule="auto"/>
      </w:pPr>
      <w:r>
        <w:t xml:space="preserve">The strongest objection to the work — that language models are ungrounded and unsafe for direct robotic deployment, stated in print by the field's own leading practitioners </w:t>
      </w:r>
      <w:r>
        <w:t xml:space="preserve">[37, 38]</w:t>
      </w:r>
      <w:r>
        <w:t xml:space="preserve"> — is accepted rather than disputed, and answered architecturally. The model proposes; a human authorizes; a deterministic autopilot executes and overrides; a hash chain records. The model is never in the flight-critical path, which is what makes an ungrounded component tolerable aboard a physical vehicle. This is a narrower claim than the field's enthusiasm often implies, and it is the claim the evidence will bear.</w:t>
      </w:r>
    </w:p>
    <w:p>
      <w:pPr>
        <w:spacing w:after="200" w:line="300" w:lineRule="auto"/>
      </w:pPr>
      <w:r>
        <w:t xml:space="preserve">What emerges is a peer rather than a limb: an aircraft that reasons alone, defends its own link and navigation, continues when satellites are denied, proves what it did, acts only with human authorization, carries no weapon and engages no other aircraft. It reaches the hub when the hub is reachable and is undiminished when it is not. That is the local-first thesis carried into the air and made to survive there.</w:t>
      </w:r>
    </w:p>
    <w:p>
      <w:pPr>
        <w:spacing w:after="200" w:line="300" w:lineRule="auto"/>
      </w:pPr>
      <w:r>
        <w:t xml:space="preserve">The research gap is narrow and real. The nearest precursor </w:t>
      </w:r>
      <w:r>
        <w:t xml:space="preserve">[36]</w:t>
      </w:r>
      <w:r>
        <w:t xml:space="preserve"> executed its models on workstation GPUs while its aircraft handled odometry, and named edge-deployable models as future work. The models did not fly. Making them fly — and measuring honestly what happens when they do — is the contribution this paper frames and the next one must earn.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DA9C4" w:val="clear"/>
            <w:tcMar>
              <w:top w:type="dxa" w:w="60"/>
              <w:left w:type="dxa" w:w="120"/>
              <w:bottom w:type="dxa" w:w="60"/>
              <w:right w:type="dxa" w:w="120"/>
            </w:tcMar>
          </w:tcPr>
          <w:p>
            <w:pPr>
              <w:jc w:val="center"/>
            </w:pPr>
            <w:r>
              <w:rPr>
                <w:rFonts w:ascii="Georgia" w:cs="Georgia" w:eastAsia="Georgia" w:hAnsi="Georgia"/>
                <w:b/>
                <w:bCs/>
                <w:color w:val="FFFFFF"/>
                <w:sz w:val="18"/>
                <w:szCs w:val="18"/>
              </w:rPr>
              <w:t xml:space="preserve">174 SOURCES · 105 SCHOLARLY · EVERY CLAIM TYPED · EVERY GAP FLAGGED</w:t>
            </w:r>
          </w:p>
        </w:tc>
      </w:tr>
    </w:tbl>
    <w:p>
      <w:pPr>
        <w:spacing w:after="100"/>
      </w:pPr>
    </w:p>
    <w:p>
      <w:pPr>
        <w:pStyle w:val="Heading2"/>
      </w:pPr>
      <w:r>
        <w:rPr>
          <w:b/>
          <w:bCs/>
        </w:rPr>
        <w:t xml:space="preserve">Declarations</w:t>
      </w:r>
    </w:p>
    <w:p>
      <w:pPr>
        <w:spacing w:after="200" w:line="300" w:lineRule="auto"/>
      </w:pPr>
      <w:r>
        <w:rPr>
          <w:b/>
          <w:bCs/>
        </w:rPr>
        <w:t xml:space="preserve">Funding: </w:t>
      </w:r>
      <w:r>
        <w:t xml:space="preserve">None. This work was self-funded.</w:t>
      </w:r>
    </w:p>
    <w:p>
      <w:pPr>
        <w:spacing w:after="200" w:line="300" w:lineRule="auto"/>
      </w:pPr>
      <w:r>
        <w:rPr>
          <w:b/>
          <w:bCs/>
        </w:rPr>
        <w:t xml:space="preserve">Conflicts of interest: </w:t>
      </w:r>
      <w:r>
        <w:t xml:space="preserve">The author has no financial relationship with any vendor named in this paper. Hardware was purchased at retail.</w:t>
      </w:r>
    </w:p>
    <w:p>
      <w:pPr>
        <w:spacing w:after="200" w:line="300" w:lineRule="auto"/>
      </w:pPr>
      <w:r>
        <w:rPr>
          <w:b/>
          <w:bCs/>
        </w:rPr>
        <w:t xml:space="preserve">Data availability: </w:t>
      </w:r>
      <w:r>
        <w:t xml:space="preserve">No flight data is reported; see Section 12.2. The acceptance protocol in Appendix C specifies the measurements to be published on completion.</w:t>
      </w:r>
    </w:p>
    <w:p>
      <w:pPr>
        <w:spacing w:after="200" w:line="300" w:lineRule="auto"/>
      </w:pPr>
      <w:r>
        <w:rPr>
          <w:b/>
          <w:bCs/>
        </w:rPr>
        <w:t xml:space="preserve">Ethical statement: </w:t>
      </w:r>
      <w:r>
        <w:t xml:space="preserve">The platform described is gripper-only and defensive-only by design and by law (Section 10.2). No excluded capability was prototyped, simulated, or demonstrated in the course of this work.</w:t>
      </w:r>
    </w:p>
    <w:p>
      <w:r>
        <w:br w:type="page"/>
      </w:r>
    </w:p>
    <w:p>
      <w:pPr>
        <w:pStyle w:val="Heading1"/>
      </w:pPr>
      <w:r>
        <w:rPr>
          <w:b/>
          <w:bCs/>
        </w:rPr>
        <w:t xml:space="preserve">References</w:t>
      </w:r>
    </w:p>
    <w:p>
      <w:pPr>
        <w:spacing w:after="200" w:line="300" w:lineRule="auto"/>
      </w:pPr>
      <w:r>
        <w:t xml:space="preserve">174 sources. Each entry carries an evidentiary type per Section 2.2: </w:t>
      </w:r>
      <w:r>
        <w:rPr>
          <w:b/>
          <w:bCs/>
        </w:rPr>
        <w:t xml:space="preserve">PR</w:t>
      </w:r>
      <w:r>
        <w:t xml:space="preserve"> peer-reviewed · </w:t>
      </w:r>
      <w:r>
        <w:rPr>
          <w:b/>
          <w:bCs/>
        </w:rPr>
        <w:t xml:space="preserve">PP</w:t>
      </w:r>
      <w:r>
        <w:t xml:space="preserve"> preprint · </w:t>
      </w:r>
      <w:r>
        <w:rPr>
          <w:b/>
          <w:bCs/>
        </w:rPr>
        <w:t xml:space="preserve">PL</w:t>
      </w:r>
      <w:r>
        <w:t xml:space="preserve"> primary legal or standard · </w:t>
      </w:r>
      <w:r>
        <w:rPr>
          <w:b/>
          <w:bCs/>
        </w:rPr>
        <w:t xml:space="preserve">V</w:t>
      </w:r>
      <w:r>
        <w:t xml:space="preserve"> vendor or primary technical · </w:t>
      </w:r>
      <w:r>
        <w:rPr>
          <w:b/>
          <w:bCs/>
        </w:rPr>
        <w:t xml:space="preserve">IB</w:t>
      </w:r>
      <w:r>
        <w:t xml:space="preserve"> independent benchmark or security research · </w:t>
      </w:r>
      <w:r>
        <w:rPr>
          <w:b/>
          <w:bCs/>
        </w:rPr>
        <w:t xml:space="preserve">CL</w:t>
      </w:r>
      <w:r>
        <w:t xml:space="preserve"> canonical monograph. Scholarly sources (PR + PP + CL) total 105.</w:t>
      </w:r>
    </w:p>
    <w:p>
      <w:pPr>
        <w:spacing w:after="100"/>
      </w:pPr>
    </w:p>
    <w:p>
      <w:pPr>
        <w:spacing w:after="90" w:line="240" w:lineRule="auto"/>
        <w:ind w:left="620" w:hanging="620"/>
      </w:pPr>
      <w:r>
        <w:rPr>
          <w:rFonts w:ascii="Georgia" w:cs="Georgia" w:eastAsia="Georgia" w:hAnsi="Georgia"/>
          <w:b/>
          <w:bCs/>
          <w:color w:val="13315C"/>
          <w:sz w:val="18"/>
          <w:szCs w:val="18"/>
        </w:rPr>
        <w:t xml:space="preserve">[1] </w:t>
      </w:r>
      <w:r>
        <w:rPr>
          <w:rFonts w:ascii="Consolas" w:cs="Consolas" w:eastAsia="Consolas" w:hAnsi="Consolas"/>
          <w:b/>
          <w:bCs/>
          <w:color w:val="8DA9C4"/>
          <w:sz w:val="15"/>
          <w:szCs w:val="15"/>
        </w:rPr>
        <w:t xml:space="preserve">PR  </w:t>
      </w:r>
      <w:r>
        <w:rPr>
          <w:sz w:val="18"/>
          <w:szCs w:val="18"/>
        </w:rPr>
        <w:t xml:space="preserve">Ding, Y. et al. “Empowering large language models to edge intelligence: A survey of edge efficient LLMs and techniques.” Computer Science Review 57 (2025), art. 100755. doi:10.1016/j.cosrev.2025.100755.</w:t>
      </w:r>
    </w:p>
    <w:p>
      <w:pPr>
        <w:spacing w:after="90" w:line="240" w:lineRule="auto"/>
        <w:ind w:left="620" w:hanging="620"/>
      </w:pPr>
      <w:r>
        <w:rPr>
          <w:rFonts w:ascii="Georgia" w:cs="Georgia" w:eastAsia="Georgia" w:hAnsi="Georgia"/>
          <w:b/>
          <w:bCs/>
          <w:color w:val="13315C"/>
          <w:sz w:val="18"/>
          <w:szCs w:val="18"/>
        </w:rPr>
        <w:t xml:space="preserve">[2] </w:t>
      </w:r>
      <w:r>
        <w:rPr>
          <w:rFonts w:ascii="Consolas" w:cs="Consolas" w:eastAsia="Consolas" w:hAnsi="Consolas"/>
          <w:b/>
          <w:bCs/>
          <w:color w:val="8DA9C4"/>
          <w:sz w:val="15"/>
          <w:szCs w:val="15"/>
        </w:rPr>
        <w:t xml:space="preserve">PR  </w:t>
      </w:r>
      <w:r>
        <w:rPr>
          <w:sz w:val="18"/>
          <w:szCs w:val="18"/>
        </w:rPr>
        <w:t xml:space="preserve">“A Review on Edge Large Language Models: Design, Execution, and Applications.” ACM Computing Surveys (2025). doi:10.1145/3719664.</w:t>
      </w:r>
    </w:p>
    <w:p>
      <w:pPr>
        <w:spacing w:after="90" w:line="240" w:lineRule="auto"/>
        <w:ind w:left="620" w:hanging="620"/>
      </w:pPr>
      <w:r>
        <w:rPr>
          <w:rFonts w:ascii="Georgia" w:cs="Georgia" w:eastAsia="Georgia" w:hAnsi="Georgia"/>
          <w:b/>
          <w:bCs/>
          <w:color w:val="13315C"/>
          <w:sz w:val="18"/>
          <w:szCs w:val="18"/>
        </w:rPr>
        <w:t xml:space="preserve">[3] </w:t>
      </w:r>
      <w:r>
        <w:rPr>
          <w:rFonts w:ascii="Consolas" w:cs="Consolas" w:eastAsia="Consolas" w:hAnsi="Consolas"/>
          <w:b/>
          <w:bCs/>
          <w:color w:val="8DA9C4"/>
          <w:sz w:val="15"/>
          <w:szCs w:val="15"/>
        </w:rPr>
        <w:t xml:space="preserve">PR  </w:t>
      </w:r>
      <w:r>
        <w:rPr>
          <w:sz w:val="18"/>
          <w:szCs w:val="18"/>
        </w:rPr>
        <w:t xml:space="preserve">“Network Edge Inference for Large Language Models: Principles, Techniques, and Opportunities.” ACM Computing Surveys (2025). doi:10.1145/3809166.</w:t>
      </w:r>
    </w:p>
    <w:p>
      <w:pPr>
        <w:spacing w:after="90" w:line="240" w:lineRule="auto"/>
        <w:ind w:left="620" w:hanging="620"/>
      </w:pPr>
      <w:r>
        <w:rPr>
          <w:rFonts w:ascii="Georgia" w:cs="Georgia" w:eastAsia="Georgia" w:hAnsi="Georgia"/>
          <w:b/>
          <w:bCs/>
          <w:color w:val="13315C"/>
          <w:sz w:val="18"/>
          <w:szCs w:val="18"/>
        </w:rPr>
        <w:t xml:space="preserve">[4] </w:t>
      </w:r>
      <w:r>
        <w:rPr>
          <w:rFonts w:ascii="Consolas" w:cs="Consolas" w:eastAsia="Consolas" w:hAnsi="Consolas"/>
          <w:b/>
          <w:bCs/>
          <w:color w:val="8DA9C4"/>
          <w:sz w:val="15"/>
          <w:szCs w:val="15"/>
        </w:rPr>
        <w:t xml:space="preserve">PR  </w:t>
      </w:r>
      <w:r>
        <w:rPr>
          <w:sz w:val="18"/>
          <w:szCs w:val="18"/>
        </w:rPr>
        <w:t xml:space="preserve">“Efficient Inference for Edge Large Language Models: A Survey.” Tsinghua Science and Technology (2025). doi:10.26599/TST.2025.9010166.</w:t>
      </w:r>
    </w:p>
    <w:p>
      <w:pPr>
        <w:spacing w:after="90" w:line="240" w:lineRule="auto"/>
        <w:ind w:left="620" w:hanging="620"/>
      </w:pPr>
      <w:r>
        <w:rPr>
          <w:rFonts w:ascii="Georgia" w:cs="Georgia" w:eastAsia="Georgia" w:hAnsi="Georgia"/>
          <w:b/>
          <w:bCs/>
          <w:color w:val="13315C"/>
          <w:sz w:val="18"/>
          <w:szCs w:val="18"/>
        </w:rPr>
        <w:t xml:space="preserve">[5] </w:t>
      </w:r>
      <w:r>
        <w:rPr>
          <w:rFonts w:ascii="Consolas" w:cs="Consolas" w:eastAsia="Consolas" w:hAnsi="Consolas"/>
          <w:b/>
          <w:bCs/>
          <w:color w:val="8DA9C4"/>
          <w:sz w:val="15"/>
          <w:szCs w:val="15"/>
        </w:rPr>
        <w:t xml:space="preserve">PP  </w:t>
      </w:r>
      <w:r>
        <w:rPr>
          <w:sz w:val="18"/>
          <w:szCs w:val="18"/>
        </w:rPr>
        <w:t xml:space="preserve">Van Nguyen, C. et al. “A Survey of Small Language Models.” arXiv:2410.20011 (2024).</w:t>
      </w:r>
    </w:p>
    <w:p>
      <w:pPr>
        <w:spacing w:after="90" w:line="240" w:lineRule="auto"/>
        <w:ind w:left="620" w:hanging="620"/>
      </w:pPr>
      <w:r>
        <w:rPr>
          <w:rFonts w:ascii="Georgia" w:cs="Georgia" w:eastAsia="Georgia" w:hAnsi="Georgia"/>
          <w:b/>
          <w:bCs/>
          <w:color w:val="13315C"/>
          <w:sz w:val="18"/>
          <w:szCs w:val="18"/>
        </w:rPr>
        <w:t xml:space="preserve">[6] </w:t>
      </w:r>
      <w:r>
        <w:rPr>
          <w:rFonts w:ascii="Consolas" w:cs="Consolas" w:eastAsia="Consolas" w:hAnsi="Consolas"/>
          <w:b/>
          <w:bCs/>
          <w:color w:val="8DA9C4"/>
          <w:sz w:val="15"/>
          <w:szCs w:val="15"/>
        </w:rPr>
        <w:t xml:space="preserve">PP  </w:t>
      </w:r>
      <w:r>
        <w:rPr>
          <w:sz w:val="18"/>
          <w:szCs w:val="18"/>
        </w:rPr>
        <w:t xml:space="preserve">Lu, Z. et al. “Small Language Models: Survey, Measurements, and Insights.” arXiv:2409.15790 (2024).</w:t>
      </w:r>
    </w:p>
    <w:p>
      <w:pPr>
        <w:spacing w:after="90" w:line="240" w:lineRule="auto"/>
        <w:ind w:left="620" w:hanging="620"/>
      </w:pPr>
      <w:r>
        <w:rPr>
          <w:rFonts w:ascii="Georgia" w:cs="Georgia" w:eastAsia="Georgia" w:hAnsi="Georgia"/>
          <w:b/>
          <w:bCs/>
          <w:color w:val="13315C"/>
          <w:sz w:val="18"/>
          <w:szCs w:val="18"/>
        </w:rPr>
        <w:t xml:space="preserve">[7] </w:t>
      </w:r>
      <w:r>
        <w:rPr>
          <w:rFonts w:ascii="Consolas" w:cs="Consolas" w:eastAsia="Consolas" w:hAnsi="Consolas"/>
          <w:b/>
          <w:bCs/>
          <w:color w:val="8DA9C4"/>
          <w:sz w:val="15"/>
          <w:szCs w:val="15"/>
        </w:rPr>
        <w:t xml:space="preserve">PP  </w:t>
      </w:r>
      <w:r>
        <w:rPr>
          <w:sz w:val="18"/>
          <w:szCs w:val="18"/>
        </w:rPr>
        <w:t xml:space="preserve">“Collaborative Inference and Learning between Edge SLMs and Cloud LLMs.” arXiv:2507.16731 (2025).</w:t>
      </w:r>
    </w:p>
    <w:p>
      <w:pPr>
        <w:spacing w:after="90" w:line="240" w:lineRule="auto"/>
        <w:ind w:left="620" w:hanging="620"/>
      </w:pPr>
      <w:r>
        <w:rPr>
          <w:rFonts w:ascii="Georgia" w:cs="Georgia" w:eastAsia="Georgia" w:hAnsi="Georgia"/>
          <w:b/>
          <w:bCs/>
          <w:color w:val="13315C"/>
          <w:sz w:val="18"/>
          <w:szCs w:val="18"/>
        </w:rPr>
        <w:t xml:space="preserve">[8] </w:t>
      </w:r>
      <w:r>
        <w:rPr>
          <w:rFonts w:ascii="Consolas" w:cs="Consolas" w:eastAsia="Consolas" w:hAnsi="Consolas"/>
          <w:b/>
          <w:bCs/>
          <w:color w:val="8DA9C4"/>
          <w:sz w:val="15"/>
          <w:szCs w:val="15"/>
        </w:rPr>
        <w:t xml:space="preserve">PR  </w:t>
      </w:r>
      <w:r>
        <w:rPr>
          <w:sz w:val="18"/>
          <w:szCs w:val="18"/>
        </w:rPr>
        <w:t xml:space="preserve">Lin, J., Tang, J., Tang, H., Yang, S. et al. “AWQ: Activation-aware Weight Quantization for On-Device LLM Compression and Acceleration.” Proceedings of Machine Learning and Systems (MLSys) 2024. Best Paper Award. arXiv:2306.00978.</w:t>
      </w:r>
    </w:p>
    <w:p>
      <w:pPr>
        <w:spacing w:after="90" w:line="240" w:lineRule="auto"/>
        <w:ind w:left="620" w:hanging="620"/>
      </w:pPr>
      <w:r>
        <w:rPr>
          <w:rFonts w:ascii="Georgia" w:cs="Georgia" w:eastAsia="Georgia" w:hAnsi="Georgia"/>
          <w:b/>
          <w:bCs/>
          <w:color w:val="13315C"/>
          <w:sz w:val="18"/>
          <w:szCs w:val="18"/>
        </w:rPr>
        <w:t xml:space="preserve">[9] </w:t>
      </w:r>
      <w:r>
        <w:rPr>
          <w:rFonts w:ascii="Consolas" w:cs="Consolas" w:eastAsia="Consolas" w:hAnsi="Consolas"/>
          <w:b/>
          <w:bCs/>
          <w:color w:val="8DA9C4"/>
          <w:sz w:val="15"/>
          <w:szCs w:val="15"/>
        </w:rPr>
        <w:t xml:space="preserve">PR  </w:t>
      </w:r>
      <w:r>
        <w:rPr>
          <w:sz w:val="18"/>
          <w:szCs w:val="18"/>
        </w:rPr>
        <w:t xml:space="preserve">Frantar, E., Ashkboos, S., Hoefler, T., Alistarh, D. “GPTQ: Accurate Post-Training Quantization for Generative Pre-trained Transformers.” ICLR 2023. arXiv:2210.17323.</w:t>
      </w:r>
    </w:p>
    <w:p>
      <w:pPr>
        <w:spacing w:after="90" w:line="240" w:lineRule="auto"/>
        <w:ind w:left="620" w:hanging="620"/>
      </w:pPr>
      <w:r>
        <w:rPr>
          <w:rFonts w:ascii="Georgia" w:cs="Georgia" w:eastAsia="Georgia" w:hAnsi="Georgia"/>
          <w:b/>
          <w:bCs/>
          <w:color w:val="13315C"/>
          <w:sz w:val="18"/>
          <w:szCs w:val="18"/>
        </w:rPr>
        <w:t xml:space="preserve">[10] </w:t>
      </w:r>
      <w:r>
        <w:rPr>
          <w:rFonts w:ascii="Consolas" w:cs="Consolas" w:eastAsia="Consolas" w:hAnsi="Consolas"/>
          <w:b/>
          <w:bCs/>
          <w:color w:val="8DA9C4"/>
          <w:sz w:val="15"/>
          <w:szCs w:val="15"/>
        </w:rPr>
        <w:t xml:space="preserve">PR  </w:t>
      </w:r>
      <w:r>
        <w:rPr>
          <w:sz w:val="18"/>
          <w:szCs w:val="18"/>
        </w:rPr>
        <w:t xml:space="preserve">Xiao, G., Lin, J., Seznec, M., Wu, H., Demouth, J., Han, S. “SmoothQuant: Accurate and Efficient Post-Training Quantization for Large Language Models.” ICML 2023. arXiv:2211.10438.</w:t>
      </w:r>
    </w:p>
    <w:p>
      <w:pPr>
        <w:spacing w:after="90" w:line="240" w:lineRule="auto"/>
        <w:ind w:left="620" w:hanging="620"/>
      </w:pPr>
      <w:r>
        <w:rPr>
          <w:rFonts w:ascii="Georgia" w:cs="Georgia" w:eastAsia="Georgia" w:hAnsi="Georgia"/>
          <w:b/>
          <w:bCs/>
          <w:color w:val="13315C"/>
          <w:sz w:val="18"/>
          <w:szCs w:val="18"/>
        </w:rPr>
        <w:t xml:space="preserve">[11] </w:t>
      </w:r>
      <w:r>
        <w:rPr>
          <w:rFonts w:ascii="Consolas" w:cs="Consolas" w:eastAsia="Consolas" w:hAnsi="Consolas"/>
          <w:b/>
          <w:bCs/>
          <w:color w:val="8DA9C4"/>
          <w:sz w:val="15"/>
          <w:szCs w:val="15"/>
        </w:rPr>
        <w:t xml:space="preserve">PR  </w:t>
      </w:r>
      <w:r>
        <w:rPr>
          <w:sz w:val="18"/>
          <w:szCs w:val="18"/>
        </w:rPr>
        <w:t xml:space="preserve">Dettmers, T., Lewis, M., Belkada, Y., Zettlemoyer, L. “LLM.int8(): 8-bit Matrix Multiplication for Transformers at Scale.” NeurIPS 2022. arXiv:2208.07339.</w:t>
      </w:r>
    </w:p>
    <w:p>
      <w:pPr>
        <w:spacing w:after="90" w:line="240" w:lineRule="auto"/>
        <w:ind w:left="620" w:hanging="620"/>
      </w:pPr>
      <w:r>
        <w:rPr>
          <w:rFonts w:ascii="Georgia" w:cs="Georgia" w:eastAsia="Georgia" w:hAnsi="Georgia"/>
          <w:b/>
          <w:bCs/>
          <w:color w:val="13315C"/>
          <w:sz w:val="18"/>
          <w:szCs w:val="18"/>
        </w:rPr>
        <w:t xml:space="preserve">[12] </w:t>
      </w:r>
      <w:r>
        <w:rPr>
          <w:rFonts w:ascii="Consolas" w:cs="Consolas" w:eastAsia="Consolas" w:hAnsi="Consolas"/>
          <w:b/>
          <w:bCs/>
          <w:color w:val="8DA9C4"/>
          <w:sz w:val="15"/>
          <w:szCs w:val="15"/>
        </w:rPr>
        <w:t xml:space="preserve">PR  </w:t>
      </w:r>
      <w:r>
        <w:rPr>
          <w:sz w:val="18"/>
          <w:szCs w:val="18"/>
        </w:rPr>
        <w:t xml:space="preserve">Chen, T. et al. “TVM: An Automated End-to-End Optimizing Compiler for Deep Learning.” 13th USENIX Symposium on Operating Systems Design and Implementation (OSDI) 2018, pp. 578–594.</w:t>
      </w:r>
    </w:p>
    <w:p>
      <w:pPr>
        <w:spacing w:after="90" w:line="240" w:lineRule="auto"/>
        <w:ind w:left="620" w:hanging="620"/>
      </w:pPr>
      <w:r>
        <w:rPr>
          <w:rFonts w:ascii="Georgia" w:cs="Georgia" w:eastAsia="Georgia" w:hAnsi="Georgia"/>
          <w:b/>
          <w:bCs/>
          <w:color w:val="13315C"/>
          <w:sz w:val="18"/>
          <w:szCs w:val="18"/>
        </w:rPr>
        <w:t xml:space="preserve">[13] </w:t>
      </w:r>
      <w:r>
        <w:rPr>
          <w:rFonts w:ascii="Consolas" w:cs="Consolas" w:eastAsia="Consolas" w:hAnsi="Consolas"/>
          <w:b/>
          <w:bCs/>
          <w:color w:val="8DA9C4"/>
          <w:sz w:val="15"/>
          <w:szCs w:val="15"/>
        </w:rPr>
        <w:t xml:space="preserve">PP  </w:t>
      </w:r>
      <w:r>
        <w:rPr>
          <w:sz w:val="18"/>
          <w:szCs w:val="18"/>
        </w:rPr>
        <w:t xml:space="preserve">“LLM Inference at the Edge: Mobile, NPU, and GPU.” arXiv:2603.23640 (2026). Measures Qwen2.5-1.5B INT4 across Hailo-10H, Jetson Orin Nano, RTX 4050 and mobile SoCs with energy-per-token and coefficient-of-variation methodology.</w:t>
      </w:r>
    </w:p>
    <w:p>
      <w:pPr>
        <w:spacing w:after="90" w:line="240" w:lineRule="auto"/>
        <w:ind w:left="620" w:hanging="620"/>
      </w:pPr>
      <w:r>
        <w:rPr>
          <w:rFonts w:ascii="Georgia" w:cs="Georgia" w:eastAsia="Georgia" w:hAnsi="Georgia"/>
          <w:b/>
          <w:bCs/>
          <w:color w:val="13315C"/>
          <w:sz w:val="18"/>
          <w:szCs w:val="18"/>
        </w:rPr>
        <w:t xml:space="preserve">[14] </w:t>
      </w:r>
      <w:r>
        <w:rPr>
          <w:rFonts w:ascii="Consolas" w:cs="Consolas" w:eastAsia="Consolas" w:hAnsi="Consolas"/>
          <w:b/>
          <w:bCs/>
          <w:color w:val="8DA9C4"/>
          <w:sz w:val="15"/>
          <w:szCs w:val="15"/>
        </w:rPr>
        <w:t xml:space="preserve">PP  </w:t>
      </w:r>
      <w:r>
        <w:rPr>
          <w:sz w:val="18"/>
          <w:szCs w:val="18"/>
        </w:rPr>
        <w:t xml:space="preserve">Hinton, G., Vinyals, O., Dean, J. “Distilling the Knowledge in a Neural Network.” arXiv:1503.02531 (2015). NIPS 2014 Deep Learning Workshop.</w:t>
      </w:r>
    </w:p>
    <w:p>
      <w:pPr>
        <w:spacing w:after="90" w:line="240" w:lineRule="auto"/>
        <w:ind w:left="620" w:hanging="620"/>
      </w:pPr>
      <w:r>
        <w:rPr>
          <w:rFonts w:ascii="Georgia" w:cs="Georgia" w:eastAsia="Georgia" w:hAnsi="Georgia"/>
          <w:b/>
          <w:bCs/>
          <w:color w:val="13315C"/>
          <w:sz w:val="18"/>
          <w:szCs w:val="18"/>
        </w:rPr>
        <w:t xml:space="preserve">[15] </w:t>
      </w:r>
      <w:r>
        <w:rPr>
          <w:rFonts w:ascii="Consolas" w:cs="Consolas" w:eastAsia="Consolas" w:hAnsi="Consolas"/>
          <w:b/>
          <w:bCs/>
          <w:color w:val="8DA9C4"/>
          <w:sz w:val="15"/>
          <w:szCs w:val="15"/>
        </w:rPr>
        <w:t xml:space="preserve">PR  </w:t>
      </w:r>
      <w:r>
        <w:rPr>
          <w:sz w:val="18"/>
          <w:szCs w:val="18"/>
        </w:rPr>
        <w:t xml:space="preserve">Lin, J., Chen, W.-M., Lin, Y., Cohn, J., Gan, C., Han, S. “MCUNet: Tiny Deep Learning on IoT Devices.” NeurIPS 2020. arXiv:2007.10319.</w:t>
      </w:r>
    </w:p>
    <w:p>
      <w:pPr>
        <w:spacing w:after="90" w:line="240" w:lineRule="auto"/>
        <w:ind w:left="620" w:hanging="620"/>
      </w:pPr>
      <w:r>
        <w:rPr>
          <w:rFonts w:ascii="Georgia" w:cs="Georgia" w:eastAsia="Georgia" w:hAnsi="Georgia"/>
          <w:b/>
          <w:bCs/>
          <w:color w:val="13315C"/>
          <w:sz w:val="18"/>
          <w:szCs w:val="18"/>
        </w:rPr>
        <w:t xml:space="preserve">[16] </w:t>
      </w:r>
      <w:r>
        <w:rPr>
          <w:rFonts w:ascii="Consolas" w:cs="Consolas" w:eastAsia="Consolas" w:hAnsi="Consolas"/>
          <w:b/>
          <w:bCs/>
          <w:color w:val="8DA9C4"/>
          <w:sz w:val="15"/>
          <w:szCs w:val="15"/>
        </w:rPr>
        <w:t xml:space="preserve">V   </w:t>
      </w:r>
      <w:r>
        <w:rPr>
          <w:sz w:val="18"/>
          <w:szCs w:val="18"/>
        </w:rPr>
        <w:t xml:space="preserve">Gerganov, G. et al. llama.cpp: LLM inference in C/C++. GGUF quantization format. github.com/ggml-org/llama.cpp.</w:t>
      </w:r>
    </w:p>
    <w:p>
      <w:pPr>
        <w:spacing w:after="90" w:line="240" w:lineRule="auto"/>
        <w:ind w:left="620" w:hanging="620"/>
      </w:pPr>
      <w:r>
        <w:rPr>
          <w:rFonts w:ascii="Georgia" w:cs="Georgia" w:eastAsia="Georgia" w:hAnsi="Georgia"/>
          <w:b/>
          <w:bCs/>
          <w:color w:val="13315C"/>
          <w:sz w:val="18"/>
          <w:szCs w:val="18"/>
        </w:rPr>
        <w:t xml:space="preserve">[17] </w:t>
      </w:r>
      <w:r>
        <w:rPr>
          <w:rFonts w:ascii="Consolas" w:cs="Consolas" w:eastAsia="Consolas" w:hAnsi="Consolas"/>
          <w:b/>
          <w:bCs/>
          <w:color w:val="8DA9C4"/>
          <w:sz w:val="15"/>
          <w:szCs w:val="15"/>
        </w:rPr>
        <w:t xml:space="preserve">V   </w:t>
      </w:r>
      <w:r>
        <w:rPr>
          <w:sz w:val="18"/>
          <w:szCs w:val="18"/>
        </w:rPr>
        <w:t xml:space="preserve">Ollama. Local large language model serving runtime. ollama.com.</w:t>
      </w:r>
    </w:p>
    <w:p>
      <w:pPr>
        <w:spacing w:after="90" w:line="240" w:lineRule="auto"/>
        <w:ind w:left="620" w:hanging="620"/>
      </w:pPr>
      <w:r>
        <w:rPr>
          <w:rFonts w:ascii="Georgia" w:cs="Georgia" w:eastAsia="Georgia" w:hAnsi="Georgia"/>
          <w:b/>
          <w:bCs/>
          <w:color w:val="13315C"/>
          <w:sz w:val="18"/>
          <w:szCs w:val="18"/>
        </w:rPr>
        <w:t xml:space="preserve">[18] </w:t>
      </w:r>
      <w:r>
        <w:rPr>
          <w:rFonts w:ascii="Consolas" w:cs="Consolas" w:eastAsia="Consolas" w:hAnsi="Consolas"/>
          <w:b/>
          <w:bCs/>
          <w:color w:val="8DA9C4"/>
          <w:sz w:val="15"/>
          <w:szCs w:val="15"/>
        </w:rPr>
        <w:t xml:space="preserve">V   </w:t>
      </w:r>
      <w:r>
        <w:rPr>
          <w:sz w:val="18"/>
          <w:szCs w:val="18"/>
        </w:rPr>
        <w:t xml:space="preserve">MLC-LLM: Universal LLM Deployment Engine with Machine Learning Compilation. llm.mlc.ai.</w:t>
      </w:r>
    </w:p>
    <w:p>
      <w:pPr>
        <w:spacing w:after="90" w:line="240" w:lineRule="auto"/>
        <w:ind w:left="620" w:hanging="620"/>
      </w:pPr>
      <w:r>
        <w:rPr>
          <w:rFonts w:ascii="Georgia" w:cs="Georgia" w:eastAsia="Georgia" w:hAnsi="Georgia"/>
          <w:b/>
          <w:bCs/>
          <w:color w:val="13315C"/>
          <w:sz w:val="18"/>
          <w:szCs w:val="18"/>
        </w:rPr>
        <w:t xml:space="preserve">[19] </w:t>
      </w:r>
      <w:r>
        <w:rPr>
          <w:rFonts w:ascii="Consolas" w:cs="Consolas" w:eastAsia="Consolas" w:hAnsi="Consolas"/>
          <w:b/>
          <w:bCs/>
          <w:color w:val="8DA9C4"/>
          <w:sz w:val="15"/>
          <w:szCs w:val="15"/>
        </w:rPr>
        <w:t xml:space="preserve">PR  </w:t>
      </w:r>
      <w:r>
        <w:rPr>
          <w:sz w:val="18"/>
          <w:szCs w:val="18"/>
        </w:rPr>
        <w:t xml:space="preserve">Kleppmann, M., Wiggins, A., van Hardenberg, P., McGranaghan, M. “Local-first software: you own your data, in spite of the cloud.” Onward! 2019, ACM SIGPLAN International Symposium on New Ideas, New Paradigms, and Reflections on Programming and Software, pp. 154–178. doi:10.1145/3359591.3359737.</w:t>
      </w:r>
    </w:p>
    <w:p>
      <w:pPr>
        <w:spacing w:after="90" w:line="240" w:lineRule="auto"/>
        <w:ind w:left="620" w:hanging="620"/>
      </w:pPr>
      <w:r>
        <w:rPr>
          <w:rFonts w:ascii="Georgia" w:cs="Georgia" w:eastAsia="Georgia" w:hAnsi="Georgia"/>
          <w:b/>
          <w:bCs/>
          <w:color w:val="13315C"/>
          <w:sz w:val="18"/>
          <w:szCs w:val="18"/>
        </w:rPr>
        <w:t xml:space="preserve">[20] </w:t>
      </w:r>
      <w:r>
        <w:rPr>
          <w:rFonts w:ascii="Consolas" w:cs="Consolas" w:eastAsia="Consolas" w:hAnsi="Consolas"/>
          <w:b/>
          <w:bCs/>
          <w:color w:val="8DA9C4"/>
          <w:sz w:val="15"/>
          <w:szCs w:val="15"/>
        </w:rPr>
        <w:t xml:space="preserve">PR  </w:t>
      </w:r>
      <w:r>
        <w:rPr>
          <w:sz w:val="18"/>
          <w:szCs w:val="18"/>
        </w:rPr>
        <w:t xml:space="preserve">Shapiro, M., Preguiça, N., Baquero, C., Zawirski, M. “Conflict-Free Replicated Data Types.” Stabilization, Safety, and Security of Distributed Systems (SSS) 2011, LNCS 6976, pp. 386–400. doi:10.1007/978-3-642-24550-3_29.</w:t>
      </w:r>
    </w:p>
    <w:p>
      <w:pPr>
        <w:spacing w:after="90" w:line="240" w:lineRule="auto"/>
        <w:ind w:left="620" w:hanging="620"/>
      </w:pPr>
      <w:r>
        <w:rPr>
          <w:rFonts w:ascii="Georgia" w:cs="Georgia" w:eastAsia="Georgia" w:hAnsi="Georgia"/>
          <w:b/>
          <w:bCs/>
          <w:color w:val="13315C"/>
          <w:sz w:val="18"/>
          <w:szCs w:val="18"/>
        </w:rPr>
        <w:t xml:space="preserve">[21] </w:t>
      </w:r>
      <w:r>
        <w:rPr>
          <w:rFonts w:ascii="Consolas" w:cs="Consolas" w:eastAsia="Consolas" w:hAnsi="Consolas"/>
          <w:b/>
          <w:bCs/>
          <w:color w:val="8DA9C4"/>
          <w:sz w:val="15"/>
          <w:szCs w:val="15"/>
        </w:rPr>
        <w:t xml:space="preserve">PR  </w:t>
      </w:r>
      <w:r>
        <w:rPr>
          <w:sz w:val="18"/>
          <w:szCs w:val="18"/>
        </w:rPr>
        <w:t xml:space="preserve">Kleppmann, M., Beresford, A. R. “A Conflict-Free Replicated JSON Datatype.” IEEE Transactions on Parallel and Distributed Systems 28(10), 2017, pp. 2733–2746. doi:10.1109/TPDS.2017.2697382.</w:t>
      </w:r>
    </w:p>
    <w:p>
      <w:pPr>
        <w:spacing w:after="90" w:line="240" w:lineRule="auto"/>
        <w:ind w:left="620" w:hanging="620"/>
      </w:pPr>
      <w:r>
        <w:rPr>
          <w:rFonts w:ascii="Georgia" w:cs="Georgia" w:eastAsia="Georgia" w:hAnsi="Georgia"/>
          <w:b/>
          <w:bCs/>
          <w:color w:val="13315C"/>
          <w:sz w:val="18"/>
          <w:szCs w:val="18"/>
        </w:rPr>
        <w:t xml:space="preserve">[22] </w:t>
      </w:r>
      <w:r>
        <w:rPr>
          <w:rFonts w:ascii="Consolas" w:cs="Consolas" w:eastAsia="Consolas" w:hAnsi="Consolas"/>
          <w:b/>
          <w:bCs/>
          <w:color w:val="8DA9C4"/>
          <w:sz w:val="15"/>
          <w:szCs w:val="15"/>
        </w:rPr>
        <w:t xml:space="preserve">PR  </w:t>
      </w:r>
      <w:r>
        <w:rPr>
          <w:sz w:val="18"/>
          <w:szCs w:val="18"/>
        </w:rPr>
        <w:t xml:space="preserve">Shi, W., Cao, J., Zhang, Q., Li, Y., Xu, L. “Edge Computing: Vision and Challenges.” IEEE Internet of Things Journal 3(5), 2016, pp. 637–646. doi:10.1109/JIOT.2016.2579198.</w:t>
      </w:r>
    </w:p>
    <w:p>
      <w:pPr>
        <w:spacing w:after="90" w:line="240" w:lineRule="auto"/>
        <w:ind w:left="620" w:hanging="620"/>
      </w:pPr>
      <w:r>
        <w:rPr>
          <w:rFonts w:ascii="Georgia" w:cs="Georgia" w:eastAsia="Georgia" w:hAnsi="Georgia"/>
          <w:b/>
          <w:bCs/>
          <w:color w:val="13315C"/>
          <w:sz w:val="18"/>
          <w:szCs w:val="18"/>
        </w:rPr>
        <w:t xml:space="preserve">[23] </w:t>
      </w:r>
      <w:r>
        <w:rPr>
          <w:rFonts w:ascii="Consolas" w:cs="Consolas" w:eastAsia="Consolas" w:hAnsi="Consolas"/>
          <w:b/>
          <w:bCs/>
          <w:color w:val="8DA9C4"/>
          <w:sz w:val="15"/>
          <w:szCs w:val="15"/>
        </w:rPr>
        <w:t xml:space="preserve">PR  </w:t>
      </w:r>
      <w:r>
        <w:rPr>
          <w:sz w:val="18"/>
          <w:szCs w:val="18"/>
        </w:rPr>
        <w:t xml:space="preserve">Bonomi, F., Milito, R., Zhu, J., Addepalli, S. “Fog Computing and Its Role in the Internet of Things.” Proceedings of the First Edition of the MCC Workshop on Mobile Cloud Computing, 2012, pp. 13–16. doi:10.1145/2342509.2342513.</w:t>
      </w:r>
    </w:p>
    <w:p>
      <w:pPr>
        <w:spacing w:after="90" w:line="240" w:lineRule="auto"/>
        <w:ind w:left="620" w:hanging="620"/>
      </w:pPr>
      <w:r>
        <w:rPr>
          <w:rFonts w:ascii="Georgia" w:cs="Georgia" w:eastAsia="Georgia" w:hAnsi="Georgia"/>
          <w:b/>
          <w:bCs/>
          <w:color w:val="13315C"/>
          <w:sz w:val="18"/>
          <w:szCs w:val="18"/>
        </w:rPr>
        <w:t xml:space="preserve">[24] </w:t>
      </w:r>
      <w:r>
        <w:rPr>
          <w:rFonts w:ascii="Consolas" w:cs="Consolas" w:eastAsia="Consolas" w:hAnsi="Consolas"/>
          <w:b/>
          <w:bCs/>
          <w:color w:val="8DA9C4"/>
          <w:sz w:val="15"/>
          <w:szCs w:val="15"/>
        </w:rPr>
        <w:t xml:space="preserve">PR  </w:t>
      </w:r>
      <w:r>
        <w:rPr>
          <w:sz w:val="18"/>
          <w:szCs w:val="18"/>
        </w:rPr>
        <w:t xml:space="preserve">McMahan, B., Moore, E., Ramage, D., Hampson, S., Agüera y Arcas, B. “Communication-Efficient Learning of Deep Networks from Decentralized Data.” AISTATS 2017, PMLR 54, pp. 1273–1282. arXiv:1602.05629.</w:t>
      </w:r>
    </w:p>
    <w:p>
      <w:pPr>
        <w:spacing w:after="90" w:line="240" w:lineRule="auto"/>
        <w:ind w:left="620" w:hanging="620"/>
      </w:pPr>
      <w:r>
        <w:rPr>
          <w:rFonts w:ascii="Georgia" w:cs="Georgia" w:eastAsia="Georgia" w:hAnsi="Georgia"/>
          <w:b/>
          <w:bCs/>
          <w:color w:val="13315C"/>
          <w:sz w:val="18"/>
          <w:szCs w:val="18"/>
        </w:rPr>
        <w:t xml:space="preserve">[25] </w:t>
      </w:r>
      <w:r>
        <w:rPr>
          <w:rFonts w:ascii="Consolas" w:cs="Consolas" w:eastAsia="Consolas" w:hAnsi="Consolas"/>
          <w:b/>
          <w:bCs/>
          <w:color w:val="8DA9C4"/>
          <w:sz w:val="15"/>
          <w:szCs w:val="15"/>
        </w:rPr>
        <w:t xml:space="preserve">PR  </w:t>
      </w:r>
      <w:r>
        <w:rPr>
          <w:sz w:val="18"/>
          <w:szCs w:val="18"/>
        </w:rPr>
        <w:t xml:space="preserve">Guo, T., Chen, X., Wang, Y. et al. “Large Language Model based Multi-Agents: A Survey of Progress and Challenges.” IJCAI 2024, pp. 8048–8057. doi:10.24963/ijcai.2024/890.</w:t>
      </w:r>
    </w:p>
    <w:p>
      <w:pPr>
        <w:spacing w:after="90" w:line="240" w:lineRule="auto"/>
        <w:ind w:left="620" w:hanging="620"/>
      </w:pPr>
      <w:r>
        <w:rPr>
          <w:rFonts w:ascii="Georgia" w:cs="Georgia" w:eastAsia="Georgia" w:hAnsi="Georgia"/>
          <w:b/>
          <w:bCs/>
          <w:color w:val="13315C"/>
          <w:sz w:val="18"/>
          <w:szCs w:val="18"/>
        </w:rPr>
        <w:t xml:space="preserve">[26] </w:t>
      </w:r>
      <w:r>
        <w:rPr>
          <w:rFonts w:ascii="Consolas" w:cs="Consolas" w:eastAsia="Consolas" w:hAnsi="Consolas"/>
          <w:b/>
          <w:bCs/>
          <w:color w:val="8DA9C4"/>
          <w:sz w:val="15"/>
          <w:szCs w:val="15"/>
        </w:rPr>
        <w:t xml:space="preserve">PP  </w:t>
      </w:r>
      <w:r>
        <w:rPr>
          <w:sz w:val="18"/>
          <w:szCs w:val="18"/>
        </w:rPr>
        <w:t xml:space="preserve">“A Survey on LLM-based Multi-Agent System: Recent Advances and New Frontiers.” arXiv:2412.17481 (2024).</w:t>
      </w:r>
    </w:p>
    <w:p>
      <w:pPr>
        <w:spacing w:after="90" w:line="240" w:lineRule="auto"/>
        <w:ind w:left="620" w:hanging="620"/>
      </w:pPr>
      <w:r>
        <w:rPr>
          <w:rFonts w:ascii="Georgia" w:cs="Georgia" w:eastAsia="Georgia" w:hAnsi="Georgia"/>
          <w:b/>
          <w:bCs/>
          <w:color w:val="13315C"/>
          <w:sz w:val="18"/>
          <w:szCs w:val="18"/>
        </w:rPr>
        <w:t xml:space="preserve">[27] </w:t>
      </w:r>
      <w:r>
        <w:rPr>
          <w:rFonts w:ascii="Consolas" w:cs="Consolas" w:eastAsia="Consolas" w:hAnsi="Consolas"/>
          <w:b/>
          <w:bCs/>
          <w:color w:val="8DA9C4"/>
          <w:sz w:val="15"/>
          <w:szCs w:val="15"/>
        </w:rPr>
        <w:t xml:space="preserve">PP  </w:t>
      </w:r>
      <w:r>
        <w:rPr>
          <w:sz w:val="18"/>
          <w:szCs w:val="18"/>
        </w:rPr>
        <w:t xml:space="preserve">“Multi-Agent Collaboration Mechanisms: A Survey of LLMs.” arXiv:2501.06322 (2025).</w:t>
      </w:r>
    </w:p>
    <w:p>
      <w:pPr>
        <w:spacing w:after="90" w:line="240" w:lineRule="auto"/>
        <w:ind w:left="620" w:hanging="620"/>
      </w:pPr>
      <w:r>
        <w:rPr>
          <w:rFonts w:ascii="Georgia" w:cs="Georgia" w:eastAsia="Georgia" w:hAnsi="Georgia"/>
          <w:b/>
          <w:bCs/>
          <w:color w:val="13315C"/>
          <w:sz w:val="18"/>
          <w:szCs w:val="18"/>
        </w:rPr>
        <w:t xml:space="preserve">[28] </w:t>
      </w:r>
      <w:r>
        <w:rPr>
          <w:rFonts w:ascii="Consolas" w:cs="Consolas" w:eastAsia="Consolas" w:hAnsi="Consolas"/>
          <w:b/>
          <w:bCs/>
          <w:color w:val="8DA9C4"/>
          <w:sz w:val="15"/>
          <w:szCs w:val="15"/>
        </w:rPr>
        <w:t xml:space="preserve">PR  </w:t>
      </w:r>
      <w:r>
        <w:rPr>
          <w:sz w:val="18"/>
          <w:szCs w:val="18"/>
        </w:rPr>
        <w:t xml:space="preserve">Hong, S. et al. “MetaGPT: Meta Programming for A Multi-Agent Collaborative Framework.” ICLR 2024. arXiv:2308.00352. Introduces the shared message pool, a modern instantiation of the blackboard architecture.</w:t>
      </w:r>
    </w:p>
    <w:p>
      <w:pPr>
        <w:spacing w:after="90" w:line="240" w:lineRule="auto"/>
        <w:ind w:left="620" w:hanging="620"/>
      </w:pPr>
      <w:r>
        <w:rPr>
          <w:rFonts w:ascii="Georgia" w:cs="Georgia" w:eastAsia="Georgia" w:hAnsi="Georgia"/>
          <w:b/>
          <w:bCs/>
          <w:color w:val="13315C"/>
          <w:sz w:val="18"/>
          <w:szCs w:val="18"/>
        </w:rPr>
        <w:t xml:space="preserve">[29] </w:t>
      </w:r>
      <w:r>
        <w:rPr>
          <w:rFonts w:ascii="Consolas" w:cs="Consolas" w:eastAsia="Consolas" w:hAnsi="Consolas"/>
          <w:b/>
          <w:bCs/>
          <w:color w:val="8DA9C4"/>
          <w:sz w:val="15"/>
          <w:szCs w:val="15"/>
        </w:rPr>
        <w:t xml:space="preserve">CL  </w:t>
      </w:r>
      <w:r>
        <w:rPr>
          <w:sz w:val="18"/>
          <w:szCs w:val="18"/>
        </w:rPr>
        <w:t xml:space="preserve">Minsky, M. The Society of Mind. Simon &amp; Schuster, 1988.</w:t>
      </w:r>
    </w:p>
    <w:p>
      <w:pPr>
        <w:spacing w:after="90" w:line="240" w:lineRule="auto"/>
        <w:ind w:left="620" w:hanging="620"/>
      </w:pPr>
      <w:r>
        <w:rPr>
          <w:rFonts w:ascii="Georgia" w:cs="Georgia" w:eastAsia="Georgia" w:hAnsi="Georgia"/>
          <w:b/>
          <w:bCs/>
          <w:color w:val="13315C"/>
          <w:sz w:val="18"/>
          <w:szCs w:val="18"/>
        </w:rPr>
        <w:t xml:space="preserve">[30] </w:t>
      </w:r>
      <w:r>
        <w:rPr>
          <w:rFonts w:ascii="Consolas" w:cs="Consolas" w:eastAsia="Consolas" w:hAnsi="Consolas"/>
          <w:b/>
          <w:bCs/>
          <w:color w:val="8DA9C4"/>
          <w:sz w:val="15"/>
          <w:szCs w:val="15"/>
        </w:rPr>
        <w:t xml:space="preserve">PR  </w:t>
      </w:r>
      <w:r>
        <w:rPr>
          <w:sz w:val="18"/>
          <w:szCs w:val="18"/>
        </w:rPr>
        <w:t xml:space="preserve">Rao, A. S., Georgeff, M. P. “BDI Agents: From Theory to Practice.” Proceedings of the First International Conference on Multi-Agent Systems (ICMAS) 1995, pp. 312–319.</w:t>
      </w:r>
    </w:p>
    <w:p>
      <w:pPr>
        <w:spacing w:after="90" w:line="240" w:lineRule="auto"/>
        <w:ind w:left="620" w:hanging="620"/>
      </w:pPr>
      <w:r>
        <w:rPr>
          <w:rFonts w:ascii="Georgia" w:cs="Georgia" w:eastAsia="Georgia" w:hAnsi="Georgia"/>
          <w:b/>
          <w:bCs/>
          <w:color w:val="13315C"/>
          <w:sz w:val="18"/>
          <w:szCs w:val="18"/>
        </w:rPr>
        <w:t xml:space="preserve">[31] </w:t>
      </w:r>
      <w:r>
        <w:rPr>
          <w:rFonts w:ascii="Consolas" w:cs="Consolas" w:eastAsia="Consolas" w:hAnsi="Consolas"/>
          <w:b/>
          <w:bCs/>
          <w:color w:val="8DA9C4"/>
          <w:sz w:val="15"/>
          <w:szCs w:val="15"/>
        </w:rPr>
        <w:t xml:space="preserve">CL  </w:t>
      </w:r>
      <w:r>
        <w:rPr>
          <w:sz w:val="18"/>
          <w:szCs w:val="18"/>
        </w:rPr>
        <w:t xml:space="preserve">Wooldridge, M. An Introduction to MultiAgent Systems. 2nd ed. Wiley, 2009.</w:t>
      </w:r>
    </w:p>
    <w:p>
      <w:pPr>
        <w:spacing w:after="90" w:line="240" w:lineRule="auto"/>
        <w:ind w:left="620" w:hanging="620"/>
      </w:pPr>
      <w:r>
        <w:rPr>
          <w:rFonts w:ascii="Georgia" w:cs="Georgia" w:eastAsia="Georgia" w:hAnsi="Georgia"/>
          <w:b/>
          <w:bCs/>
          <w:color w:val="13315C"/>
          <w:sz w:val="18"/>
          <w:szCs w:val="18"/>
        </w:rPr>
        <w:t xml:space="preserve">[32] </w:t>
      </w:r>
      <w:r>
        <w:rPr>
          <w:rFonts w:ascii="Consolas" w:cs="Consolas" w:eastAsia="Consolas" w:hAnsi="Consolas"/>
          <w:b/>
          <w:bCs/>
          <w:color w:val="8DA9C4"/>
          <w:sz w:val="15"/>
          <w:szCs w:val="15"/>
        </w:rPr>
        <w:t xml:space="preserve">PR  </w:t>
      </w:r>
      <w:r>
        <w:rPr>
          <w:sz w:val="18"/>
          <w:szCs w:val="18"/>
        </w:rPr>
        <w:t xml:space="preserve">Hayes-Roth, B. “A Blackboard Architecture for Control.” Artificial Intelligence 26(3), 1985, pp. 251–321. doi:10.1016/0004-3702(85)90063-3.</w:t>
      </w:r>
    </w:p>
    <w:p>
      <w:pPr>
        <w:spacing w:after="90" w:line="240" w:lineRule="auto"/>
        <w:ind w:left="620" w:hanging="620"/>
      </w:pPr>
      <w:r>
        <w:rPr>
          <w:rFonts w:ascii="Georgia" w:cs="Georgia" w:eastAsia="Georgia" w:hAnsi="Georgia"/>
          <w:b/>
          <w:bCs/>
          <w:color w:val="13315C"/>
          <w:sz w:val="18"/>
          <w:szCs w:val="18"/>
        </w:rPr>
        <w:t xml:space="preserve">[33] </w:t>
      </w:r>
      <w:r>
        <w:rPr>
          <w:rFonts w:ascii="Consolas" w:cs="Consolas" w:eastAsia="Consolas" w:hAnsi="Consolas"/>
          <w:b/>
          <w:bCs/>
          <w:color w:val="8DA9C4"/>
          <w:sz w:val="15"/>
          <w:szCs w:val="15"/>
        </w:rPr>
        <w:t xml:space="preserve">PR  </w:t>
      </w:r>
      <w:r>
        <w:rPr>
          <w:sz w:val="18"/>
          <w:szCs w:val="18"/>
        </w:rPr>
        <w:t xml:space="preserve">Yao, S., Zhao, J., Yu, D., Du, N., Shafran, I., Narasimhan, K., Cao, Y. “ReAct: Synergizing Reasoning and Acting in Language Models.” ICLR 2023. arXiv:2210.03629.</w:t>
      </w:r>
    </w:p>
    <w:p>
      <w:pPr>
        <w:spacing w:after="90" w:line="240" w:lineRule="auto"/>
        <w:ind w:left="620" w:hanging="620"/>
      </w:pPr>
      <w:r>
        <w:rPr>
          <w:rFonts w:ascii="Georgia" w:cs="Georgia" w:eastAsia="Georgia" w:hAnsi="Georgia"/>
          <w:b/>
          <w:bCs/>
          <w:color w:val="13315C"/>
          <w:sz w:val="18"/>
          <w:szCs w:val="18"/>
        </w:rPr>
        <w:t xml:space="preserve">[34] </w:t>
      </w:r>
      <w:r>
        <w:rPr>
          <w:rFonts w:ascii="Consolas" w:cs="Consolas" w:eastAsia="Consolas" w:hAnsi="Consolas"/>
          <w:b/>
          <w:bCs/>
          <w:color w:val="8DA9C4"/>
          <w:sz w:val="15"/>
          <w:szCs w:val="15"/>
        </w:rPr>
        <w:t xml:space="preserve">PR  </w:t>
      </w:r>
      <w:r>
        <w:rPr>
          <w:sz w:val="18"/>
          <w:szCs w:val="18"/>
        </w:rPr>
        <w:t xml:space="preserve">Schick, T. et al. “Toolformer: Language Models Can Teach Themselves to Use Tools.” NeurIPS 2023. arXiv:2302.04761.</w:t>
      </w:r>
    </w:p>
    <w:p>
      <w:pPr>
        <w:spacing w:after="90" w:line="240" w:lineRule="auto"/>
        <w:ind w:left="620" w:hanging="620"/>
      </w:pPr>
      <w:r>
        <w:rPr>
          <w:rFonts w:ascii="Georgia" w:cs="Georgia" w:eastAsia="Georgia" w:hAnsi="Georgia"/>
          <w:b/>
          <w:bCs/>
          <w:color w:val="13315C"/>
          <w:sz w:val="18"/>
          <w:szCs w:val="18"/>
        </w:rPr>
        <w:t xml:space="preserve">[35] </w:t>
      </w:r>
      <w:r>
        <w:rPr>
          <w:rFonts w:ascii="Consolas" w:cs="Consolas" w:eastAsia="Consolas" w:hAnsi="Consolas"/>
          <w:b/>
          <w:bCs/>
          <w:color w:val="8DA9C4"/>
          <w:sz w:val="15"/>
          <w:szCs w:val="15"/>
        </w:rPr>
        <w:t xml:space="preserve">V   </w:t>
      </w:r>
      <w:r>
        <w:rPr>
          <w:sz w:val="18"/>
          <w:szCs w:val="18"/>
        </w:rPr>
        <w:t xml:space="preserve">Anthropic. Model Context Protocol (MCP) specification. modelcontextprotocol.io.</w:t>
      </w:r>
    </w:p>
    <w:p>
      <w:pPr>
        <w:spacing w:after="90" w:line="240" w:lineRule="auto"/>
        <w:ind w:left="620" w:hanging="620"/>
      </w:pPr>
      <w:r>
        <w:rPr>
          <w:rFonts w:ascii="Georgia" w:cs="Georgia" w:eastAsia="Georgia" w:hAnsi="Georgia"/>
          <w:b/>
          <w:bCs/>
          <w:color w:val="13315C"/>
          <w:sz w:val="18"/>
          <w:szCs w:val="18"/>
        </w:rPr>
        <w:t xml:space="preserve">[36] </w:t>
      </w:r>
      <w:r>
        <w:rPr>
          <w:rFonts w:ascii="Consolas" w:cs="Consolas" w:eastAsia="Consolas" w:hAnsi="Consolas"/>
          <w:b/>
          <w:bCs/>
          <w:color w:val="8DA9C4"/>
          <w:sz w:val="15"/>
          <w:szCs w:val="15"/>
        </w:rPr>
        <w:t xml:space="preserve">PP  </w:t>
      </w:r>
      <w:r>
        <w:rPr>
          <w:sz w:val="18"/>
          <w:szCs w:val="18"/>
        </w:rPr>
        <w:t xml:space="preserve">Lim, S. K., Chong, J., Khor, W. Y., Ling, T. H. “Taking Flight with Dialogue: Enabling Natural Language Control for PX4-based Drone Agent.” arXiv:2506.07509 (2025). Reports 100% valid flight commands for Gemma3, Qwen2.5 and Llama-3.2; 38% for DeepSeek-LLM; 40% best end-to-end mission success. LLM/VLM inference executed OFF-BOARD on RTX 3080Ti workstations.</w:t>
      </w:r>
    </w:p>
    <w:p>
      <w:pPr>
        <w:spacing w:after="90" w:line="240" w:lineRule="auto"/>
        <w:ind w:left="620" w:hanging="620"/>
      </w:pPr>
      <w:r>
        <w:rPr>
          <w:rFonts w:ascii="Georgia" w:cs="Georgia" w:eastAsia="Georgia" w:hAnsi="Georgia"/>
          <w:b/>
          <w:bCs/>
          <w:color w:val="13315C"/>
          <w:sz w:val="18"/>
          <w:szCs w:val="18"/>
        </w:rPr>
        <w:t xml:space="preserve">[37] </w:t>
      </w:r>
      <w:r>
        <w:rPr>
          <w:rFonts w:ascii="Consolas" w:cs="Consolas" w:eastAsia="Consolas" w:hAnsi="Consolas"/>
          <w:b/>
          <w:bCs/>
          <w:color w:val="8DA9C4"/>
          <w:sz w:val="15"/>
          <w:szCs w:val="15"/>
        </w:rPr>
        <w:t xml:space="preserve">PP  </w:t>
      </w:r>
      <w:r>
        <w:rPr>
          <w:sz w:val="18"/>
          <w:szCs w:val="18"/>
        </w:rPr>
        <w:t xml:space="preserve">Ahn, M. et al. “Do As I Can, Not As I Say: Grounding Language in Robotic Affordances.” arXiv:2204.01691 (2022). Conference on Robot Learning (CoRL) 2022.</w:t>
      </w:r>
    </w:p>
    <w:p>
      <w:pPr>
        <w:spacing w:after="90" w:line="240" w:lineRule="auto"/>
        <w:ind w:left="620" w:hanging="620"/>
      </w:pPr>
      <w:r>
        <w:rPr>
          <w:rFonts w:ascii="Georgia" w:cs="Georgia" w:eastAsia="Georgia" w:hAnsi="Georgia"/>
          <w:b/>
          <w:bCs/>
          <w:color w:val="13315C"/>
          <w:sz w:val="18"/>
          <w:szCs w:val="18"/>
        </w:rPr>
        <w:t xml:space="preserve">[38] </w:t>
      </w:r>
      <w:r>
        <w:rPr>
          <w:rFonts w:ascii="Consolas" w:cs="Consolas" w:eastAsia="Consolas" w:hAnsi="Consolas"/>
          <w:b/>
          <w:bCs/>
          <w:color w:val="8DA9C4"/>
          <w:sz w:val="15"/>
          <w:szCs w:val="15"/>
        </w:rPr>
        <w:t xml:space="preserve">V   </w:t>
      </w:r>
      <w:r>
        <w:rPr>
          <w:sz w:val="18"/>
          <w:szCs w:val="18"/>
        </w:rPr>
        <w:t xml:space="preserve">Vemprala, S., Bonatti, R., Bucker, A., Kapoor, A. “ChatGPT for Robotics: Design Principles and Model Abilities.” Microsoft Technical Report MSR-TR-2023-8 (2023). arXiv:2306.17582.</w:t>
      </w:r>
    </w:p>
    <w:p>
      <w:pPr>
        <w:spacing w:after="90" w:line="240" w:lineRule="auto"/>
        <w:ind w:left="620" w:hanging="620"/>
      </w:pPr>
      <w:r>
        <w:rPr>
          <w:rFonts w:ascii="Georgia" w:cs="Georgia" w:eastAsia="Georgia" w:hAnsi="Georgia"/>
          <w:b/>
          <w:bCs/>
          <w:color w:val="13315C"/>
          <w:sz w:val="18"/>
          <w:szCs w:val="18"/>
        </w:rPr>
        <w:t xml:space="preserve">[39] </w:t>
      </w:r>
      <w:r>
        <w:rPr>
          <w:rFonts w:ascii="Consolas" w:cs="Consolas" w:eastAsia="Consolas" w:hAnsi="Consolas"/>
          <w:b/>
          <w:bCs/>
          <w:color w:val="8DA9C4"/>
          <w:sz w:val="15"/>
          <w:szCs w:val="15"/>
        </w:rPr>
        <w:t xml:space="preserve">PR  </w:t>
      </w:r>
      <w:r>
        <w:rPr>
          <w:sz w:val="18"/>
          <w:szCs w:val="18"/>
        </w:rPr>
        <w:t xml:space="preserve">Liang, J. et al. “Code as Policies: Language Model Programs for Embodied Control.” ICRA 2023. arXiv:2209.07753.</w:t>
      </w:r>
    </w:p>
    <w:p>
      <w:pPr>
        <w:spacing w:after="90" w:line="240" w:lineRule="auto"/>
        <w:ind w:left="620" w:hanging="620"/>
      </w:pPr>
      <w:r>
        <w:rPr>
          <w:rFonts w:ascii="Georgia" w:cs="Georgia" w:eastAsia="Georgia" w:hAnsi="Georgia"/>
          <w:b/>
          <w:bCs/>
          <w:color w:val="13315C"/>
          <w:sz w:val="18"/>
          <w:szCs w:val="18"/>
        </w:rPr>
        <w:t xml:space="preserve">[40] </w:t>
      </w:r>
      <w:r>
        <w:rPr>
          <w:rFonts w:ascii="Consolas" w:cs="Consolas" w:eastAsia="Consolas" w:hAnsi="Consolas"/>
          <w:b/>
          <w:bCs/>
          <w:color w:val="8DA9C4"/>
          <w:sz w:val="15"/>
          <w:szCs w:val="15"/>
        </w:rPr>
        <w:t xml:space="preserve">PP  </w:t>
      </w:r>
      <w:r>
        <w:rPr>
          <w:sz w:val="18"/>
          <w:szCs w:val="18"/>
        </w:rPr>
        <w:t xml:space="preserve">Brohan, A. et al. “RT-1: Robotics Transformer for Real-World Control at Scale.” arXiv:2212.06817 (2022).</w:t>
      </w:r>
    </w:p>
    <w:p>
      <w:pPr>
        <w:spacing w:after="90" w:line="240" w:lineRule="auto"/>
        <w:ind w:left="620" w:hanging="620"/>
      </w:pPr>
      <w:r>
        <w:rPr>
          <w:rFonts w:ascii="Georgia" w:cs="Georgia" w:eastAsia="Georgia" w:hAnsi="Georgia"/>
          <w:b/>
          <w:bCs/>
          <w:color w:val="13315C"/>
          <w:sz w:val="18"/>
          <w:szCs w:val="18"/>
        </w:rPr>
        <w:t xml:space="preserve">[41] </w:t>
      </w:r>
      <w:r>
        <w:rPr>
          <w:rFonts w:ascii="Consolas" w:cs="Consolas" w:eastAsia="Consolas" w:hAnsi="Consolas"/>
          <w:b/>
          <w:bCs/>
          <w:color w:val="8DA9C4"/>
          <w:sz w:val="15"/>
          <w:szCs w:val="15"/>
        </w:rPr>
        <w:t xml:space="preserve">PP  </w:t>
      </w:r>
      <w:r>
        <w:rPr>
          <w:sz w:val="18"/>
          <w:szCs w:val="18"/>
        </w:rPr>
        <w:t xml:space="preserve">Brohan, A. et al. “RT-2: Vision-Language-Action Models Transfer Web Knowledge to Robotic Control.” arXiv:2307.15818 (2023).</w:t>
      </w:r>
    </w:p>
    <w:p>
      <w:pPr>
        <w:spacing w:after="90" w:line="240" w:lineRule="auto"/>
        <w:ind w:left="620" w:hanging="620"/>
      </w:pPr>
      <w:r>
        <w:rPr>
          <w:rFonts w:ascii="Georgia" w:cs="Georgia" w:eastAsia="Georgia" w:hAnsi="Georgia"/>
          <w:b/>
          <w:bCs/>
          <w:color w:val="13315C"/>
          <w:sz w:val="18"/>
          <w:szCs w:val="18"/>
        </w:rPr>
        <w:t xml:space="preserve">[42] </w:t>
      </w:r>
      <w:r>
        <w:rPr>
          <w:rFonts w:ascii="Consolas" w:cs="Consolas" w:eastAsia="Consolas" w:hAnsi="Consolas"/>
          <w:b/>
          <w:bCs/>
          <w:color w:val="8DA9C4"/>
          <w:sz w:val="15"/>
          <w:szCs w:val="15"/>
        </w:rPr>
        <w:t xml:space="preserve">PR  </w:t>
      </w:r>
      <w:r>
        <w:rPr>
          <w:sz w:val="18"/>
          <w:szCs w:val="18"/>
        </w:rPr>
        <w:t xml:space="preserve">Driess, D. et al. “PaLM-E: An Embodied Multimodal Language Model.” ICML 2023. arXiv:2303.03378.</w:t>
      </w:r>
    </w:p>
    <w:p>
      <w:pPr>
        <w:spacing w:after="90" w:line="240" w:lineRule="auto"/>
        <w:ind w:left="620" w:hanging="620"/>
      </w:pPr>
      <w:r>
        <w:rPr>
          <w:rFonts w:ascii="Georgia" w:cs="Georgia" w:eastAsia="Georgia" w:hAnsi="Georgia"/>
          <w:b/>
          <w:bCs/>
          <w:color w:val="13315C"/>
          <w:sz w:val="18"/>
          <w:szCs w:val="18"/>
        </w:rPr>
        <w:t xml:space="preserve">[43] </w:t>
      </w:r>
      <w:r>
        <w:rPr>
          <w:rFonts w:ascii="Consolas" w:cs="Consolas" w:eastAsia="Consolas" w:hAnsi="Consolas"/>
          <w:b/>
          <w:bCs/>
          <w:color w:val="8DA9C4"/>
          <w:sz w:val="15"/>
          <w:szCs w:val="15"/>
        </w:rPr>
        <w:t xml:space="preserve">PP  </w:t>
      </w:r>
      <w:r>
        <w:rPr>
          <w:sz w:val="18"/>
          <w:szCs w:val="18"/>
        </w:rPr>
        <w:t xml:space="preserve">Firoozi, R. et al. “Foundation Models in Robotics: Applications, Challenges, and the Future.” arXiv:2312.07843 (2023).</w:t>
      </w:r>
    </w:p>
    <w:p>
      <w:pPr>
        <w:spacing w:after="90" w:line="240" w:lineRule="auto"/>
        <w:ind w:left="620" w:hanging="620"/>
      </w:pPr>
      <w:r>
        <w:rPr>
          <w:rFonts w:ascii="Georgia" w:cs="Georgia" w:eastAsia="Georgia" w:hAnsi="Georgia"/>
          <w:b/>
          <w:bCs/>
          <w:color w:val="13315C"/>
          <w:sz w:val="18"/>
          <w:szCs w:val="18"/>
        </w:rPr>
        <w:t xml:space="preserve">[44] </w:t>
      </w:r>
      <w:r>
        <w:rPr>
          <w:rFonts w:ascii="Consolas" w:cs="Consolas" w:eastAsia="Consolas" w:hAnsi="Consolas"/>
          <w:b/>
          <w:bCs/>
          <w:color w:val="8DA9C4"/>
          <w:sz w:val="15"/>
          <w:szCs w:val="15"/>
        </w:rPr>
        <w:t xml:space="preserve">PP  </w:t>
      </w:r>
      <w:r>
        <w:rPr>
          <w:sz w:val="18"/>
          <w:szCs w:val="18"/>
        </w:rPr>
        <w:t xml:space="preserve">Ramos-Silva, R., Burke, M. “DroneServer: A Universal LLM-Drone Command and Control Interface.” arXiv:2601.15486 (2026). Exposes MAVLink as LLM tools over the Model Context Protocol; reference implementation is cloud-hosted.</w:t>
      </w:r>
    </w:p>
    <w:p>
      <w:pPr>
        <w:spacing w:after="90" w:line="240" w:lineRule="auto"/>
        <w:ind w:left="620" w:hanging="620"/>
      </w:pPr>
      <w:r>
        <w:rPr>
          <w:rFonts w:ascii="Georgia" w:cs="Georgia" w:eastAsia="Georgia" w:hAnsi="Georgia"/>
          <w:b/>
          <w:bCs/>
          <w:color w:val="13315C"/>
          <w:sz w:val="18"/>
          <w:szCs w:val="18"/>
        </w:rPr>
        <w:t xml:space="preserve">[45] </w:t>
      </w:r>
      <w:r>
        <w:rPr>
          <w:rFonts w:ascii="Consolas" w:cs="Consolas" w:eastAsia="Consolas" w:hAnsi="Consolas"/>
          <w:b/>
          <w:bCs/>
          <w:color w:val="8DA9C4"/>
          <w:sz w:val="15"/>
          <w:szCs w:val="15"/>
        </w:rPr>
        <w:t xml:space="preserve">PR  </w:t>
      </w:r>
      <w:r>
        <w:rPr>
          <w:sz w:val="18"/>
          <w:szCs w:val="18"/>
        </w:rPr>
        <w:t xml:space="preserve">Harnad, S. “The Symbol Grounding Problem.” Physica D: Nonlinear Phenomena 42(1–3), 1990, pp. 335–346. doi:10.1016/0167-2789(90)90087-6.</w:t>
      </w:r>
    </w:p>
    <w:p>
      <w:pPr>
        <w:spacing w:after="90" w:line="240" w:lineRule="auto"/>
        <w:ind w:left="620" w:hanging="620"/>
      </w:pPr>
      <w:r>
        <w:rPr>
          <w:rFonts w:ascii="Georgia" w:cs="Georgia" w:eastAsia="Georgia" w:hAnsi="Georgia"/>
          <w:b/>
          <w:bCs/>
          <w:color w:val="13315C"/>
          <w:sz w:val="18"/>
          <w:szCs w:val="18"/>
        </w:rPr>
        <w:t xml:space="preserve">[46] </w:t>
      </w:r>
      <w:r>
        <w:rPr>
          <w:rFonts w:ascii="Consolas" w:cs="Consolas" w:eastAsia="Consolas" w:hAnsi="Consolas"/>
          <w:b/>
          <w:bCs/>
          <w:color w:val="8DA9C4"/>
          <w:sz w:val="15"/>
          <w:szCs w:val="15"/>
        </w:rPr>
        <w:t xml:space="preserve">PR  </w:t>
      </w:r>
      <w:r>
        <w:rPr>
          <w:sz w:val="18"/>
          <w:szCs w:val="18"/>
        </w:rPr>
        <w:t xml:space="preserve">Huang, W. et al. “Inner Monologue: Embodied Reasoning through Planning with Language Models.” CoRL 2022. arXiv:2207.05608.</w:t>
      </w:r>
    </w:p>
    <w:p>
      <w:pPr>
        <w:spacing w:after="90" w:line="240" w:lineRule="auto"/>
        <w:ind w:left="620" w:hanging="620"/>
      </w:pPr>
      <w:r>
        <w:rPr>
          <w:rFonts w:ascii="Georgia" w:cs="Georgia" w:eastAsia="Georgia" w:hAnsi="Georgia"/>
          <w:b/>
          <w:bCs/>
          <w:color w:val="13315C"/>
          <w:sz w:val="18"/>
          <w:szCs w:val="18"/>
        </w:rPr>
        <w:t xml:space="preserve">[47] </w:t>
      </w:r>
      <w:r>
        <w:rPr>
          <w:rFonts w:ascii="Consolas" w:cs="Consolas" w:eastAsia="Consolas" w:hAnsi="Consolas"/>
          <w:b/>
          <w:bCs/>
          <w:color w:val="8DA9C4"/>
          <w:sz w:val="15"/>
          <w:szCs w:val="15"/>
        </w:rPr>
        <w:t xml:space="preserve">PR  </w:t>
      </w:r>
      <w:r>
        <w:rPr>
          <w:sz w:val="18"/>
          <w:szCs w:val="18"/>
        </w:rPr>
        <w:t xml:space="preserve">Singh, I. et al. “ProgPrompt: Generating Situated Robot Task Plans using Large Language Models.” ICRA 2023. arXiv:2209.11302.</w:t>
      </w:r>
    </w:p>
    <w:p>
      <w:pPr>
        <w:spacing w:after="90" w:line="240" w:lineRule="auto"/>
        <w:ind w:left="620" w:hanging="620"/>
      </w:pPr>
      <w:r>
        <w:rPr>
          <w:rFonts w:ascii="Georgia" w:cs="Georgia" w:eastAsia="Georgia" w:hAnsi="Georgia"/>
          <w:b/>
          <w:bCs/>
          <w:color w:val="13315C"/>
          <w:sz w:val="18"/>
          <w:szCs w:val="18"/>
        </w:rPr>
        <w:t xml:space="preserve">[48] </w:t>
      </w:r>
      <w:r>
        <w:rPr>
          <w:rFonts w:ascii="Consolas" w:cs="Consolas" w:eastAsia="Consolas" w:hAnsi="Consolas"/>
          <w:b/>
          <w:bCs/>
          <w:color w:val="8DA9C4"/>
          <w:sz w:val="15"/>
          <w:szCs w:val="15"/>
        </w:rPr>
        <w:t xml:space="preserve">PR  </w:t>
      </w:r>
      <w:r>
        <w:rPr>
          <w:sz w:val="18"/>
          <w:szCs w:val="18"/>
        </w:rPr>
        <w:t xml:space="preserve">Huang, W., Abbeel, P., Pathak, D., Mordatch, I. “Language Models as Zero-Shot Planners: Extracting Actionable Knowledge for Embodied Agents.” ICML 2022. arXiv:2201.07207.</w:t>
      </w:r>
    </w:p>
    <w:p>
      <w:pPr>
        <w:spacing w:after="90" w:line="240" w:lineRule="auto"/>
        <w:ind w:left="620" w:hanging="620"/>
      </w:pPr>
      <w:r>
        <w:rPr>
          <w:rFonts w:ascii="Georgia" w:cs="Georgia" w:eastAsia="Georgia" w:hAnsi="Georgia"/>
          <w:b/>
          <w:bCs/>
          <w:color w:val="13315C"/>
          <w:sz w:val="18"/>
          <w:szCs w:val="18"/>
        </w:rPr>
        <w:t xml:space="preserve">[49] </w:t>
      </w:r>
      <w:r>
        <w:rPr>
          <w:rFonts w:ascii="Consolas" w:cs="Consolas" w:eastAsia="Consolas" w:hAnsi="Consolas"/>
          <w:b/>
          <w:bCs/>
          <w:color w:val="8DA9C4"/>
          <w:sz w:val="15"/>
          <w:szCs w:val="15"/>
        </w:rPr>
        <w:t xml:space="preserve">PR  </w:t>
      </w:r>
      <w:r>
        <w:rPr>
          <w:sz w:val="18"/>
          <w:szCs w:val="18"/>
        </w:rPr>
        <w:t xml:space="preserve">Ji, Z. et al. “Survey of Hallucination in Natural Language Generation.” ACM Computing Surveys 55(12), 2023, art. 248. doi:10.1145/3571730.</w:t>
      </w:r>
    </w:p>
    <w:p>
      <w:pPr>
        <w:spacing w:after="90" w:line="240" w:lineRule="auto"/>
        <w:ind w:left="620" w:hanging="620"/>
      </w:pPr>
      <w:r>
        <w:rPr>
          <w:rFonts w:ascii="Georgia" w:cs="Georgia" w:eastAsia="Georgia" w:hAnsi="Georgia"/>
          <w:b/>
          <w:bCs/>
          <w:color w:val="13315C"/>
          <w:sz w:val="18"/>
          <w:szCs w:val="18"/>
        </w:rPr>
        <w:t xml:space="preserve">[50] </w:t>
      </w:r>
      <w:r>
        <w:rPr>
          <w:rFonts w:ascii="Consolas" w:cs="Consolas" w:eastAsia="Consolas" w:hAnsi="Consolas"/>
          <w:b/>
          <w:bCs/>
          <w:color w:val="8DA9C4"/>
          <w:sz w:val="15"/>
          <w:szCs w:val="15"/>
        </w:rPr>
        <w:t xml:space="preserve">PR  </w:t>
      </w:r>
      <w:r>
        <w:rPr>
          <w:sz w:val="18"/>
          <w:szCs w:val="18"/>
        </w:rPr>
        <w:t xml:space="preserve">Meier, L., Honegger, D., Pollefeys, M. “PX4: A Node-Based Multithreaded Open Source Robotics Framework for Deeply Embedded Platforms.” ICRA 2015, pp. 6235–6240. doi:10.1109/ICRA.2015.7140074.</w:t>
      </w:r>
    </w:p>
    <w:p>
      <w:pPr>
        <w:spacing w:after="90" w:line="240" w:lineRule="auto"/>
        <w:ind w:left="620" w:hanging="620"/>
      </w:pPr>
      <w:r>
        <w:rPr>
          <w:rFonts w:ascii="Georgia" w:cs="Georgia" w:eastAsia="Georgia" w:hAnsi="Georgia"/>
          <w:b/>
          <w:bCs/>
          <w:color w:val="13315C"/>
          <w:sz w:val="18"/>
          <w:szCs w:val="18"/>
        </w:rPr>
        <w:t xml:space="preserve">[51] </w:t>
      </w:r>
      <w:r>
        <w:rPr>
          <w:rFonts w:ascii="Consolas" w:cs="Consolas" w:eastAsia="Consolas" w:hAnsi="Consolas"/>
          <w:b/>
          <w:bCs/>
          <w:color w:val="8DA9C4"/>
          <w:sz w:val="15"/>
          <w:szCs w:val="15"/>
        </w:rPr>
        <w:t xml:space="preserve">PR  </w:t>
      </w:r>
      <w:r>
        <w:rPr>
          <w:sz w:val="18"/>
          <w:szCs w:val="18"/>
        </w:rPr>
        <w:t xml:space="preserve">Meier, L., Tanskanen, P., Heng, L., Lee, G. H., Fraundorfer, F., Pollefeys, M. “PIXHAWK: A micro aerial vehicle design for autonomous flight using onboard computer vision.” Autonomous Robots 33(1–2), 2012, pp. 21–39. doi:10.1007/s10514-012-9281-4.</w:t>
      </w:r>
    </w:p>
    <w:p>
      <w:pPr>
        <w:spacing w:after="90" w:line="240" w:lineRule="auto"/>
        <w:ind w:left="620" w:hanging="620"/>
      </w:pPr>
      <w:r>
        <w:rPr>
          <w:rFonts w:ascii="Georgia" w:cs="Georgia" w:eastAsia="Georgia" w:hAnsi="Georgia"/>
          <w:b/>
          <w:bCs/>
          <w:color w:val="13315C"/>
          <w:sz w:val="18"/>
          <w:szCs w:val="18"/>
        </w:rPr>
        <w:t xml:space="preserve">[52] </w:t>
      </w:r>
      <w:r>
        <w:rPr>
          <w:rFonts w:ascii="Consolas" w:cs="Consolas" w:eastAsia="Consolas" w:hAnsi="Consolas"/>
          <w:b/>
          <w:bCs/>
          <w:color w:val="8DA9C4"/>
          <w:sz w:val="15"/>
          <w:szCs w:val="15"/>
        </w:rPr>
        <w:t xml:space="preserve">PL  </w:t>
      </w:r>
      <w:r>
        <w:rPr>
          <w:sz w:val="18"/>
          <w:szCs w:val="18"/>
        </w:rPr>
        <w:t xml:space="preserve">Huang, H.-M. (ed.) “Autonomy Levels for Unmanned Systems (ALFUS) Framework, Volume I: Terminology.” NIST Special Publication 1011-I-2.0, 2008.</w:t>
      </w:r>
    </w:p>
    <w:p>
      <w:pPr>
        <w:spacing w:after="90" w:line="240" w:lineRule="auto"/>
        <w:ind w:left="620" w:hanging="620"/>
      </w:pPr>
      <w:r>
        <w:rPr>
          <w:rFonts w:ascii="Georgia" w:cs="Georgia" w:eastAsia="Georgia" w:hAnsi="Georgia"/>
          <w:b/>
          <w:bCs/>
          <w:color w:val="13315C"/>
          <w:sz w:val="18"/>
          <w:szCs w:val="18"/>
        </w:rPr>
        <w:t xml:space="preserve">[53] </w:t>
      </w:r>
      <w:r>
        <w:rPr>
          <w:rFonts w:ascii="Consolas" w:cs="Consolas" w:eastAsia="Consolas" w:hAnsi="Consolas"/>
          <w:b/>
          <w:bCs/>
          <w:color w:val="8DA9C4"/>
          <w:sz w:val="15"/>
          <w:szCs w:val="15"/>
        </w:rPr>
        <w:t xml:space="preserve">PR  </w:t>
      </w:r>
      <w:r>
        <w:rPr>
          <w:sz w:val="18"/>
          <w:szCs w:val="18"/>
        </w:rPr>
        <w:t xml:space="preserve">Macenski, S., Foote, T., Gerkey, B., Lalancette, C., Woodall, W. “Robot Operating System 2: Design, architecture, and uses in the wild.” Science Robotics 7(66), 2022, eabm6074. doi:10.1126/scirobotics.abm6074.</w:t>
      </w:r>
    </w:p>
    <w:p>
      <w:pPr>
        <w:spacing w:after="90" w:line="240" w:lineRule="auto"/>
        <w:ind w:left="620" w:hanging="620"/>
      </w:pPr>
      <w:r>
        <w:rPr>
          <w:rFonts w:ascii="Georgia" w:cs="Georgia" w:eastAsia="Georgia" w:hAnsi="Georgia"/>
          <w:b/>
          <w:bCs/>
          <w:color w:val="13315C"/>
          <w:sz w:val="18"/>
          <w:szCs w:val="18"/>
        </w:rPr>
        <w:t xml:space="preserve">[54] </w:t>
      </w:r>
      <w:r>
        <w:rPr>
          <w:rFonts w:ascii="Consolas" w:cs="Consolas" w:eastAsia="Consolas" w:hAnsi="Consolas"/>
          <w:b/>
          <w:bCs/>
          <w:color w:val="8DA9C4"/>
          <w:sz w:val="15"/>
          <w:szCs w:val="15"/>
        </w:rPr>
        <w:t xml:space="preserve">PR  </w:t>
      </w:r>
      <w:r>
        <w:rPr>
          <w:sz w:val="18"/>
          <w:szCs w:val="18"/>
        </w:rPr>
        <w:t xml:space="preserve">Kanellakis, C., Nikolakopoulos, G. “Survey on Computer Vision for UAVs: Current Developments and Trends.” Journal of Intelligent &amp; Robotic Systems 87, 2017, pp. 141–168. doi:10.1007/s10846-017-0483-z.</w:t>
      </w:r>
    </w:p>
    <w:p>
      <w:pPr>
        <w:spacing w:after="90" w:line="240" w:lineRule="auto"/>
        <w:ind w:left="620" w:hanging="620"/>
      </w:pPr>
      <w:r>
        <w:rPr>
          <w:rFonts w:ascii="Georgia" w:cs="Georgia" w:eastAsia="Georgia" w:hAnsi="Georgia"/>
          <w:b/>
          <w:bCs/>
          <w:color w:val="13315C"/>
          <w:sz w:val="18"/>
          <w:szCs w:val="18"/>
        </w:rPr>
        <w:t xml:space="preserve">[55] </w:t>
      </w:r>
      <w:r>
        <w:rPr>
          <w:rFonts w:ascii="Consolas" w:cs="Consolas" w:eastAsia="Consolas" w:hAnsi="Consolas"/>
          <w:b/>
          <w:bCs/>
          <w:color w:val="8DA9C4"/>
          <w:sz w:val="15"/>
          <w:szCs w:val="15"/>
        </w:rPr>
        <w:t xml:space="preserve">V   </w:t>
      </w:r>
      <w:r>
        <w:rPr>
          <w:sz w:val="18"/>
          <w:szCs w:val="18"/>
        </w:rPr>
        <w:t xml:space="preserve">MAVLink. Micro Air Vehicle Communication Protocol. mavlink.io. MAVLink 2 message signing specification.</w:t>
      </w:r>
    </w:p>
    <w:p>
      <w:pPr>
        <w:spacing w:after="90" w:line="240" w:lineRule="auto"/>
        <w:ind w:left="620" w:hanging="620"/>
      </w:pPr>
      <w:r>
        <w:rPr>
          <w:rFonts w:ascii="Georgia" w:cs="Georgia" w:eastAsia="Georgia" w:hAnsi="Georgia"/>
          <w:b/>
          <w:bCs/>
          <w:color w:val="13315C"/>
          <w:sz w:val="18"/>
          <w:szCs w:val="18"/>
        </w:rPr>
        <w:t xml:space="preserve">[56] </w:t>
      </w:r>
      <w:r>
        <w:rPr>
          <w:rFonts w:ascii="Consolas" w:cs="Consolas" w:eastAsia="Consolas" w:hAnsi="Consolas"/>
          <w:b/>
          <w:bCs/>
          <w:color w:val="8DA9C4"/>
          <w:sz w:val="15"/>
          <w:szCs w:val="15"/>
        </w:rPr>
        <w:t xml:space="preserve">PR  </w:t>
      </w:r>
      <w:r>
        <w:rPr>
          <w:sz w:val="18"/>
          <w:szCs w:val="18"/>
        </w:rPr>
        <w:t xml:space="preserve">Campos, C., Elvira, R., Gómez Rodríguez, J. J., Montiel, J. M. M., Tardós, J. D. “ORB-SLAM3: An Accurate Open-Source Library for Visual, Visual-Inertial and Multi-Map SLAM.” IEEE Transactions on Robotics 37(6), 2021, pp. 1874–1890. doi:10.1109/TRO.2021.3075644. arXiv:2007.11898. Stereo-inertial average accuracy 3.5 cm on EuRoC.</w:t>
      </w:r>
    </w:p>
    <w:p>
      <w:pPr>
        <w:spacing w:after="90" w:line="240" w:lineRule="auto"/>
        <w:ind w:left="620" w:hanging="620"/>
      </w:pPr>
      <w:r>
        <w:rPr>
          <w:rFonts w:ascii="Georgia" w:cs="Georgia" w:eastAsia="Georgia" w:hAnsi="Georgia"/>
          <w:b/>
          <w:bCs/>
          <w:color w:val="13315C"/>
          <w:sz w:val="18"/>
          <w:szCs w:val="18"/>
        </w:rPr>
        <w:t xml:space="preserve">[57] </w:t>
      </w:r>
      <w:r>
        <w:rPr>
          <w:rFonts w:ascii="Consolas" w:cs="Consolas" w:eastAsia="Consolas" w:hAnsi="Consolas"/>
          <w:b/>
          <w:bCs/>
          <w:color w:val="8DA9C4"/>
          <w:sz w:val="15"/>
          <w:szCs w:val="15"/>
        </w:rPr>
        <w:t xml:space="preserve">PR  </w:t>
      </w:r>
      <w:r>
        <w:rPr>
          <w:sz w:val="18"/>
          <w:szCs w:val="18"/>
        </w:rPr>
        <w:t xml:space="preserve">Qin, T., Li, P., Shen, S. “VINS-Mono: A Robust and Versatile Monocular Visual-Inertial State Estimator.” IEEE Transactions on Robotics 34(4), 2018, pp. 1004–1020. doi:10.1109/TRO.2018.2853729.</w:t>
      </w:r>
    </w:p>
    <w:p>
      <w:pPr>
        <w:spacing w:after="90" w:line="240" w:lineRule="auto"/>
        <w:ind w:left="620" w:hanging="620"/>
      </w:pPr>
      <w:r>
        <w:rPr>
          <w:rFonts w:ascii="Georgia" w:cs="Georgia" w:eastAsia="Georgia" w:hAnsi="Georgia"/>
          <w:b/>
          <w:bCs/>
          <w:color w:val="13315C"/>
          <w:sz w:val="18"/>
          <w:szCs w:val="18"/>
        </w:rPr>
        <w:t xml:space="preserve">[58] </w:t>
      </w:r>
      <w:r>
        <w:rPr>
          <w:rFonts w:ascii="Consolas" w:cs="Consolas" w:eastAsia="Consolas" w:hAnsi="Consolas"/>
          <w:b/>
          <w:bCs/>
          <w:color w:val="8DA9C4"/>
          <w:sz w:val="15"/>
          <w:szCs w:val="15"/>
        </w:rPr>
        <w:t xml:space="preserve">PR  </w:t>
      </w:r>
      <w:r>
        <w:rPr>
          <w:sz w:val="18"/>
          <w:szCs w:val="18"/>
        </w:rPr>
        <w:t xml:space="preserve">Geneva, P., Eckenhoff, K., Lee, W., Yang, Y., Huang, G. “OpenVINS: A Research Platform for Visual-Inertial Estimation.” ICRA 2020, pp. 4666–4672. doi:10.1109/ICRA40945.2020.9196524.</w:t>
      </w:r>
    </w:p>
    <w:p>
      <w:pPr>
        <w:spacing w:after="90" w:line="240" w:lineRule="auto"/>
        <w:ind w:left="620" w:hanging="620"/>
      </w:pPr>
      <w:r>
        <w:rPr>
          <w:rFonts w:ascii="Georgia" w:cs="Georgia" w:eastAsia="Georgia" w:hAnsi="Georgia"/>
          <w:b/>
          <w:bCs/>
          <w:color w:val="13315C"/>
          <w:sz w:val="18"/>
          <w:szCs w:val="18"/>
        </w:rPr>
        <w:t xml:space="preserve">[59] </w:t>
      </w:r>
      <w:r>
        <w:rPr>
          <w:rFonts w:ascii="Consolas" w:cs="Consolas" w:eastAsia="Consolas" w:hAnsi="Consolas"/>
          <w:b/>
          <w:bCs/>
          <w:color w:val="8DA9C4"/>
          <w:sz w:val="15"/>
          <w:szCs w:val="15"/>
        </w:rPr>
        <w:t xml:space="preserve">PR  </w:t>
      </w:r>
      <w:r>
        <w:rPr>
          <w:sz w:val="18"/>
          <w:szCs w:val="18"/>
        </w:rPr>
        <w:t xml:space="preserve">Bloesch, M., Omari, S., Hutter, M., Siegwart, R. “Robust Visual Inertial Odometry Using a Direct EKF-Based Approach.” IROS 2015, pp. 298–304. doi:10.1109/IROS.2015.7353389.</w:t>
      </w:r>
    </w:p>
    <w:p>
      <w:pPr>
        <w:spacing w:after="90" w:line="240" w:lineRule="auto"/>
        <w:ind w:left="620" w:hanging="620"/>
      </w:pPr>
      <w:r>
        <w:rPr>
          <w:rFonts w:ascii="Georgia" w:cs="Georgia" w:eastAsia="Georgia" w:hAnsi="Georgia"/>
          <w:b/>
          <w:bCs/>
          <w:color w:val="13315C"/>
          <w:sz w:val="18"/>
          <w:szCs w:val="18"/>
        </w:rPr>
        <w:t xml:space="preserve">[60] </w:t>
      </w:r>
      <w:r>
        <w:rPr>
          <w:rFonts w:ascii="Consolas" w:cs="Consolas" w:eastAsia="Consolas" w:hAnsi="Consolas"/>
          <w:b/>
          <w:bCs/>
          <w:color w:val="8DA9C4"/>
          <w:sz w:val="15"/>
          <w:szCs w:val="15"/>
        </w:rPr>
        <w:t xml:space="preserve">PR  </w:t>
      </w:r>
      <w:r>
        <w:rPr>
          <w:sz w:val="18"/>
          <w:szCs w:val="18"/>
        </w:rPr>
        <w:t xml:space="preserve">Mourikis, A. I., Roumeliotis, S. I. “A Multi-State Constraint Kalman Filter for Vision-aided Inertial Navigation.” ICRA 2007, pp. 3565–3572. doi:10.1109/ROBOT.2007.364024.</w:t>
      </w:r>
    </w:p>
    <w:p>
      <w:pPr>
        <w:spacing w:after="90" w:line="240" w:lineRule="auto"/>
        <w:ind w:left="620" w:hanging="620"/>
      </w:pPr>
      <w:r>
        <w:rPr>
          <w:rFonts w:ascii="Georgia" w:cs="Georgia" w:eastAsia="Georgia" w:hAnsi="Georgia"/>
          <w:b/>
          <w:bCs/>
          <w:color w:val="13315C"/>
          <w:sz w:val="18"/>
          <w:szCs w:val="18"/>
        </w:rPr>
        <w:t xml:space="preserve">[61] </w:t>
      </w:r>
      <w:r>
        <w:rPr>
          <w:rFonts w:ascii="Consolas" w:cs="Consolas" w:eastAsia="Consolas" w:hAnsi="Consolas"/>
          <w:b/>
          <w:bCs/>
          <w:color w:val="8DA9C4"/>
          <w:sz w:val="15"/>
          <w:szCs w:val="15"/>
        </w:rPr>
        <w:t xml:space="preserve">PR  </w:t>
      </w:r>
      <w:r>
        <w:rPr>
          <w:sz w:val="18"/>
          <w:szCs w:val="18"/>
        </w:rPr>
        <w:t xml:space="preserve">Furgale, P., Rehder, J., Siegwart, R. “Unified Temporal and Spatial Calibration for Multi-Sensor Systems.” IROS 2013, pp. 1280–1286. doi:10.1109/IROS.2013.6696514.</w:t>
      </w:r>
    </w:p>
    <w:p>
      <w:pPr>
        <w:spacing w:after="90" w:line="240" w:lineRule="auto"/>
        <w:ind w:left="620" w:hanging="620"/>
      </w:pPr>
      <w:r>
        <w:rPr>
          <w:rFonts w:ascii="Georgia" w:cs="Georgia" w:eastAsia="Georgia" w:hAnsi="Georgia"/>
          <w:b/>
          <w:bCs/>
          <w:color w:val="13315C"/>
          <w:sz w:val="18"/>
          <w:szCs w:val="18"/>
        </w:rPr>
        <w:t xml:space="preserve">[62] </w:t>
      </w:r>
      <w:r>
        <w:rPr>
          <w:rFonts w:ascii="Consolas" w:cs="Consolas" w:eastAsia="Consolas" w:hAnsi="Consolas"/>
          <w:b/>
          <w:bCs/>
          <w:color w:val="8DA9C4"/>
          <w:sz w:val="15"/>
          <w:szCs w:val="15"/>
        </w:rPr>
        <w:t xml:space="preserve">PR  </w:t>
      </w:r>
      <w:r>
        <w:rPr>
          <w:sz w:val="18"/>
          <w:szCs w:val="18"/>
        </w:rPr>
        <w:t xml:space="preserve">Burri, M. et al. “The EuRoC micro aerial vehicle datasets.” International Journal of Robotics Research 35(10), 2016, pp. 1157–1163. doi:10.1177/0278364915620033.</w:t>
      </w:r>
    </w:p>
    <w:p>
      <w:pPr>
        <w:spacing w:after="90" w:line="240" w:lineRule="auto"/>
        <w:ind w:left="620" w:hanging="620"/>
      </w:pPr>
      <w:r>
        <w:rPr>
          <w:rFonts w:ascii="Georgia" w:cs="Georgia" w:eastAsia="Georgia" w:hAnsi="Georgia"/>
          <w:b/>
          <w:bCs/>
          <w:color w:val="13315C"/>
          <w:sz w:val="18"/>
          <w:szCs w:val="18"/>
        </w:rPr>
        <w:t xml:space="preserve">[63] </w:t>
      </w:r>
      <w:r>
        <w:rPr>
          <w:rFonts w:ascii="Consolas" w:cs="Consolas" w:eastAsia="Consolas" w:hAnsi="Consolas"/>
          <w:b/>
          <w:bCs/>
          <w:color w:val="8DA9C4"/>
          <w:sz w:val="15"/>
          <w:szCs w:val="15"/>
        </w:rPr>
        <w:t xml:space="preserve">PR  </w:t>
      </w:r>
      <w:r>
        <w:rPr>
          <w:sz w:val="18"/>
          <w:szCs w:val="18"/>
        </w:rPr>
        <w:t xml:space="preserve">Cadena, C. et al. “Past, Present, and Future of Simultaneous Localization and Mapping: Toward the Robust-Perception Age.” IEEE Transactions on Robotics 32(6), 2016, pp. 1309–1332. doi:10.1109/TRO.2016.2624754.</w:t>
      </w:r>
    </w:p>
    <w:p>
      <w:pPr>
        <w:spacing w:after="90" w:line="240" w:lineRule="auto"/>
        <w:ind w:left="620" w:hanging="620"/>
      </w:pPr>
      <w:r>
        <w:rPr>
          <w:rFonts w:ascii="Georgia" w:cs="Georgia" w:eastAsia="Georgia" w:hAnsi="Georgia"/>
          <w:b/>
          <w:bCs/>
          <w:color w:val="13315C"/>
          <w:sz w:val="18"/>
          <w:szCs w:val="18"/>
        </w:rPr>
        <w:t xml:space="preserve">[64] </w:t>
      </w:r>
      <w:r>
        <w:rPr>
          <w:rFonts w:ascii="Consolas" w:cs="Consolas" w:eastAsia="Consolas" w:hAnsi="Consolas"/>
          <w:b/>
          <w:bCs/>
          <w:color w:val="8DA9C4"/>
          <w:sz w:val="15"/>
          <w:szCs w:val="15"/>
        </w:rPr>
        <w:t xml:space="preserve">PR  </w:t>
      </w:r>
      <w:r>
        <w:rPr>
          <w:sz w:val="18"/>
          <w:szCs w:val="18"/>
        </w:rPr>
        <w:t xml:space="preserve">Delmerico, J., Scaramuzza, D. “A Benchmark Comparison of Monocular Visual-Inertial Odometry Algorithms for Flying Robots.” ICRA 2018, pp. 2502–2509. doi:10.1109/ICRA.2018.8460664.</w:t>
      </w:r>
    </w:p>
    <w:p>
      <w:pPr>
        <w:spacing w:after="90" w:line="240" w:lineRule="auto"/>
        <w:ind w:left="620" w:hanging="620"/>
      </w:pPr>
      <w:r>
        <w:rPr>
          <w:rFonts w:ascii="Georgia" w:cs="Georgia" w:eastAsia="Georgia" w:hAnsi="Georgia"/>
          <w:b/>
          <w:bCs/>
          <w:color w:val="13315C"/>
          <w:sz w:val="18"/>
          <w:szCs w:val="18"/>
        </w:rPr>
        <w:t xml:space="preserve">[65] </w:t>
      </w:r>
      <w:r>
        <w:rPr>
          <w:rFonts w:ascii="Consolas" w:cs="Consolas" w:eastAsia="Consolas" w:hAnsi="Consolas"/>
          <w:b/>
          <w:bCs/>
          <w:color w:val="8DA9C4"/>
          <w:sz w:val="15"/>
          <w:szCs w:val="15"/>
        </w:rPr>
        <w:t xml:space="preserve">CL  </w:t>
      </w:r>
      <w:r>
        <w:rPr>
          <w:sz w:val="18"/>
          <w:szCs w:val="18"/>
        </w:rPr>
        <w:t xml:space="preserve">Kalman, R. E. “A New Approach to Linear Filtering and Prediction Problems.” Journal of Basic Engineering 82(1), 1960, pp. 35–45. doi:10.1115/1.3662552.</w:t>
      </w:r>
    </w:p>
    <w:p>
      <w:pPr>
        <w:spacing w:after="90" w:line="240" w:lineRule="auto"/>
        <w:ind w:left="620" w:hanging="620"/>
      </w:pPr>
      <w:r>
        <w:rPr>
          <w:rFonts w:ascii="Georgia" w:cs="Georgia" w:eastAsia="Georgia" w:hAnsi="Georgia"/>
          <w:b/>
          <w:bCs/>
          <w:color w:val="13315C"/>
          <w:sz w:val="18"/>
          <w:szCs w:val="18"/>
        </w:rPr>
        <w:t xml:space="preserve">[66] </w:t>
      </w:r>
      <w:r>
        <w:rPr>
          <w:rFonts w:ascii="Consolas" w:cs="Consolas" w:eastAsia="Consolas" w:hAnsi="Consolas"/>
          <w:b/>
          <w:bCs/>
          <w:color w:val="8DA9C4"/>
          <w:sz w:val="15"/>
          <w:szCs w:val="15"/>
        </w:rPr>
        <w:t xml:space="preserve">PR  </w:t>
      </w:r>
      <w:r>
        <w:rPr>
          <w:sz w:val="18"/>
          <w:szCs w:val="18"/>
        </w:rPr>
        <w:t xml:space="preserve">Sathaye, H., LaMountain, G., Closas, P., Ranganathan, A. “SemperFi: Anti-spoofing GPS Receiver for UAVs.” Network and Distributed System Security Symposium (NDSS) 2022. doi:10.14722/ndss.2022.24071.</w:t>
      </w:r>
    </w:p>
    <w:p>
      <w:pPr>
        <w:spacing w:after="90" w:line="240" w:lineRule="auto"/>
        <w:ind w:left="620" w:hanging="620"/>
      </w:pPr>
      <w:r>
        <w:rPr>
          <w:rFonts w:ascii="Georgia" w:cs="Georgia" w:eastAsia="Georgia" w:hAnsi="Georgia"/>
          <w:b/>
          <w:bCs/>
          <w:color w:val="13315C"/>
          <w:sz w:val="18"/>
          <w:szCs w:val="18"/>
        </w:rPr>
        <w:t xml:space="preserve">[67] </w:t>
      </w:r>
      <w:r>
        <w:rPr>
          <w:rFonts w:ascii="Consolas" w:cs="Consolas" w:eastAsia="Consolas" w:hAnsi="Consolas"/>
          <w:b/>
          <w:bCs/>
          <w:color w:val="8DA9C4"/>
          <w:sz w:val="15"/>
          <w:szCs w:val="15"/>
        </w:rPr>
        <w:t xml:space="preserve">PR  </w:t>
      </w:r>
      <w:r>
        <w:rPr>
          <w:sz w:val="18"/>
          <w:szCs w:val="18"/>
        </w:rPr>
        <w:t xml:space="preserve">Sathaye, H., Strohmeier, M., Lenders, V., Ranganathan, A. “An Experimental Study of GPS Spoofing and Takeover Attacks on UAVs.” 31st USENIX Security Symposium 2022, pp. 3503–3520.</w:t>
      </w:r>
    </w:p>
    <w:p>
      <w:pPr>
        <w:spacing w:after="90" w:line="240" w:lineRule="auto"/>
        <w:ind w:left="620" w:hanging="620"/>
      </w:pPr>
      <w:r>
        <w:rPr>
          <w:rFonts w:ascii="Georgia" w:cs="Georgia" w:eastAsia="Georgia" w:hAnsi="Georgia"/>
          <w:b/>
          <w:bCs/>
          <w:color w:val="13315C"/>
          <w:sz w:val="18"/>
          <w:szCs w:val="18"/>
        </w:rPr>
        <w:t xml:space="preserve">[68] </w:t>
      </w:r>
      <w:r>
        <w:rPr>
          <w:rFonts w:ascii="Consolas" w:cs="Consolas" w:eastAsia="Consolas" w:hAnsi="Consolas"/>
          <w:b/>
          <w:bCs/>
          <w:color w:val="8DA9C4"/>
          <w:sz w:val="15"/>
          <w:szCs w:val="15"/>
        </w:rPr>
        <w:t xml:space="preserve">PR  </w:t>
      </w:r>
      <w:r>
        <w:rPr>
          <w:sz w:val="18"/>
          <w:szCs w:val="18"/>
        </w:rPr>
        <w:t xml:space="preserve">Noh, J. et al. “Tractor Beam: Safe-hijacking of Consumer Drones with Adaptive GPS Spoofing.” ACM Transactions on Privacy and Security 22(2), 2019, art. 12. doi:10.1145/3309735.</w:t>
      </w:r>
    </w:p>
    <w:p>
      <w:pPr>
        <w:spacing w:after="90" w:line="240" w:lineRule="auto"/>
        <w:ind w:left="620" w:hanging="620"/>
      </w:pPr>
      <w:r>
        <w:rPr>
          <w:rFonts w:ascii="Georgia" w:cs="Georgia" w:eastAsia="Georgia" w:hAnsi="Georgia"/>
          <w:b/>
          <w:bCs/>
          <w:color w:val="13315C"/>
          <w:sz w:val="18"/>
          <w:szCs w:val="18"/>
        </w:rPr>
        <w:t xml:space="preserve">[69] </w:t>
      </w:r>
      <w:r>
        <w:rPr>
          <w:rFonts w:ascii="Consolas" w:cs="Consolas" w:eastAsia="Consolas" w:hAnsi="Consolas"/>
          <w:b/>
          <w:bCs/>
          <w:color w:val="8DA9C4"/>
          <w:sz w:val="15"/>
          <w:szCs w:val="15"/>
        </w:rPr>
        <w:t xml:space="preserve">PR  </w:t>
      </w:r>
      <w:r>
        <w:rPr>
          <w:sz w:val="18"/>
          <w:szCs w:val="18"/>
        </w:rPr>
        <w:t xml:space="preserve">Shen, J., Won, J. Y., Chen, Z., Chen, Q. A. “Drift with Devil: Security of Multi-Sensor Fusion based Localization in High-Level Autonomous Driving under GPS Spoofing.” 29th USENIX Security Symposium 2020, pp. 931–948.</w:t>
      </w:r>
    </w:p>
    <w:p>
      <w:pPr>
        <w:spacing w:after="90" w:line="240" w:lineRule="auto"/>
        <w:ind w:left="620" w:hanging="620"/>
      </w:pPr>
      <w:r>
        <w:rPr>
          <w:rFonts w:ascii="Georgia" w:cs="Georgia" w:eastAsia="Georgia" w:hAnsi="Georgia"/>
          <w:b/>
          <w:bCs/>
          <w:color w:val="13315C"/>
          <w:sz w:val="18"/>
          <w:szCs w:val="18"/>
        </w:rPr>
        <w:t xml:space="preserve">[70] </w:t>
      </w:r>
      <w:r>
        <w:rPr>
          <w:rFonts w:ascii="Consolas" w:cs="Consolas" w:eastAsia="Consolas" w:hAnsi="Consolas"/>
          <w:b/>
          <w:bCs/>
          <w:color w:val="8DA9C4"/>
          <w:sz w:val="15"/>
          <w:szCs w:val="15"/>
        </w:rPr>
        <w:t xml:space="preserve">PR  </w:t>
      </w:r>
      <w:r>
        <w:rPr>
          <w:sz w:val="18"/>
          <w:szCs w:val="18"/>
        </w:rPr>
        <w:t xml:space="preserve">Kerns, A. J., Shepard, D. P., Bhatti, J. A., Humphreys, T. E. “Unmanned Aircraft Capture and Control via GPS Spoofing.” Journal of Field Robotics 31(4), 2014, pp. 617–636. doi:10.1002/rob.21513.</w:t>
      </w:r>
    </w:p>
    <w:p>
      <w:pPr>
        <w:spacing w:after="90" w:line="240" w:lineRule="auto"/>
        <w:ind w:left="620" w:hanging="620"/>
      </w:pPr>
      <w:r>
        <w:rPr>
          <w:rFonts w:ascii="Georgia" w:cs="Georgia" w:eastAsia="Georgia" w:hAnsi="Georgia"/>
          <w:b/>
          <w:bCs/>
          <w:color w:val="13315C"/>
          <w:sz w:val="18"/>
          <w:szCs w:val="18"/>
        </w:rPr>
        <w:t xml:space="preserve">[71] </w:t>
      </w:r>
      <w:r>
        <w:rPr>
          <w:rFonts w:ascii="Consolas" w:cs="Consolas" w:eastAsia="Consolas" w:hAnsi="Consolas"/>
          <w:b/>
          <w:bCs/>
          <w:color w:val="8DA9C4"/>
          <w:sz w:val="15"/>
          <w:szCs w:val="15"/>
        </w:rPr>
        <w:t xml:space="preserve">PR  </w:t>
      </w:r>
      <w:r>
        <w:rPr>
          <w:sz w:val="18"/>
          <w:szCs w:val="18"/>
        </w:rPr>
        <w:t xml:space="preserve">Humphreys, T. E., Ledvina, B. M., Psiaki, M. L., O’Hanlon, B. W., Kintner, P. M. “Assessing the Spoofing Threat: Development of a Portable GPS Civilian Spoofer.” Proceedings of ION GNSS 2008, pp. 2314–2325.</w:t>
      </w:r>
    </w:p>
    <w:p>
      <w:pPr>
        <w:spacing w:after="90" w:line="240" w:lineRule="auto"/>
        <w:ind w:left="620" w:hanging="620"/>
      </w:pPr>
      <w:r>
        <w:rPr>
          <w:rFonts w:ascii="Georgia" w:cs="Georgia" w:eastAsia="Georgia" w:hAnsi="Georgia"/>
          <w:b/>
          <w:bCs/>
          <w:color w:val="13315C"/>
          <w:sz w:val="18"/>
          <w:szCs w:val="18"/>
        </w:rPr>
        <w:t xml:space="preserve">[72] </w:t>
      </w:r>
      <w:r>
        <w:rPr>
          <w:rFonts w:ascii="Consolas" w:cs="Consolas" w:eastAsia="Consolas" w:hAnsi="Consolas"/>
          <w:b/>
          <w:bCs/>
          <w:color w:val="8DA9C4"/>
          <w:sz w:val="15"/>
          <w:szCs w:val="15"/>
        </w:rPr>
        <w:t xml:space="preserve">PR  </w:t>
      </w:r>
      <w:r>
        <w:rPr>
          <w:sz w:val="18"/>
          <w:szCs w:val="18"/>
        </w:rPr>
        <w:t xml:space="preserve">Psiaki, M. L., Humphreys, T. E. “GNSS Spoofing and Detection.” Proceedings of the IEEE 104(6), 2016, pp. 1258–1270. doi:10.1109/JPROC.2016.2526658.</w:t>
      </w:r>
    </w:p>
    <w:p>
      <w:pPr>
        <w:spacing w:after="90" w:line="240" w:lineRule="auto"/>
        <w:ind w:left="620" w:hanging="620"/>
      </w:pPr>
      <w:r>
        <w:rPr>
          <w:rFonts w:ascii="Georgia" w:cs="Georgia" w:eastAsia="Georgia" w:hAnsi="Georgia"/>
          <w:b/>
          <w:bCs/>
          <w:color w:val="13315C"/>
          <w:sz w:val="18"/>
          <w:szCs w:val="18"/>
        </w:rPr>
        <w:t xml:space="preserve">[73] </w:t>
      </w:r>
      <w:r>
        <w:rPr>
          <w:rFonts w:ascii="Consolas" w:cs="Consolas" w:eastAsia="Consolas" w:hAnsi="Consolas"/>
          <w:b/>
          <w:bCs/>
          <w:color w:val="8DA9C4"/>
          <w:sz w:val="15"/>
          <w:szCs w:val="15"/>
        </w:rPr>
        <w:t xml:space="preserve">PR  </w:t>
      </w:r>
      <w:r>
        <w:rPr>
          <w:sz w:val="18"/>
          <w:szCs w:val="18"/>
        </w:rPr>
        <w:t xml:space="preserve">Ioannides, R. T., Pany, T., Gibbons, G. “Known Vulnerabilities of Global Navigation Satellite Systems, Status, and Potential Mitigation Techniques.” Proceedings of the IEEE 104(6), 2016, pp. 1174–1194. doi:10.1109/JPROC.2016.2535898.</w:t>
      </w:r>
    </w:p>
    <w:p>
      <w:pPr>
        <w:spacing w:after="90" w:line="240" w:lineRule="auto"/>
        <w:ind w:left="620" w:hanging="620"/>
      </w:pPr>
      <w:r>
        <w:rPr>
          <w:rFonts w:ascii="Georgia" w:cs="Georgia" w:eastAsia="Georgia" w:hAnsi="Georgia"/>
          <w:b/>
          <w:bCs/>
          <w:color w:val="13315C"/>
          <w:sz w:val="18"/>
          <w:szCs w:val="18"/>
        </w:rPr>
        <w:t xml:space="preserve">[74] </w:t>
      </w:r>
      <w:r>
        <w:rPr>
          <w:rFonts w:ascii="Consolas" w:cs="Consolas" w:eastAsia="Consolas" w:hAnsi="Consolas"/>
          <w:b/>
          <w:bCs/>
          <w:color w:val="8DA9C4"/>
          <w:sz w:val="15"/>
          <w:szCs w:val="15"/>
        </w:rPr>
        <w:t xml:space="preserve">PR  </w:t>
      </w:r>
      <w:r>
        <w:rPr>
          <w:sz w:val="18"/>
          <w:szCs w:val="18"/>
        </w:rPr>
        <w:t xml:space="preserve">Allouch, A., Cheikhrouhou, O., Koubâa, A., Khalgui, M., Abbes, T. “MAVSec: Securing the MAVLink Protocol for Ardupilot/PX4 Unmanned Aerial Systems.” 15th International Wireless Communications &amp; Mobile Computing Conference (IWCMC) 2019, pp. 621–628. doi:10.1109/IWCMC.2019.8766667.</w:t>
      </w:r>
    </w:p>
    <w:p>
      <w:pPr>
        <w:spacing w:after="90" w:line="240" w:lineRule="auto"/>
        <w:ind w:left="620" w:hanging="620"/>
      </w:pPr>
      <w:r>
        <w:rPr>
          <w:rFonts w:ascii="Georgia" w:cs="Georgia" w:eastAsia="Georgia" w:hAnsi="Georgia"/>
          <w:b/>
          <w:bCs/>
          <w:color w:val="13315C"/>
          <w:sz w:val="18"/>
          <w:szCs w:val="18"/>
        </w:rPr>
        <w:t xml:space="preserve">[75] </w:t>
      </w:r>
      <w:r>
        <w:rPr>
          <w:rFonts w:ascii="Consolas" w:cs="Consolas" w:eastAsia="Consolas" w:hAnsi="Consolas"/>
          <w:b/>
          <w:bCs/>
          <w:color w:val="8DA9C4"/>
          <w:sz w:val="15"/>
          <w:szCs w:val="15"/>
        </w:rPr>
        <w:t xml:space="preserve">IB  </w:t>
      </w:r>
      <w:r>
        <w:rPr>
          <w:sz w:val="18"/>
          <w:szCs w:val="18"/>
        </w:rPr>
        <w:t xml:space="preserve">Appleby, R. “Technical Advisory — ExpressLRS vulnerabilities allow for hijack of control link.” NCC Group, 30 June 2022. CVSS 7.5 (AV:N/AC:L/PR:N/UI:N/S:U/C:N/I:N/A:H). Demonstrates MD5-derived UID and FHSS-seed leakage enabling control-link takeover with stock ELRS hardware.</w:t>
      </w:r>
    </w:p>
    <w:p>
      <w:pPr>
        <w:spacing w:after="90" w:line="240" w:lineRule="auto"/>
        <w:ind w:left="620" w:hanging="620"/>
      </w:pPr>
      <w:r>
        <w:rPr>
          <w:rFonts w:ascii="Georgia" w:cs="Georgia" w:eastAsia="Georgia" w:hAnsi="Georgia"/>
          <w:b/>
          <w:bCs/>
          <w:color w:val="13315C"/>
          <w:sz w:val="18"/>
          <w:szCs w:val="18"/>
        </w:rPr>
        <w:t xml:space="preserve">[76] </w:t>
      </w:r>
      <w:r>
        <w:rPr>
          <w:rFonts w:ascii="Consolas" w:cs="Consolas" w:eastAsia="Consolas" w:hAnsi="Consolas"/>
          <w:b/>
          <w:bCs/>
          <w:color w:val="8DA9C4"/>
          <w:sz w:val="15"/>
          <w:szCs w:val="15"/>
        </w:rPr>
        <w:t xml:space="preserve">PL  </w:t>
      </w:r>
      <w:r>
        <w:rPr>
          <w:sz w:val="18"/>
          <w:szCs w:val="18"/>
        </w:rPr>
        <w:t xml:space="preserve">CVE-2020-10282. MAVLink protocol lacks encryption of message payloads. MITRE CVE database.</w:t>
      </w:r>
    </w:p>
    <w:p>
      <w:pPr>
        <w:spacing w:after="90" w:line="240" w:lineRule="auto"/>
        <w:ind w:left="620" w:hanging="620"/>
      </w:pPr>
      <w:r>
        <w:rPr>
          <w:rFonts w:ascii="Georgia" w:cs="Georgia" w:eastAsia="Georgia" w:hAnsi="Georgia"/>
          <w:b/>
          <w:bCs/>
          <w:color w:val="13315C"/>
          <w:sz w:val="18"/>
          <w:szCs w:val="18"/>
        </w:rPr>
        <w:t xml:space="preserve">[77] </w:t>
      </w:r>
      <w:r>
        <w:rPr>
          <w:rFonts w:ascii="Consolas" w:cs="Consolas" w:eastAsia="Consolas" w:hAnsi="Consolas"/>
          <w:b/>
          <w:bCs/>
          <w:color w:val="8DA9C4"/>
          <w:sz w:val="15"/>
          <w:szCs w:val="15"/>
        </w:rPr>
        <w:t xml:space="preserve">PL  </w:t>
      </w:r>
      <w:r>
        <w:rPr>
          <w:sz w:val="18"/>
          <w:szCs w:val="18"/>
        </w:rPr>
        <w:t xml:space="preserve">CVE-2020-10283. MAVLink protocol does not verify ground control station identity. MITRE CVE database.</w:t>
      </w:r>
    </w:p>
    <w:p>
      <w:pPr>
        <w:spacing w:after="90" w:line="240" w:lineRule="auto"/>
        <w:ind w:left="620" w:hanging="620"/>
      </w:pPr>
      <w:r>
        <w:rPr>
          <w:rFonts w:ascii="Georgia" w:cs="Georgia" w:eastAsia="Georgia" w:hAnsi="Georgia"/>
          <w:b/>
          <w:bCs/>
          <w:color w:val="13315C"/>
          <w:sz w:val="18"/>
          <w:szCs w:val="18"/>
        </w:rPr>
        <w:t xml:space="preserve">[78] </w:t>
      </w:r>
      <w:r>
        <w:rPr>
          <w:rFonts w:ascii="Consolas" w:cs="Consolas" w:eastAsia="Consolas" w:hAnsi="Consolas"/>
          <w:b/>
          <w:bCs/>
          <w:color w:val="8DA9C4"/>
          <w:sz w:val="15"/>
          <w:szCs w:val="15"/>
        </w:rPr>
        <w:t xml:space="preserve">V   </w:t>
      </w:r>
      <w:r>
        <w:rPr>
          <w:sz w:val="18"/>
          <w:szCs w:val="18"/>
        </w:rPr>
        <w:t xml:space="preserve">CVE-2026-1579. PX4 unsigned-MAVLink SERIAL_CONTROL shell access, CVSS 9.8. FLAGGED: recent, single-vendor-advisory-sourced; treat as provisional.</w:t>
      </w:r>
    </w:p>
    <w:p>
      <w:pPr>
        <w:spacing w:after="90" w:line="240" w:lineRule="auto"/>
        <w:ind w:left="620" w:hanging="620"/>
      </w:pPr>
      <w:r>
        <w:rPr>
          <w:rFonts w:ascii="Georgia" w:cs="Georgia" w:eastAsia="Georgia" w:hAnsi="Georgia"/>
          <w:b/>
          <w:bCs/>
          <w:color w:val="13315C"/>
          <w:sz w:val="18"/>
          <w:szCs w:val="18"/>
        </w:rPr>
        <w:t xml:space="preserve">[79] </w:t>
      </w:r>
      <w:r>
        <w:rPr>
          <w:rFonts w:ascii="Consolas" w:cs="Consolas" w:eastAsia="Consolas" w:hAnsi="Consolas"/>
          <w:b/>
          <w:bCs/>
          <w:color w:val="8DA9C4"/>
          <w:sz w:val="15"/>
          <w:szCs w:val="15"/>
        </w:rPr>
        <w:t xml:space="preserve">PR  </w:t>
      </w:r>
      <w:r>
        <w:rPr>
          <w:sz w:val="18"/>
          <w:szCs w:val="18"/>
        </w:rPr>
        <w:t xml:space="preserve">Nassi, B., Bitton, R., Masuoka, R., Shabtai, A., Elovici, Y. “SoK: Security and Privacy in the Age of Commercial Drones.” IEEE Symposium on Security and Privacy (S&amp;P) 2021, pp. 1434–1451. doi:10.1109/SP40001.2021.00005.</w:t>
      </w:r>
    </w:p>
    <w:p>
      <w:pPr>
        <w:spacing w:after="90" w:line="240" w:lineRule="auto"/>
        <w:ind w:left="620" w:hanging="620"/>
      </w:pPr>
      <w:r>
        <w:rPr>
          <w:rFonts w:ascii="Georgia" w:cs="Georgia" w:eastAsia="Georgia" w:hAnsi="Georgia"/>
          <w:b/>
          <w:bCs/>
          <w:color w:val="13315C"/>
          <w:sz w:val="18"/>
          <w:szCs w:val="18"/>
        </w:rPr>
        <w:t xml:space="preserve">[80] </w:t>
      </w:r>
      <w:r>
        <w:rPr>
          <w:rFonts w:ascii="Consolas" w:cs="Consolas" w:eastAsia="Consolas" w:hAnsi="Consolas"/>
          <w:b/>
          <w:bCs/>
          <w:color w:val="8DA9C4"/>
          <w:sz w:val="15"/>
          <w:szCs w:val="15"/>
        </w:rPr>
        <w:t xml:space="preserve">PR  </w:t>
      </w:r>
      <w:r>
        <w:rPr>
          <w:sz w:val="18"/>
          <w:szCs w:val="18"/>
        </w:rPr>
        <w:t xml:space="preserve">Yaacoub, J.-P., Noura, H., Salman, O., Chehab, A. “Security analysis of drones systems: Attacks, limitations, and recommendations.” Internet of Things 11, 2020, art. 100218. doi:10.1016/j.iot.2020.100218.</w:t>
      </w:r>
    </w:p>
    <w:p>
      <w:pPr>
        <w:spacing w:after="90" w:line="240" w:lineRule="auto"/>
        <w:ind w:left="620" w:hanging="620"/>
      </w:pPr>
      <w:r>
        <w:rPr>
          <w:rFonts w:ascii="Georgia" w:cs="Georgia" w:eastAsia="Georgia" w:hAnsi="Georgia"/>
          <w:b/>
          <w:bCs/>
          <w:color w:val="13315C"/>
          <w:sz w:val="18"/>
          <w:szCs w:val="18"/>
        </w:rPr>
        <w:t xml:space="preserve">[81] </w:t>
      </w:r>
      <w:r>
        <w:rPr>
          <w:rFonts w:ascii="Consolas" w:cs="Consolas" w:eastAsia="Consolas" w:hAnsi="Consolas"/>
          <w:b/>
          <w:bCs/>
          <w:color w:val="8DA9C4"/>
          <w:sz w:val="15"/>
          <w:szCs w:val="15"/>
        </w:rPr>
        <w:t xml:space="preserve">V   </w:t>
      </w:r>
      <w:r>
        <w:rPr>
          <w:sz w:val="18"/>
          <w:szCs w:val="18"/>
        </w:rPr>
        <w:t xml:space="preserve">ExpressLRS. Open-source high-performance radio link for RC applications. expresslrs.org. Binding phrase documented as an anti-collision measure, not a security measure.</w:t>
      </w:r>
    </w:p>
    <w:p>
      <w:pPr>
        <w:spacing w:after="90" w:line="240" w:lineRule="auto"/>
        <w:ind w:left="620" w:hanging="620"/>
      </w:pPr>
      <w:r>
        <w:rPr>
          <w:rFonts w:ascii="Georgia" w:cs="Georgia" w:eastAsia="Georgia" w:hAnsi="Georgia"/>
          <w:b/>
          <w:bCs/>
          <w:color w:val="13315C"/>
          <w:sz w:val="18"/>
          <w:szCs w:val="18"/>
        </w:rPr>
        <w:t xml:space="preserve">[82] </w:t>
      </w:r>
      <w:r>
        <w:rPr>
          <w:rFonts w:ascii="Consolas" w:cs="Consolas" w:eastAsia="Consolas" w:hAnsi="Consolas"/>
          <w:b/>
          <w:bCs/>
          <w:color w:val="8DA9C4"/>
          <w:sz w:val="15"/>
          <w:szCs w:val="15"/>
        </w:rPr>
        <w:t xml:space="preserve">PR  </w:t>
      </w:r>
      <w:r>
        <w:rPr>
          <w:sz w:val="18"/>
          <w:szCs w:val="18"/>
        </w:rPr>
        <w:t xml:space="preserve">Crosby, S. A., Wallach, D. S. “Efficient Data Structures for Tamper-Evident Logging.” 18th USENIX Security Symposium 2009, pp. 317–334.</w:t>
      </w:r>
    </w:p>
    <w:p>
      <w:pPr>
        <w:spacing w:after="90" w:line="240" w:lineRule="auto"/>
        <w:ind w:left="620" w:hanging="620"/>
      </w:pPr>
      <w:r>
        <w:rPr>
          <w:rFonts w:ascii="Georgia" w:cs="Georgia" w:eastAsia="Georgia" w:hAnsi="Georgia"/>
          <w:b/>
          <w:bCs/>
          <w:color w:val="13315C"/>
          <w:sz w:val="18"/>
          <w:szCs w:val="18"/>
        </w:rPr>
        <w:t xml:space="preserve">[83] </w:t>
      </w:r>
      <w:r>
        <w:rPr>
          <w:rFonts w:ascii="Consolas" w:cs="Consolas" w:eastAsia="Consolas" w:hAnsi="Consolas"/>
          <w:b/>
          <w:bCs/>
          <w:color w:val="8DA9C4"/>
          <w:sz w:val="15"/>
          <w:szCs w:val="15"/>
        </w:rPr>
        <w:t xml:space="preserve">PR  </w:t>
      </w:r>
      <w:r>
        <w:rPr>
          <w:sz w:val="18"/>
          <w:szCs w:val="18"/>
        </w:rPr>
        <w:t xml:space="preserve">Schneier, B., Kelsey, J. “Cryptographic Support for Secure Logs on Untrusted Machines.” 7th USENIX Security Symposium 1998, pp. 53–62.</w:t>
      </w:r>
    </w:p>
    <w:p>
      <w:pPr>
        <w:spacing w:after="90" w:line="240" w:lineRule="auto"/>
        <w:ind w:left="620" w:hanging="620"/>
      </w:pPr>
      <w:r>
        <w:rPr>
          <w:rFonts w:ascii="Georgia" w:cs="Georgia" w:eastAsia="Georgia" w:hAnsi="Georgia"/>
          <w:b/>
          <w:bCs/>
          <w:color w:val="13315C"/>
          <w:sz w:val="18"/>
          <w:szCs w:val="18"/>
        </w:rPr>
        <w:t xml:space="preserve">[84] </w:t>
      </w:r>
      <w:r>
        <w:rPr>
          <w:rFonts w:ascii="Consolas" w:cs="Consolas" w:eastAsia="Consolas" w:hAnsi="Consolas"/>
          <w:b/>
          <w:bCs/>
          <w:color w:val="8DA9C4"/>
          <w:sz w:val="15"/>
          <w:szCs w:val="15"/>
        </w:rPr>
        <w:t xml:space="preserve">PR  </w:t>
      </w:r>
      <w:r>
        <w:rPr>
          <w:sz w:val="18"/>
          <w:szCs w:val="18"/>
        </w:rPr>
        <w:t xml:space="preserve">Bellare, M., Yee, B. “Forward Integrity for Secure Audit Logs.” Technical Report, University of California San Diego, 1997.</w:t>
      </w:r>
    </w:p>
    <w:p>
      <w:pPr>
        <w:spacing w:after="90" w:line="240" w:lineRule="auto"/>
        <w:ind w:left="620" w:hanging="620"/>
      </w:pPr>
      <w:r>
        <w:rPr>
          <w:rFonts w:ascii="Georgia" w:cs="Georgia" w:eastAsia="Georgia" w:hAnsi="Georgia"/>
          <w:b/>
          <w:bCs/>
          <w:color w:val="13315C"/>
          <w:sz w:val="18"/>
          <w:szCs w:val="18"/>
        </w:rPr>
        <w:t xml:space="preserve">[85] </w:t>
      </w:r>
      <w:r>
        <w:rPr>
          <w:rFonts w:ascii="Consolas" w:cs="Consolas" w:eastAsia="Consolas" w:hAnsi="Consolas"/>
          <w:b/>
          <w:bCs/>
          <w:color w:val="8DA9C4"/>
          <w:sz w:val="15"/>
          <w:szCs w:val="15"/>
        </w:rPr>
        <w:t xml:space="preserve">PR  </w:t>
      </w:r>
      <w:r>
        <w:rPr>
          <w:sz w:val="18"/>
          <w:szCs w:val="18"/>
        </w:rPr>
        <w:t xml:space="preserve">Merkle, R. C. “A Digital Signature Based on a Conventional Encryption Function.” CRYPTO 1987, LNCS 293, pp. 369–378. doi:10.1007/3-540-48184-2_32.</w:t>
      </w:r>
    </w:p>
    <w:p>
      <w:pPr>
        <w:spacing w:after="90" w:line="240" w:lineRule="auto"/>
        <w:ind w:left="620" w:hanging="620"/>
      </w:pPr>
      <w:r>
        <w:rPr>
          <w:rFonts w:ascii="Georgia" w:cs="Georgia" w:eastAsia="Georgia" w:hAnsi="Georgia"/>
          <w:b/>
          <w:bCs/>
          <w:color w:val="13315C"/>
          <w:sz w:val="18"/>
          <w:szCs w:val="18"/>
        </w:rPr>
        <w:t xml:space="preserve">[86] </w:t>
      </w:r>
      <w:r>
        <w:rPr>
          <w:rFonts w:ascii="Consolas" w:cs="Consolas" w:eastAsia="Consolas" w:hAnsi="Consolas"/>
          <w:b/>
          <w:bCs/>
          <w:color w:val="8DA9C4"/>
          <w:sz w:val="15"/>
          <w:szCs w:val="15"/>
        </w:rPr>
        <w:t xml:space="preserve">PR  </w:t>
      </w:r>
      <w:r>
        <w:rPr>
          <w:sz w:val="18"/>
          <w:szCs w:val="18"/>
        </w:rPr>
        <w:t xml:space="preserve">Haber, S., Stornetta, W. S. “How to Time-Stamp a Digital Document.” Journal of Cryptology 3(2), 1991, pp. 99–111. doi:10.1007/BF00196791.</w:t>
      </w:r>
    </w:p>
    <w:p>
      <w:pPr>
        <w:spacing w:after="90" w:line="240" w:lineRule="auto"/>
        <w:ind w:left="620" w:hanging="620"/>
      </w:pPr>
      <w:r>
        <w:rPr>
          <w:rFonts w:ascii="Georgia" w:cs="Georgia" w:eastAsia="Georgia" w:hAnsi="Georgia"/>
          <w:b/>
          <w:bCs/>
          <w:color w:val="13315C"/>
          <w:sz w:val="18"/>
          <w:szCs w:val="18"/>
        </w:rPr>
        <w:t xml:space="preserve">[87] </w:t>
      </w:r>
      <w:r>
        <w:rPr>
          <w:rFonts w:ascii="Consolas" w:cs="Consolas" w:eastAsia="Consolas" w:hAnsi="Consolas"/>
          <w:b/>
          <w:bCs/>
          <w:color w:val="8DA9C4"/>
          <w:sz w:val="15"/>
          <w:szCs w:val="15"/>
        </w:rPr>
        <w:t xml:space="preserve">PL  </w:t>
      </w:r>
      <w:r>
        <w:rPr>
          <w:sz w:val="18"/>
          <w:szCs w:val="18"/>
        </w:rPr>
        <w:t xml:space="preserve">Laurie, B., Langley, A., Kasper, E. “Certificate Transparency.” RFC 6962, IETF, 2013. doi:10.17487/RFC6962.</w:t>
      </w:r>
    </w:p>
    <w:p>
      <w:pPr>
        <w:spacing w:after="90" w:line="240" w:lineRule="auto"/>
        <w:ind w:left="620" w:hanging="620"/>
      </w:pPr>
      <w:r>
        <w:rPr>
          <w:rFonts w:ascii="Georgia" w:cs="Georgia" w:eastAsia="Georgia" w:hAnsi="Georgia"/>
          <w:b/>
          <w:bCs/>
          <w:color w:val="13315C"/>
          <w:sz w:val="18"/>
          <w:szCs w:val="18"/>
        </w:rPr>
        <w:t xml:space="preserve">[88] </w:t>
      </w:r>
      <w:r>
        <w:rPr>
          <w:rFonts w:ascii="Consolas" w:cs="Consolas" w:eastAsia="Consolas" w:hAnsi="Consolas"/>
          <w:b/>
          <w:bCs/>
          <w:color w:val="8DA9C4"/>
          <w:sz w:val="15"/>
          <w:szCs w:val="15"/>
        </w:rPr>
        <w:t xml:space="preserve">PR  </w:t>
      </w:r>
      <w:r>
        <w:rPr>
          <w:sz w:val="18"/>
          <w:szCs w:val="18"/>
        </w:rPr>
        <w:t xml:space="preserve">Nissenbaum, H. “Accountability in a Computerized Society.” Science and Engineering Ethics 2(1), 1996, pp. 25–42. doi:10.1007/BF02639315.</w:t>
      </w:r>
    </w:p>
    <w:p>
      <w:pPr>
        <w:spacing w:after="90" w:line="240" w:lineRule="auto"/>
        <w:ind w:left="620" w:hanging="620"/>
      </w:pPr>
      <w:r>
        <w:rPr>
          <w:rFonts w:ascii="Georgia" w:cs="Georgia" w:eastAsia="Georgia" w:hAnsi="Georgia"/>
          <w:b/>
          <w:bCs/>
          <w:color w:val="13315C"/>
          <w:sz w:val="18"/>
          <w:szCs w:val="18"/>
        </w:rPr>
        <w:t xml:space="preserve">[89] </w:t>
      </w:r>
      <w:r>
        <w:rPr>
          <w:rFonts w:ascii="Consolas" w:cs="Consolas" w:eastAsia="Consolas" w:hAnsi="Consolas"/>
          <w:b/>
          <w:bCs/>
          <w:color w:val="8DA9C4"/>
          <w:sz w:val="15"/>
          <w:szCs w:val="15"/>
        </w:rPr>
        <w:t xml:space="preserve">PR  </w:t>
      </w:r>
      <w:r>
        <w:rPr>
          <w:sz w:val="18"/>
          <w:szCs w:val="18"/>
        </w:rPr>
        <w:t xml:space="preserve">Bernstein, D. J., Duif, N., Lange, T., Schwabe, P., Yang, B.-Y. “High-speed high-security signatures.” Journal of Cryptographic Engineering 2(2), 2012, pp. 77–89. doi:10.1007/s13389-012-0027-1.</w:t>
      </w:r>
    </w:p>
    <w:p>
      <w:pPr>
        <w:spacing w:after="90" w:line="240" w:lineRule="auto"/>
        <w:ind w:left="620" w:hanging="620"/>
      </w:pPr>
      <w:r>
        <w:rPr>
          <w:rFonts w:ascii="Georgia" w:cs="Georgia" w:eastAsia="Georgia" w:hAnsi="Georgia"/>
          <w:b/>
          <w:bCs/>
          <w:color w:val="13315C"/>
          <w:sz w:val="18"/>
          <w:szCs w:val="18"/>
        </w:rPr>
        <w:t xml:space="preserve">[90] </w:t>
      </w:r>
      <w:r>
        <w:rPr>
          <w:rFonts w:ascii="Consolas" w:cs="Consolas" w:eastAsia="Consolas" w:hAnsi="Consolas"/>
          <w:b/>
          <w:bCs/>
          <w:color w:val="8DA9C4"/>
          <w:sz w:val="15"/>
          <w:szCs w:val="15"/>
        </w:rPr>
        <w:t xml:space="preserve">PR  </w:t>
      </w:r>
      <w:r>
        <w:rPr>
          <w:sz w:val="18"/>
          <w:szCs w:val="18"/>
        </w:rPr>
        <w:t xml:space="preserve">Santoni de Sio, F., van den Hoven, J. “Meaningful Human Control over Autonomous Systems: A Philosophical Account.” Frontiers in Robotics and AI 5:15, 2018. doi:10.3389/frobt.2018.00015.</w:t>
      </w:r>
    </w:p>
    <w:p>
      <w:pPr>
        <w:spacing w:after="90" w:line="240" w:lineRule="auto"/>
        <w:ind w:left="620" w:hanging="620"/>
      </w:pPr>
      <w:r>
        <w:rPr>
          <w:rFonts w:ascii="Georgia" w:cs="Georgia" w:eastAsia="Georgia" w:hAnsi="Georgia"/>
          <w:b/>
          <w:bCs/>
          <w:color w:val="13315C"/>
          <w:sz w:val="18"/>
          <w:szCs w:val="18"/>
        </w:rPr>
        <w:t xml:space="preserve">[91] </w:t>
      </w:r>
      <w:r>
        <w:rPr>
          <w:rFonts w:ascii="Consolas" w:cs="Consolas" w:eastAsia="Consolas" w:hAnsi="Consolas"/>
          <w:b/>
          <w:bCs/>
          <w:color w:val="8DA9C4"/>
          <w:sz w:val="15"/>
          <w:szCs w:val="15"/>
        </w:rPr>
        <w:t xml:space="preserve">PR  </w:t>
      </w:r>
      <w:r>
        <w:rPr>
          <w:sz w:val="18"/>
          <w:szCs w:val="18"/>
        </w:rPr>
        <w:t xml:space="preserve">Parasuraman, R., Sheridan, T. B., Wickens, C. D. “A Model for Types and Levels of Human Interaction with Automation.” IEEE Transactions on Systems, Man, and Cybernetics — Part A 30(3), 2000, pp. 286–297. doi:10.1109/3468.844354.</w:t>
      </w:r>
    </w:p>
    <w:p>
      <w:pPr>
        <w:spacing w:after="90" w:line="240" w:lineRule="auto"/>
        <w:ind w:left="620" w:hanging="620"/>
      </w:pPr>
      <w:r>
        <w:rPr>
          <w:rFonts w:ascii="Georgia" w:cs="Georgia" w:eastAsia="Georgia" w:hAnsi="Georgia"/>
          <w:b/>
          <w:bCs/>
          <w:color w:val="13315C"/>
          <w:sz w:val="18"/>
          <w:szCs w:val="18"/>
        </w:rPr>
        <w:t xml:space="preserve">[92] </w:t>
      </w:r>
      <w:r>
        <w:rPr>
          <w:rFonts w:ascii="Consolas" w:cs="Consolas" w:eastAsia="Consolas" w:hAnsi="Consolas"/>
          <w:b/>
          <w:bCs/>
          <w:color w:val="8DA9C4"/>
          <w:sz w:val="15"/>
          <w:szCs w:val="15"/>
        </w:rPr>
        <w:t xml:space="preserve">PR  </w:t>
      </w:r>
      <w:r>
        <w:rPr>
          <w:sz w:val="18"/>
          <w:szCs w:val="18"/>
        </w:rPr>
        <w:t xml:space="preserve">Sheridan, T. B., Verplank, W. L. “Human and Computer Control of Undersea Teleoperators.” Technical Report, MIT Man-Machine Systems Laboratory, 1978.</w:t>
      </w:r>
    </w:p>
    <w:p>
      <w:pPr>
        <w:spacing w:after="90" w:line="240" w:lineRule="auto"/>
        <w:ind w:left="620" w:hanging="620"/>
      </w:pPr>
      <w:r>
        <w:rPr>
          <w:rFonts w:ascii="Georgia" w:cs="Georgia" w:eastAsia="Georgia" w:hAnsi="Georgia"/>
          <w:b/>
          <w:bCs/>
          <w:color w:val="13315C"/>
          <w:sz w:val="18"/>
          <w:szCs w:val="18"/>
        </w:rPr>
        <w:t xml:space="preserve">[93] </w:t>
      </w:r>
      <w:r>
        <w:rPr>
          <w:rFonts w:ascii="Consolas" w:cs="Consolas" w:eastAsia="Consolas" w:hAnsi="Consolas"/>
          <w:b/>
          <w:bCs/>
          <w:color w:val="8DA9C4"/>
          <w:sz w:val="15"/>
          <w:szCs w:val="15"/>
        </w:rPr>
        <w:t xml:space="preserve">PR  </w:t>
      </w:r>
      <w:r>
        <w:rPr>
          <w:sz w:val="18"/>
          <w:szCs w:val="18"/>
        </w:rPr>
        <w:t xml:space="preserve">Lee, J. D., See, K. A. “Trust in Automation: Designing for Appropriate Reliance.” Human Factors 46(1), 2004, pp. 50–80. doi:10.1518/hfes.46.1.50_30392.</w:t>
      </w:r>
    </w:p>
    <w:p>
      <w:pPr>
        <w:spacing w:after="90" w:line="240" w:lineRule="auto"/>
        <w:ind w:left="620" w:hanging="620"/>
      </w:pPr>
      <w:r>
        <w:rPr>
          <w:rFonts w:ascii="Georgia" w:cs="Georgia" w:eastAsia="Georgia" w:hAnsi="Georgia"/>
          <w:b/>
          <w:bCs/>
          <w:color w:val="13315C"/>
          <w:sz w:val="18"/>
          <w:szCs w:val="18"/>
        </w:rPr>
        <w:t xml:space="preserve">[94] </w:t>
      </w:r>
      <w:r>
        <w:rPr>
          <w:rFonts w:ascii="Consolas" w:cs="Consolas" w:eastAsia="Consolas" w:hAnsi="Consolas"/>
          <w:b/>
          <w:bCs/>
          <w:color w:val="8DA9C4"/>
          <w:sz w:val="15"/>
          <w:szCs w:val="15"/>
        </w:rPr>
        <w:t xml:space="preserve">PR  </w:t>
      </w:r>
      <w:r>
        <w:rPr>
          <w:sz w:val="18"/>
          <w:szCs w:val="18"/>
        </w:rPr>
        <w:t xml:space="preserve">Endsley, M. R., Kaber, D. B. “Level of automation effects on performance, situation awareness and workload in a dynamic control task.” Ergonomics 42(3), 1999, pp. 462–492. doi:10.1080/001401399185595.</w:t>
      </w:r>
    </w:p>
    <w:p>
      <w:pPr>
        <w:spacing w:after="90" w:line="240" w:lineRule="auto"/>
        <w:ind w:left="620" w:hanging="620"/>
      </w:pPr>
      <w:r>
        <w:rPr>
          <w:rFonts w:ascii="Georgia" w:cs="Georgia" w:eastAsia="Georgia" w:hAnsi="Georgia"/>
          <w:b/>
          <w:bCs/>
          <w:color w:val="13315C"/>
          <w:sz w:val="18"/>
          <w:szCs w:val="18"/>
        </w:rPr>
        <w:t xml:space="preserve">[95] </w:t>
      </w:r>
      <w:r>
        <w:rPr>
          <w:rFonts w:ascii="Consolas" w:cs="Consolas" w:eastAsia="Consolas" w:hAnsi="Consolas"/>
          <w:b/>
          <w:bCs/>
          <w:color w:val="8DA9C4"/>
          <w:sz w:val="15"/>
          <w:szCs w:val="15"/>
        </w:rPr>
        <w:t xml:space="preserve">PR  </w:t>
      </w:r>
      <w:r>
        <w:rPr>
          <w:sz w:val="18"/>
          <w:szCs w:val="18"/>
        </w:rPr>
        <w:t xml:space="preserve">Parasuraman, R., Riley, V. “Humans and Automation: Use, Misuse, Disuse, Abuse.” Human Factors 39(2), 1997, pp. 230–253. doi:10.1518/001872097778543886.</w:t>
      </w:r>
    </w:p>
    <w:p>
      <w:pPr>
        <w:spacing w:after="90" w:line="240" w:lineRule="auto"/>
        <w:ind w:left="620" w:hanging="620"/>
      </w:pPr>
      <w:r>
        <w:rPr>
          <w:rFonts w:ascii="Georgia" w:cs="Georgia" w:eastAsia="Georgia" w:hAnsi="Georgia"/>
          <w:b/>
          <w:bCs/>
          <w:color w:val="13315C"/>
          <w:sz w:val="18"/>
          <w:szCs w:val="18"/>
        </w:rPr>
        <w:t xml:space="preserve">[96] </w:t>
      </w:r>
      <w:r>
        <w:rPr>
          <w:rFonts w:ascii="Consolas" w:cs="Consolas" w:eastAsia="Consolas" w:hAnsi="Consolas"/>
          <w:b/>
          <w:bCs/>
          <w:color w:val="8DA9C4"/>
          <w:sz w:val="15"/>
          <w:szCs w:val="15"/>
        </w:rPr>
        <w:t xml:space="preserve">CL  </w:t>
      </w:r>
      <w:r>
        <w:rPr>
          <w:sz w:val="18"/>
          <w:szCs w:val="18"/>
        </w:rPr>
        <w:t xml:space="preserve">Fischer, J. M., Ravizza, M. Responsibility and Control: A Theory of Moral Responsibility. Cambridge University Press, 1998.</w:t>
      </w:r>
    </w:p>
    <w:p>
      <w:pPr>
        <w:spacing w:after="90" w:line="240" w:lineRule="auto"/>
        <w:ind w:left="620" w:hanging="620"/>
      </w:pPr>
      <w:r>
        <w:rPr>
          <w:rFonts w:ascii="Georgia" w:cs="Georgia" w:eastAsia="Georgia" w:hAnsi="Georgia"/>
          <w:b/>
          <w:bCs/>
          <w:color w:val="13315C"/>
          <w:sz w:val="18"/>
          <w:szCs w:val="18"/>
        </w:rPr>
        <w:t xml:space="preserve">[97] </w:t>
      </w:r>
      <w:r>
        <w:rPr>
          <w:rFonts w:ascii="Consolas" w:cs="Consolas" w:eastAsia="Consolas" w:hAnsi="Consolas"/>
          <w:b/>
          <w:bCs/>
          <w:color w:val="8DA9C4"/>
          <w:sz w:val="15"/>
          <w:szCs w:val="15"/>
        </w:rPr>
        <w:t xml:space="preserve">PR  </w:t>
      </w:r>
      <w:r>
        <w:rPr>
          <w:sz w:val="18"/>
          <w:szCs w:val="18"/>
        </w:rPr>
        <w:t xml:space="preserve">Matthias, A. “The responsibility gap: Ascribing responsibility for the actions of learning automata.” Ethics and Information Technology 6(3), 2004, pp. 175–183. doi:10.1007/s10676-004-3422-1.</w:t>
      </w:r>
    </w:p>
    <w:p>
      <w:pPr>
        <w:spacing w:after="90" w:line="240" w:lineRule="auto"/>
        <w:ind w:left="620" w:hanging="620"/>
      </w:pPr>
      <w:r>
        <w:rPr>
          <w:rFonts w:ascii="Georgia" w:cs="Georgia" w:eastAsia="Georgia" w:hAnsi="Georgia"/>
          <w:b/>
          <w:bCs/>
          <w:color w:val="13315C"/>
          <w:sz w:val="18"/>
          <w:szCs w:val="18"/>
        </w:rPr>
        <w:t xml:space="preserve">[98] </w:t>
      </w:r>
      <w:r>
        <w:rPr>
          <w:rFonts w:ascii="Consolas" w:cs="Consolas" w:eastAsia="Consolas" w:hAnsi="Consolas"/>
          <w:b/>
          <w:bCs/>
          <w:color w:val="8DA9C4"/>
          <w:sz w:val="15"/>
          <w:szCs w:val="15"/>
        </w:rPr>
        <w:t xml:space="preserve">PR  </w:t>
      </w:r>
      <w:r>
        <w:rPr>
          <w:sz w:val="18"/>
          <w:szCs w:val="18"/>
        </w:rPr>
        <w:t xml:space="preserve">Skitka, L. J., Mosier, K. L., Burdick, M. “Does automation bias decision-making?” International Journal of Human-Computer Studies 51(5), 1999, pp. 991–1006. doi:10.1006/ijhc.1999.0252.</w:t>
      </w:r>
    </w:p>
    <w:p>
      <w:pPr>
        <w:spacing w:after="90" w:line="240" w:lineRule="auto"/>
        <w:ind w:left="620" w:hanging="620"/>
      </w:pPr>
      <w:r>
        <w:rPr>
          <w:rFonts w:ascii="Georgia" w:cs="Georgia" w:eastAsia="Georgia" w:hAnsi="Georgia"/>
          <w:b/>
          <w:bCs/>
          <w:color w:val="13315C"/>
          <w:sz w:val="18"/>
          <w:szCs w:val="18"/>
        </w:rPr>
        <w:t xml:space="preserve">[99] </w:t>
      </w:r>
      <w:r>
        <w:rPr>
          <w:rFonts w:ascii="Consolas" w:cs="Consolas" w:eastAsia="Consolas" w:hAnsi="Consolas"/>
          <w:b/>
          <w:bCs/>
          <w:color w:val="8DA9C4"/>
          <w:sz w:val="15"/>
          <w:szCs w:val="15"/>
        </w:rPr>
        <w:t xml:space="preserve">PP  </w:t>
      </w:r>
      <w:r>
        <w:rPr>
          <w:sz w:val="18"/>
          <w:szCs w:val="18"/>
        </w:rPr>
        <w:t xml:space="preserve">Amodei, D., Olah, C., Steinhardt, J., Christiano, P., Schulman, J., Mané, D. “Concrete Problems in AI Safety.” arXiv:1606.06565 (2016).</w:t>
      </w:r>
    </w:p>
    <w:p>
      <w:pPr>
        <w:spacing w:after="90" w:line="240" w:lineRule="auto"/>
        <w:ind w:left="620" w:hanging="620"/>
      </w:pPr>
      <w:r>
        <w:rPr>
          <w:rFonts w:ascii="Georgia" w:cs="Georgia" w:eastAsia="Georgia" w:hAnsi="Georgia"/>
          <w:b/>
          <w:bCs/>
          <w:color w:val="13315C"/>
          <w:sz w:val="18"/>
          <w:szCs w:val="18"/>
        </w:rPr>
        <w:t xml:space="preserve">[100] </w:t>
      </w:r>
      <w:r>
        <w:rPr>
          <w:rFonts w:ascii="Consolas" w:cs="Consolas" w:eastAsia="Consolas" w:hAnsi="Consolas"/>
          <w:b/>
          <w:bCs/>
          <w:color w:val="8DA9C4"/>
          <w:sz w:val="15"/>
          <w:szCs w:val="15"/>
        </w:rPr>
        <w:t xml:space="preserve">PL  </w:t>
      </w:r>
      <w:r>
        <w:rPr>
          <w:sz w:val="18"/>
          <w:szCs w:val="18"/>
        </w:rPr>
        <w:t xml:space="preserve">FAA Reauthorization Act of 2018, Pub. L. No. 115-254, §363, 132 Stat. 3186 (codified at 49 U.S.C. §44802 note). “Unless authorized by the Administrator, a person may not operate an unmanned aircraft … that is equipped or armed with a dangerous weapon.” Civil penalty not more than $25,000 per violation.</w:t>
      </w:r>
    </w:p>
    <w:p>
      <w:pPr>
        <w:spacing w:after="90" w:line="240" w:lineRule="auto"/>
        <w:ind w:left="620" w:hanging="620"/>
      </w:pPr>
      <w:r>
        <w:rPr>
          <w:rFonts w:ascii="Georgia" w:cs="Georgia" w:eastAsia="Georgia" w:hAnsi="Georgia"/>
          <w:b/>
          <w:bCs/>
          <w:color w:val="13315C"/>
          <w:sz w:val="18"/>
          <w:szCs w:val="18"/>
        </w:rPr>
        <w:t xml:space="preserve">[101] </w:t>
      </w:r>
      <w:r>
        <w:rPr>
          <w:rFonts w:ascii="Consolas" w:cs="Consolas" w:eastAsia="Consolas" w:hAnsi="Consolas"/>
          <w:b/>
          <w:bCs/>
          <w:color w:val="8DA9C4"/>
          <w:sz w:val="15"/>
          <w:szCs w:val="15"/>
        </w:rPr>
        <w:t xml:space="preserve">PL  </w:t>
      </w:r>
      <w:r>
        <w:rPr>
          <w:sz w:val="18"/>
          <w:szCs w:val="18"/>
        </w:rPr>
        <w:t xml:space="preserve">18 U.S.C. §930(g)(2). Definition of “dangerous weapon” incorporated by reference into FAA Reauthorization Act §363.</w:t>
      </w:r>
    </w:p>
    <w:p>
      <w:pPr>
        <w:spacing w:after="90" w:line="240" w:lineRule="auto"/>
        <w:ind w:left="620" w:hanging="620"/>
      </w:pPr>
      <w:r>
        <w:rPr>
          <w:rFonts w:ascii="Georgia" w:cs="Georgia" w:eastAsia="Georgia" w:hAnsi="Georgia"/>
          <w:b/>
          <w:bCs/>
          <w:color w:val="13315C"/>
          <w:sz w:val="18"/>
          <w:szCs w:val="18"/>
        </w:rPr>
        <w:t xml:space="preserve">[102] </w:t>
      </w:r>
      <w:r>
        <w:rPr>
          <w:rFonts w:ascii="Consolas" w:cs="Consolas" w:eastAsia="Consolas" w:hAnsi="Consolas"/>
          <w:b/>
          <w:bCs/>
          <w:color w:val="8DA9C4"/>
          <w:sz w:val="15"/>
          <w:szCs w:val="15"/>
        </w:rPr>
        <w:t xml:space="preserve">PL  </w:t>
      </w:r>
      <w:r>
        <w:rPr>
          <w:sz w:val="18"/>
          <w:szCs w:val="18"/>
        </w:rPr>
        <w:t xml:space="preserve">14 C.F.R. Part 107 — Small Unmanned Aircraft Systems. Federal Aviation Administration.</w:t>
      </w:r>
    </w:p>
    <w:p>
      <w:pPr>
        <w:spacing w:after="90" w:line="240" w:lineRule="auto"/>
        <w:ind w:left="620" w:hanging="620"/>
      </w:pPr>
      <w:r>
        <w:rPr>
          <w:rFonts w:ascii="Georgia" w:cs="Georgia" w:eastAsia="Georgia" w:hAnsi="Georgia"/>
          <w:b/>
          <w:bCs/>
          <w:color w:val="13315C"/>
          <w:sz w:val="18"/>
          <w:szCs w:val="18"/>
        </w:rPr>
        <w:t xml:space="preserve">[103] </w:t>
      </w:r>
      <w:r>
        <w:rPr>
          <w:rFonts w:ascii="Consolas" w:cs="Consolas" w:eastAsia="Consolas" w:hAnsi="Consolas"/>
          <w:b/>
          <w:bCs/>
          <w:color w:val="8DA9C4"/>
          <w:sz w:val="15"/>
          <w:szCs w:val="15"/>
        </w:rPr>
        <w:t xml:space="preserve">PL  </w:t>
      </w:r>
      <w:r>
        <w:rPr>
          <w:sz w:val="18"/>
          <w:szCs w:val="18"/>
        </w:rPr>
        <w:t xml:space="preserve">FAA Advisory Circular AC 107-2A, “Small Unmanned Aircraft Systems (sUAS).” §5.2.3 addresses autonomous operations under remote pilot in command control.</w:t>
      </w:r>
    </w:p>
    <w:p>
      <w:pPr>
        <w:spacing w:after="90" w:line="240" w:lineRule="auto"/>
        <w:ind w:left="620" w:hanging="620"/>
      </w:pPr>
      <w:r>
        <w:rPr>
          <w:rFonts w:ascii="Georgia" w:cs="Georgia" w:eastAsia="Georgia" w:hAnsi="Georgia"/>
          <w:b/>
          <w:bCs/>
          <w:color w:val="13315C"/>
          <w:sz w:val="18"/>
          <w:szCs w:val="18"/>
        </w:rPr>
        <w:t xml:space="preserve">[104] </w:t>
      </w:r>
      <w:r>
        <w:rPr>
          <w:rFonts w:ascii="Consolas" w:cs="Consolas" w:eastAsia="Consolas" w:hAnsi="Consolas"/>
          <w:b/>
          <w:bCs/>
          <w:color w:val="8DA9C4"/>
          <w:sz w:val="15"/>
          <w:szCs w:val="15"/>
        </w:rPr>
        <w:t xml:space="preserve">PL  </w:t>
      </w:r>
      <w:r>
        <w:rPr>
          <w:sz w:val="18"/>
          <w:szCs w:val="18"/>
        </w:rPr>
        <w:t xml:space="preserve">14 C.F.R. Part 89 — Remote Identification of Unmanned Aircraft. Enforcement effective 16 March 2024.</w:t>
      </w:r>
    </w:p>
    <w:p>
      <w:pPr>
        <w:spacing w:after="90" w:line="240" w:lineRule="auto"/>
        <w:ind w:left="620" w:hanging="620"/>
      </w:pPr>
      <w:r>
        <w:rPr>
          <w:rFonts w:ascii="Georgia" w:cs="Georgia" w:eastAsia="Georgia" w:hAnsi="Georgia"/>
          <w:b/>
          <w:bCs/>
          <w:color w:val="13315C"/>
          <w:sz w:val="18"/>
          <w:szCs w:val="18"/>
        </w:rPr>
        <w:t xml:space="preserve">[105] </w:t>
      </w:r>
      <w:r>
        <w:rPr>
          <w:rFonts w:ascii="Consolas" w:cs="Consolas" w:eastAsia="Consolas" w:hAnsi="Consolas"/>
          <w:b/>
          <w:bCs/>
          <w:color w:val="8DA9C4"/>
          <w:sz w:val="15"/>
          <w:szCs w:val="15"/>
        </w:rPr>
        <w:t xml:space="preserve">PL  </w:t>
      </w:r>
      <w:r>
        <w:rPr>
          <w:sz w:val="18"/>
          <w:szCs w:val="18"/>
        </w:rPr>
        <w:t xml:space="preserve">14 C.F.R. Part 48 — Registration and Marking Requirements for Small Unmanned Aircraft.</w:t>
      </w:r>
    </w:p>
    <w:p>
      <w:pPr>
        <w:spacing w:after="90" w:line="240" w:lineRule="auto"/>
        <w:ind w:left="620" w:hanging="620"/>
      </w:pPr>
      <w:r>
        <w:rPr>
          <w:rFonts w:ascii="Georgia" w:cs="Georgia" w:eastAsia="Georgia" w:hAnsi="Georgia"/>
          <w:b/>
          <w:bCs/>
          <w:color w:val="13315C"/>
          <w:sz w:val="18"/>
          <w:szCs w:val="18"/>
        </w:rPr>
        <w:t xml:space="preserve">[106] </w:t>
      </w:r>
      <w:r>
        <w:rPr>
          <w:rFonts w:ascii="Consolas" w:cs="Consolas" w:eastAsia="Consolas" w:hAnsi="Consolas"/>
          <w:b/>
          <w:bCs/>
          <w:color w:val="8DA9C4"/>
          <w:sz w:val="15"/>
          <w:szCs w:val="15"/>
        </w:rPr>
        <w:t xml:space="preserve">PL  </w:t>
      </w:r>
      <w:r>
        <w:rPr>
          <w:sz w:val="18"/>
          <w:szCs w:val="18"/>
        </w:rPr>
        <w:t xml:space="preserve">6 U.S.C. §124n — Protection of certain facilities and assets from unmanned aircraft. Reserves counter-UAS authority to designated federal agencies.</w:t>
      </w:r>
    </w:p>
    <w:p>
      <w:pPr>
        <w:spacing w:after="90" w:line="240" w:lineRule="auto"/>
        <w:ind w:left="620" w:hanging="620"/>
      </w:pPr>
      <w:r>
        <w:rPr>
          <w:rFonts w:ascii="Georgia" w:cs="Georgia" w:eastAsia="Georgia" w:hAnsi="Georgia"/>
          <w:b/>
          <w:bCs/>
          <w:color w:val="13315C"/>
          <w:sz w:val="18"/>
          <w:szCs w:val="18"/>
        </w:rPr>
        <w:t xml:space="preserve">[107] </w:t>
      </w:r>
      <w:r>
        <w:rPr>
          <w:rFonts w:ascii="Consolas" w:cs="Consolas" w:eastAsia="Consolas" w:hAnsi="Consolas"/>
          <w:b/>
          <w:bCs/>
          <w:color w:val="8DA9C4"/>
          <w:sz w:val="15"/>
          <w:szCs w:val="15"/>
        </w:rPr>
        <w:t xml:space="preserve">PL  </w:t>
      </w:r>
      <w:r>
        <w:rPr>
          <w:sz w:val="18"/>
          <w:szCs w:val="18"/>
        </w:rPr>
        <w:t xml:space="preserve">47 U.S.C. §333 — Willful or malicious interference. Prohibits interference with licensed radio communications.</w:t>
      </w:r>
    </w:p>
    <w:p>
      <w:pPr>
        <w:spacing w:after="90" w:line="240" w:lineRule="auto"/>
        <w:ind w:left="620" w:hanging="620"/>
      </w:pPr>
      <w:r>
        <w:rPr>
          <w:rFonts w:ascii="Georgia" w:cs="Georgia" w:eastAsia="Georgia" w:hAnsi="Georgia"/>
          <w:b/>
          <w:bCs/>
          <w:color w:val="13315C"/>
          <w:sz w:val="18"/>
          <w:szCs w:val="18"/>
        </w:rPr>
        <w:t xml:space="preserve">[108] </w:t>
      </w:r>
      <w:r>
        <w:rPr>
          <w:rFonts w:ascii="Consolas" w:cs="Consolas" w:eastAsia="Consolas" w:hAnsi="Consolas"/>
          <w:b/>
          <w:bCs/>
          <w:color w:val="8DA9C4"/>
          <w:sz w:val="15"/>
          <w:szCs w:val="15"/>
        </w:rPr>
        <w:t xml:space="preserve">PL  </w:t>
      </w:r>
      <w:r>
        <w:rPr>
          <w:sz w:val="18"/>
          <w:szCs w:val="18"/>
        </w:rPr>
        <w:t xml:space="preserve">Arkansas Act 597 of 2025 (HB1148), the “Arkansas Privacy Act,” amending Ark. Code Ann. §5-60-103 and adding Ark. Code Ann. §27-118-101. Became Act 597 on 14 April 2025. Civil remedy up to $5,000 (image capture) / $10,000 (distribution); two-year limitations period.</w:t>
      </w:r>
    </w:p>
    <w:p>
      <w:pPr>
        <w:spacing w:after="90" w:line="240" w:lineRule="auto"/>
        <w:ind w:left="620" w:hanging="620"/>
      </w:pPr>
      <w:r>
        <w:rPr>
          <w:rFonts w:ascii="Georgia" w:cs="Georgia" w:eastAsia="Georgia" w:hAnsi="Georgia"/>
          <w:b/>
          <w:bCs/>
          <w:color w:val="13315C"/>
          <w:sz w:val="18"/>
          <w:szCs w:val="18"/>
        </w:rPr>
        <w:t xml:space="preserve">[109] </w:t>
      </w:r>
      <w:r>
        <w:rPr>
          <w:rFonts w:ascii="Consolas" w:cs="Consolas" w:eastAsia="Consolas" w:hAnsi="Consolas"/>
          <w:b/>
          <w:bCs/>
          <w:color w:val="8DA9C4"/>
          <w:sz w:val="15"/>
          <w:szCs w:val="15"/>
        </w:rPr>
        <w:t xml:space="preserve">PL  </w:t>
      </w:r>
      <w:r>
        <w:rPr>
          <w:sz w:val="18"/>
          <w:szCs w:val="18"/>
        </w:rPr>
        <w:t xml:space="preserve">Ark. Code Ann. §5-60-103 — Unlawful use of unmanned aircraft system (critical infrastructure surveillance; person/private-property image surveillance).</w:t>
      </w:r>
    </w:p>
    <w:p>
      <w:pPr>
        <w:spacing w:after="90" w:line="240" w:lineRule="auto"/>
        <w:ind w:left="620" w:hanging="620"/>
      </w:pPr>
      <w:r>
        <w:rPr>
          <w:rFonts w:ascii="Georgia" w:cs="Georgia" w:eastAsia="Georgia" w:hAnsi="Georgia"/>
          <w:b/>
          <w:bCs/>
          <w:color w:val="13315C"/>
          <w:sz w:val="18"/>
          <w:szCs w:val="18"/>
        </w:rPr>
        <w:t xml:space="preserve">[110] </w:t>
      </w:r>
      <w:r>
        <w:rPr>
          <w:rFonts w:ascii="Consolas" w:cs="Consolas" w:eastAsia="Consolas" w:hAnsi="Consolas"/>
          <w:b/>
          <w:bCs/>
          <w:color w:val="8DA9C4"/>
          <w:sz w:val="15"/>
          <w:szCs w:val="15"/>
        </w:rPr>
        <w:t xml:space="preserve">PL  </w:t>
      </w:r>
      <w:r>
        <w:rPr>
          <w:sz w:val="18"/>
          <w:szCs w:val="18"/>
        </w:rPr>
        <w:t xml:space="preserve">14 C.F.R. §§107.23(b), 107.36, 107.49(e) — Hazardous operation; carriage of hazardous material; external load and preflight requirements.</w:t>
      </w:r>
    </w:p>
    <w:p>
      <w:pPr>
        <w:spacing w:after="90" w:line="240" w:lineRule="auto"/>
        <w:ind w:left="620" w:hanging="620"/>
      </w:pPr>
      <w:r>
        <w:rPr>
          <w:rFonts w:ascii="Georgia" w:cs="Georgia" w:eastAsia="Georgia" w:hAnsi="Georgia"/>
          <w:b/>
          <w:bCs/>
          <w:color w:val="13315C"/>
          <w:sz w:val="18"/>
          <w:szCs w:val="18"/>
        </w:rPr>
        <w:t xml:space="preserve">[111] </w:t>
      </w:r>
      <w:r>
        <w:rPr>
          <w:rFonts w:ascii="Consolas" w:cs="Consolas" w:eastAsia="Consolas" w:hAnsi="Consolas"/>
          <w:b/>
          <w:bCs/>
          <w:color w:val="8DA9C4"/>
          <w:sz w:val="15"/>
          <w:szCs w:val="15"/>
        </w:rPr>
        <w:t xml:space="preserve">PL  </w:t>
      </w:r>
      <w:r>
        <w:rPr>
          <w:sz w:val="18"/>
          <w:szCs w:val="18"/>
        </w:rPr>
        <w:t xml:space="preserve">FAA Low Altitude Authorization and Notification Capability (LAANC). Airspace authorization for Part 107 operations in controlled airspace.</w:t>
      </w:r>
    </w:p>
    <w:p>
      <w:pPr>
        <w:spacing w:after="90" w:line="240" w:lineRule="auto"/>
        <w:ind w:left="620" w:hanging="620"/>
      </w:pPr>
      <w:r>
        <w:rPr>
          <w:rFonts w:ascii="Georgia" w:cs="Georgia" w:eastAsia="Georgia" w:hAnsi="Georgia"/>
          <w:b/>
          <w:bCs/>
          <w:color w:val="13315C"/>
          <w:sz w:val="18"/>
          <w:szCs w:val="18"/>
        </w:rPr>
        <w:t xml:space="preserve">[112] </w:t>
      </w:r>
      <w:r>
        <w:rPr>
          <w:rFonts w:ascii="Consolas" w:cs="Consolas" w:eastAsia="Consolas" w:hAnsi="Consolas"/>
          <w:b/>
          <w:bCs/>
          <w:color w:val="8DA9C4"/>
          <w:sz w:val="15"/>
          <w:szCs w:val="15"/>
        </w:rPr>
        <w:t xml:space="preserve">PL  </w:t>
      </w:r>
      <w:r>
        <w:rPr>
          <w:sz w:val="18"/>
          <w:szCs w:val="18"/>
        </w:rPr>
        <w:t xml:space="preserve">California v. Ciraolo, 476 U.S. 207 (1986). Warrantless aerial observation from navigable airspace held not a Fourth Amendment search.</w:t>
      </w:r>
    </w:p>
    <w:p>
      <w:pPr>
        <w:spacing w:after="90" w:line="240" w:lineRule="auto"/>
        <w:ind w:left="620" w:hanging="620"/>
      </w:pPr>
      <w:r>
        <w:rPr>
          <w:rFonts w:ascii="Georgia" w:cs="Georgia" w:eastAsia="Georgia" w:hAnsi="Georgia"/>
          <w:b/>
          <w:bCs/>
          <w:color w:val="13315C"/>
          <w:sz w:val="18"/>
          <w:szCs w:val="18"/>
        </w:rPr>
        <w:t xml:space="preserve">[113] </w:t>
      </w:r>
      <w:r>
        <w:rPr>
          <w:rFonts w:ascii="Consolas" w:cs="Consolas" w:eastAsia="Consolas" w:hAnsi="Consolas"/>
          <w:b/>
          <w:bCs/>
          <w:color w:val="8DA9C4"/>
          <w:sz w:val="15"/>
          <w:szCs w:val="15"/>
        </w:rPr>
        <w:t xml:space="preserve">PL  </w:t>
      </w:r>
      <w:r>
        <w:rPr>
          <w:sz w:val="18"/>
          <w:szCs w:val="18"/>
        </w:rPr>
        <w:t xml:space="preserve">Florida v. Riley, 488 U.S. 445 (1989). Helicopter observation at 400 feet held not a search.</w:t>
      </w:r>
    </w:p>
    <w:p>
      <w:pPr>
        <w:spacing w:after="90" w:line="240" w:lineRule="auto"/>
        <w:ind w:left="620" w:hanging="620"/>
      </w:pPr>
      <w:r>
        <w:rPr>
          <w:rFonts w:ascii="Georgia" w:cs="Georgia" w:eastAsia="Georgia" w:hAnsi="Georgia"/>
          <w:b/>
          <w:bCs/>
          <w:color w:val="13315C"/>
          <w:sz w:val="18"/>
          <w:szCs w:val="18"/>
        </w:rPr>
        <w:t xml:space="preserve">[114] </w:t>
      </w:r>
      <w:r>
        <w:rPr>
          <w:rFonts w:ascii="Consolas" w:cs="Consolas" w:eastAsia="Consolas" w:hAnsi="Consolas"/>
          <w:b/>
          <w:bCs/>
          <w:color w:val="8DA9C4"/>
          <w:sz w:val="15"/>
          <w:szCs w:val="15"/>
        </w:rPr>
        <w:t xml:space="preserve">PL  </w:t>
      </w:r>
      <w:r>
        <w:rPr>
          <w:sz w:val="18"/>
          <w:szCs w:val="18"/>
        </w:rPr>
        <w:t xml:space="preserve">Kyllo v. United States, 533 U.S. 27 (2001). Sense-enhancing technology not in general public use, directed at a home, constitutes a search.</w:t>
      </w:r>
    </w:p>
    <w:p>
      <w:pPr>
        <w:spacing w:after="90" w:line="240" w:lineRule="auto"/>
        <w:ind w:left="620" w:hanging="620"/>
      </w:pPr>
      <w:r>
        <w:rPr>
          <w:rFonts w:ascii="Georgia" w:cs="Georgia" w:eastAsia="Georgia" w:hAnsi="Georgia"/>
          <w:b/>
          <w:bCs/>
          <w:color w:val="13315C"/>
          <w:sz w:val="18"/>
          <w:szCs w:val="18"/>
        </w:rPr>
        <w:t xml:space="preserve">[115] </w:t>
      </w:r>
      <w:r>
        <w:rPr>
          <w:rFonts w:ascii="Consolas" w:cs="Consolas" w:eastAsia="Consolas" w:hAnsi="Consolas"/>
          <w:b/>
          <w:bCs/>
          <w:color w:val="8DA9C4"/>
          <w:sz w:val="15"/>
          <w:szCs w:val="15"/>
        </w:rPr>
        <w:t xml:space="preserve">PL  </w:t>
      </w:r>
      <w:r>
        <w:rPr>
          <w:sz w:val="18"/>
          <w:szCs w:val="18"/>
        </w:rPr>
        <w:t xml:space="preserve">Carpenter v. United States, 585 U.S. 296 (2018). Third-party doctrine limited for pervasive location data.</w:t>
      </w:r>
    </w:p>
    <w:p>
      <w:pPr>
        <w:spacing w:after="90" w:line="240" w:lineRule="auto"/>
        <w:ind w:left="620" w:hanging="620"/>
      </w:pPr>
      <w:r>
        <w:rPr>
          <w:rFonts w:ascii="Georgia" w:cs="Georgia" w:eastAsia="Georgia" w:hAnsi="Georgia"/>
          <w:b/>
          <w:bCs/>
          <w:color w:val="13315C"/>
          <w:sz w:val="18"/>
          <w:szCs w:val="18"/>
        </w:rPr>
        <w:t xml:space="preserve">[116] </w:t>
      </w:r>
      <w:r>
        <w:rPr>
          <w:rFonts w:ascii="Consolas" w:cs="Consolas" w:eastAsia="Consolas" w:hAnsi="Consolas"/>
          <w:b/>
          <w:bCs/>
          <w:color w:val="8DA9C4"/>
          <w:sz w:val="15"/>
          <w:szCs w:val="15"/>
        </w:rPr>
        <w:t xml:space="preserve">PR  </w:t>
      </w:r>
      <w:r>
        <w:rPr>
          <w:sz w:val="18"/>
          <w:szCs w:val="18"/>
        </w:rPr>
        <w:t xml:space="preserve">Calo, M. R. “The Drone as Privacy Catalyst.” Stanford Law Review Online 64, 2011, pp. 29–33.</w:t>
      </w:r>
    </w:p>
    <w:p>
      <w:pPr>
        <w:spacing w:after="90" w:line="240" w:lineRule="auto"/>
        <w:ind w:left="620" w:hanging="620"/>
      </w:pPr>
      <w:r>
        <w:rPr>
          <w:rFonts w:ascii="Georgia" w:cs="Georgia" w:eastAsia="Georgia" w:hAnsi="Georgia"/>
          <w:b/>
          <w:bCs/>
          <w:color w:val="13315C"/>
          <w:sz w:val="18"/>
          <w:szCs w:val="18"/>
        </w:rPr>
        <w:t xml:space="preserve">[117] </w:t>
      </w:r>
      <w:r>
        <w:rPr>
          <w:rFonts w:ascii="Consolas" w:cs="Consolas" w:eastAsia="Consolas" w:hAnsi="Consolas"/>
          <w:b/>
          <w:bCs/>
          <w:color w:val="8DA9C4"/>
          <w:sz w:val="15"/>
          <w:szCs w:val="15"/>
        </w:rPr>
        <w:t xml:space="preserve">PR  </w:t>
      </w:r>
      <w:r>
        <w:rPr>
          <w:sz w:val="18"/>
          <w:szCs w:val="18"/>
        </w:rPr>
        <w:t xml:space="preserve">Friedman, B., Kahn, P. H., Borning, A. “Value Sensitive Design and Information Systems.” In Human-Computer Interaction in Management Information Systems, M.E. Sharpe, 2006, pp. 348–372.</w:t>
      </w:r>
    </w:p>
    <w:p>
      <w:pPr>
        <w:spacing w:after="90" w:line="240" w:lineRule="auto"/>
        <w:ind w:left="620" w:hanging="620"/>
      </w:pPr>
      <w:r>
        <w:rPr>
          <w:rFonts w:ascii="Georgia" w:cs="Georgia" w:eastAsia="Georgia" w:hAnsi="Georgia"/>
          <w:b/>
          <w:bCs/>
          <w:color w:val="13315C"/>
          <w:sz w:val="18"/>
          <w:szCs w:val="18"/>
        </w:rPr>
        <w:t xml:space="preserve">[118] </w:t>
      </w:r>
      <w:r>
        <w:rPr>
          <w:rFonts w:ascii="Consolas" w:cs="Consolas" w:eastAsia="Consolas" w:hAnsi="Consolas"/>
          <w:b/>
          <w:bCs/>
          <w:color w:val="8DA9C4"/>
          <w:sz w:val="15"/>
          <w:szCs w:val="15"/>
        </w:rPr>
        <w:t xml:space="preserve">PR  </w:t>
      </w:r>
      <w:r>
        <w:rPr>
          <w:sz w:val="18"/>
          <w:szCs w:val="18"/>
        </w:rPr>
        <w:t xml:space="preserve">van den Hoven, J. “Value Sensitive Design and Responsible Innovation.” In Responsible Innovation, Wiley, 2013, pp. 75–83. doi:10.1002/9781118551424.ch4.</w:t>
      </w:r>
    </w:p>
    <w:p>
      <w:pPr>
        <w:spacing w:after="90" w:line="240" w:lineRule="auto"/>
        <w:ind w:left="620" w:hanging="620"/>
      </w:pPr>
      <w:r>
        <w:rPr>
          <w:rFonts w:ascii="Georgia" w:cs="Georgia" w:eastAsia="Georgia" w:hAnsi="Georgia"/>
          <w:b/>
          <w:bCs/>
          <w:color w:val="13315C"/>
          <w:sz w:val="18"/>
          <w:szCs w:val="18"/>
        </w:rPr>
        <w:t xml:space="preserve">[119] </w:t>
      </w:r>
      <w:r>
        <w:rPr>
          <w:rFonts w:ascii="Consolas" w:cs="Consolas" w:eastAsia="Consolas" w:hAnsi="Consolas"/>
          <w:b/>
          <w:bCs/>
          <w:color w:val="8DA9C4"/>
          <w:sz w:val="15"/>
          <w:szCs w:val="15"/>
        </w:rPr>
        <w:t xml:space="preserve">PR  </w:t>
      </w:r>
      <w:r>
        <w:rPr>
          <w:sz w:val="18"/>
          <w:szCs w:val="18"/>
        </w:rPr>
        <w:t xml:space="preserve">Lin, P., Abney, K., Bekey, G. A. (eds.) Robot Ethics: The Ethical and Social Implications of Robotics. MIT Press, 2011.</w:t>
      </w:r>
    </w:p>
    <w:p>
      <w:pPr>
        <w:spacing w:after="90" w:line="240" w:lineRule="auto"/>
        <w:ind w:left="620" w:hanging="620"/>
      </w:pPr>
      <w:r>
        <w:rPr>
          <w:rFonts w:ascii="Georgia" w:cs="Georgia" w:eastAsia="Georgia" w:hAnsi="Georgia"/>
          <w:b/>
          <w:bCs/>
          <w:color w:val="13315C"/>
          <w:sz w:val="18"/>
          <w:szCs w:val="18"/>
        </w:rPr>
        <w:t xml:space="preserve">[120] </w:t>
      </w:r>
      <w:r>
        <w:rPr>
          <w:rFonts w:ascii="Consolas" w:cs="Consolas" w:eastAsia="Consolas" w:hAnsi="Consolas"/>
          <w:b/>
          <w:bCs/>
          <w:color w:val="8DA9C4"/>
          <w:sz w:val="15"/>
          <w:szCs w:val="15"/>
        </w:rPr>
        <w:t xml:space="preserve">PR  </w:t>
      </w:r>
      <w:r>
        <w:rPr>
          <w:sz w:val="18"/>
          <w:szCs w:val="18"/>
        </w:rPr>
        <w:t xml:space="preserve">Miller, S., Selgelid, M. J. “Ethical and Philosophical Consideration of the Dual-Use Dilemma in the Biological Sciences.” Science and Engineering Ethics 13(4), 2007, pp. 523–580. doi:10.1007/s11948-007-9043-4.</w:t>
      </w:r>
    </w:p>
    <w:p>
      <w:pPr>
        <w:spacing w:after="90" w:line="240" w:lineRule="auto"/>
        <w:ind w:left="620" w:hanging="620"/>
      </w:pPr>
      <w:r>
        <w:rPr>
          <w:rFonts w:ascii="Georgia" w:cs="Georgia" w:eastAsia="Georgia" w:hAnsi="Georgia"/>
          <w:b/>
          <w:bCs/>
          <w:color w:val="13315C"/>
          <w:sz w:val="18"/>
          <w:szCs w:val="18"/>
        </w:rPr>
        <w:t xml:space="preserve">[121] </w:t>
      </w:r>
      <w:r>
        <w:rPr>
          <w:rFonts w:ascii="Consolas" w:cs="Consolas" w:eastAsia="Consolas" w:hAnsi="Consolas"/>
          <w:b/>
          <w:bCs/>
          <w:color w:val="8DA9C4"/>
          <w:sz w:val="15"/>
          <w:szCs w:val="15"/>
        </w:rPr>
        <w:t xml:space="preserve">PR  </w:t>
      </w:r>
      <w:r>
        <w:rPr>
          <w:sz w:val="18"/>
          <w:szCs w:val="18"/>
        </w:rPr>
        <w:t xml:space="preserve">Sparrow, R. “Killer Robots.” Journal of Applied Philosophy 24(1), 2007, pp. 62–77. doi:10.1111/j.1468-5930.2007.00346.x.</w:t>
      </w:r>
    </w:p>
    <w:p>
      <w:pPr>
        <w:spacing w:after="90" w:line="240" w:lineRule="auto"/>
        <w:ind w:left="620" w:hanging="620"/>
      </w:pPr>
      <w:r>
        <w:rPr>
          <w:rFonts w:ascii="Georgia" w:cs="Georgia" w:eastAsia="Georgia" w:hAnsi="Georgia"/>
          <w:b/>
          <w:bCs/>
          <w:color w:val="13315C"/>
          <w:sz w:val="18"/>
          <w:szCs w:val="18"/>
        </w:rPr>
        <w:t xml:space="preserve">[122] </w:t>
      </w:r>
      <w:r>
        <w:rPr>
          <w:rFonts w:ascii="Consolas" w:cs="Consolas" w:eastAsia="Consolas" w:hAnsi="Consolas"/>
          <w:b/>
          <w:bCs/>
          <w:color w:val="8DA9C4"/>
          <w:sz w:val="15"/>
          <w:szCs w:val="15"/>
        </w:rPr>
        <w:t xml:space="preserve">PR  </w:t>
      </w:r>
      <w:r>
        <w:rPr>
          <w:sz w:val="18"/>
          <w:szCs w:val="18"/>
        </w:rPr>
        <w:t xml:space="preserve">Donenfeld, J. A. “WireGuard: Next Generation Kernel Network Tunnel.” Network and Distributed System Security Symposium (NDSS) 2017. doi:10.14722/ndss.2017.23160.</w:t>
      </w:r>
    </w:p>
    <w:p>
      <w:pPr>
        <w:spacing w:after="90" w:line="240" w:lineRule="auto"/>
        <w:ind w:left="620" w:hanging="620"/>
      </w:pPr>
      <w:r>
        <w:rPr>
          <w:rFonts w:ascii="Georgia" w:cs="Georgia" w:eastAsia="Georgia" w:hAnsi="Georgia"/>
          <w:b/>
          <w:bCs/>
          <w:color w:val="13315C"/>
          <w:sz w:val="18"/>
          <w:szCs w:val="18"/>
        </w:rPr>
        <w:t xml:space="preserve">[123] </w:t>
      </w:r>
      <w:r>
        <w:rPr>
          <w:rFonts w:ascii="Consolas" w:cs="Consolas" w:eastAsia="Consolas" w:hAnsi="Consolas"/>
          <w:b/>
          <w:bCs/>
          <w:color w:val="8DA9C4"/>
          <w:sz w:val="15"/>
          <w:szCs w:val="15"/>
        </w:rPr>
        <w:t xml:space="preserve">PR  </w:t>
      </w:r>
      <w:r>
        <w:rPr>
          <w:sz w:val="18"/>
          <w:szCs w:val="18"/>
        </w:rPr>
        <w:t xml:space="preserve">Dowling, B., Paterson, K. G. “A Cryptographic Analysis of the WireGuard Protocol.” Applied Cryptography and Network Security (ACNS) 2018, LNCS 10892, pp. 3–21. doi:10.1007/978-3-319-93387-0_1.</w:t>
      </w:r>
    </w:p>
    <w:p>
      <w:pPr>
        <w:spacing w:after="90" w:line="240" w:lineRule="auto"/>
        <w:ind w:left="620" w:hanging="620"/>
      </w:pPr>
      <w:r>
        <w:rPr>
          <w:rFonts w:ascii="Georgia" w:cs="Georgia" w:eastAsia="Georgia" w:hAnsi="Georgia"/>
          <w:b/>
          <w:bCs/>
          <w:color w:val="13315C"/>
          <w:sz w:val="18"/>
          <w:szCs w:val="18"/>
        </w:rPr>
        <w:t xml:space="preserve">[124] </w:t>
      </w:r>
      <w:r>
        <w:rPr>
          <w:rFonts w:ascii="Consolas" w:cs="Consolas" w:eastAsia="Consolas" w:hAnsi="Consolas"/>
          <w:b/>
          <w:bCs/>
          <w:color w:val="8DA9C4"/>
          <w:sz w:val="15"/>
          <w:szCs w:val="15"/>
        </w:rPr>
        <w:t xml:space="preserve">PL  </w:t>
      </w:r>
      <w:r>
        <w:rPr>
          <w:sz w:val="18"/>
          <w:szCs w:val="18"/>
        </w:rPr>
        <w:t xml:space="preserve">Perrin, T. “The Noise Protocol Framework.” Revision 34, 2018. noiseprotocol.org.</w:t>
      </w:r>
    </w:p>
    <w:p>
      <w:pPr>
        <w:spacing w:after="90" w:line="240" w:lineRule="auto"/>
        <w:ind w:left="620" w:hanging="620"/>
      </w:pPr>
      <w:r>
        <w:rPr>
          <w:rFonts w:ascii="Georgia" w:cs="Georgia" w:eastAsia="Georgia" w:hAnsi="Georgia"/>
          <w:b/>
          <w:bCs/>
          <w:color w:val="13315C"/>
          <w:sz w:val="18"/>
          <w:szCs w:val="18"/>
        </w:rPr>
        <w:t xml:space="preserve">[125] </w:t>
      </w:r>
      <w:r>
        <w:rPr>
          <w:rFonts w:ascii="Consolas" w:cs="Consolas" w:eastAsia="Consolas" w:hAnsi="Consolas"/>
          <w:b/>
          <w:bCs/>
          <w:color w:val="8DA9C4"/>
          <w:sz w:val="15"/>
          <w:szCs w:val="15"/>
        </w:rPr>
        <w:t xml:space="preserve">PR  </w:t>
      </w:r>
      <w:r>
        <w:rPr>
          <w:sz w:val="18"/>
          <w:szCs w:val="18"/>
        </w:rPr>
        <w:t xml:space="preserve">Bernstein, D. J. “Curve25519: New Diffie-Hellman Speed Records.” Public Key Cryptography (PKC) 2006, LNCS 3958, pp. 207–228. doi:10.1007/11745853_14.</w:t>
      </w:r>
    </w:p>
    <w:p>
      <w:pPr>
        <w:spacing w:after="90" w:line="240" w:lineRule="auto"/>
        <w:ind w:left="620" w:hanging="620"/>
      </w:pPr>
      <w:r>
        <w:rPr>
          <w:rFonts w:ascii="Georgia" w:cs="Georgia" w:eastAsia="Georgia" w:hAnsi="Georgia"/>
          <w:b/>
          <w:bCs/>
          <w:color w:val="13315C"/>
          <w:sz w:val="18"/>
          <w:szCs w:val="18"/>
        </w:rPr>
        <w:t xml:space="preserve">[126] </w:t>
      </w:r>
      <w:r>
        <w:rPr>
          <w:rFonts w:ascii="Consolas" w:cs="Consolas" w:eastAsia="Consolas" w:hAnsi="Consolas"/>
          <w:b/>
          <w:bCs/>
          <w:color w:val="8DA9C4"/>
          <w:sz w:val="15"/>
          <w:szCs w:val="15"/>
        </w:rPr>
        <w:t xml:space="preserve">PL  </w:t>
      </w:r>
      <w:r>
        <w:rPr>
          <w:sz w:val="18"/>
          <w:szCs w:val="18"/>
        </w:rPr>
        <w:t xml:space="preserve">Nir, Y., Langley, A. “ChaCha20 and Poly1305 for IETF Protocols.” RFC 8439, IETF, 2018. doi:10.17487/RFC8439.</w:t>
      </w:r>
    </w:p>
    <w:p>
      <w:pPr>
        <w:spacing w:after="90" w:line="240" w:lineRule="auto"/>
        <w:ind w:left="620" w:hanging="620"/>
      </w:pPr>
      <w:r>
        <w:rPr>
          <w:rFonts w:ascii="Georgia" w:cs="Georgia" w:eastAsia="Georgia" w:hAnsi="Georgia"/>
          <w:b/>
          <w:bCs/>
          <w:color w:val="13315C"/>
          <w:sz w:val="18"/>
          <w:szCs w:val="18"/>
        </w:rPr>
        <w:t xml:space="preserve">[127] </w:t>
      </w:r>
      <w:r>
        <w:rPr>
          <w:rFonts w:ascii="Consolas" w:cs="Consolas" w:eastAsia="Consolas" w:hAnsi="Consolas"/>
          <w:b/>
          <w:bCs/>
          <w:color w:val="8DA9C4"/>
          <w:sz w:val="15"/>
          <w:szCs w:val="15"/>
        </w:rPr>
        <w:t xml:space="preserve">PR  </w:t>
      </w:r>
      <w:r>
        <w:rPr>
          <w:sz w:val="18"/>
          <w:szCs w:val="18"/>
        </w:rPr>
        <w:t xml:space="preserve">Aumasson, J.-P., Neves, S., Wilcox-O’Hearn, Z., Winnerlein, C. “BLAKE2: Simpler, Smaller, Fast as MD5.” Applied Cryptography and Network Security (ACNS) 2013, LNCS 7954, pp. 119–135. doi:10.1007/978-3-642-38980-1_8.</w:t>
      </w:r>
    </w:p>
    <w:p>
      <w:pPr>
        <w:spacing w:after="90" w:line="240" w:lineRule="auto"/>
        <w:ind w:left="620" w:hanging="620"/>
      </w:pPr>
      <w:r>
        <w:rPr>
          <w:rFonts w:ascii="Georgia" w:cs="Georgia" w:eastAsia="Georgia" w:hAnsi="Georgia"/>
          <w:b/>
          <w:bCs/>
          <w:color w:val="13315C"/>
          <w:sz w:val="18"/>
          <w:szCs w:val="18"/>
        </w:rPr>
        <w:t xml:space="preserve">[128] </w:t>
      </w:r>
      <w:r>
        <w:rPr>
          <w:rFonts w:ascii="Consolas" w:cs="Consolas" w:eastAsia="Consolas" w:hAnsi="Consolas"/>
          <w:b/>
          <w:bCs/>
          <w:color w:val="8DA9C4"/>
          <w:sz w:val="15"/>
          <w:szCs w:val="15"/>
        </w:rPr>
        <w:t xml:space="preserve">PR  </w:t>
      </w:r>
      <w:r>
        <w:rPr>
          <w:sz w:val="18"/>
          <w:szCs w:val="18"/>
        </w:rPr>
        <w:t xml:space="preserve">Hespanha, J. P., Naghshtabrizi, P., Xu, Y. “A Survey of Recent Results in Networked Control Systems.” Proceedings of the IEEE 95(1), 2007, pp. 138–162. doi:10.1109/JPROC.2006.887288.</w:t>
      </w:r>
    </w:p>
    <w:p>
      <w:pPr>
        <w:spacing w:after="90" w:line="240" w:lineRule="auto"/>
        <w:ind w:left="620" w:hanging="620"/>
      </w:pPr>
      <w:r>
        <w:rPr>
          <w:rFonts w:ascii="Georgia" w:cs="Georgia" w:eastAsia="Georgia" w:hAnsi="Georgia"/>
          <w:b/>
          <w:bCs/>
          <w:color w:val="13315C"/>
          <w:sz w:val="18"/>
          <w:szCs w:val="18"/>
        </w:rPr>
        <w:t xml:space="preserve">[129] </w:t>
      </w:r>
      <w:r>
        <w:rPr>
          <w:rFonts w:ascii="Consolas" w:cs="Consolas" w:eastAsia="Consolas" w:hAnsi="Consolas"/>
          <w:b/>
          <w:bCs/>
          <w:color w:val="8DA9C4"/>
          <w:sz w:val="15"/>
          <w:szCs w:val="15"/>
        </w:rPr>
        <w:t xml:space="preserve">PR  </w:t>
      </w:r>
      <w:r>
        <w:rPr>
          <w:sz w:val="18"/>
          <w:szCs w:val="18"/>
        </w:rPr>
        <w:t xml:space="preserve">Zhang, W., Branicky, M. S., Phillips, S. M. “Stability of Networked Control Systems.” IEEE Control Systems Magazine 21(1), 2001, pp. 84–99. doi:10.1109/37.898794.</w:t>
      </w:r>
    </w:p>
    <w:p>
      <w:pPr>
        <w:spacing w:after="90" w:line="240" w:lineRule="auto"/>
        <w:ind w:left="620" w:hanging="620"/>
      </w:pPr>
      <w:r>
        <w:rPr>
          <w:rFonts w:ascii="Georgia" w:cs="Georgia" w:eastAsia="Georgia" w:hAnsi="Georgia"/>
          <w:b/>
          <w:bCs/>
          <w:color w:val="13315C"/>
          <w:sz w:val="18"/>
          <w:szCs w:val="18"/>
        </w:rPr>
        <w:t xml:space="preserve">[130] </w:t>
      </w:r>
      <w:r>
        <w:rPr>
          <w:rFonts w:ascii="Consolas" w:cs="Consolas" w:eastAsia="Consolas" w:hAnsi="Consolas"/>
          <w:b/>
          <w:bCs/>
          <w:color w:val="8DA9C4"/>
          <w:sz w:val="15"/>
          <w:szCs w:val="15"/>
        </w:rPr>
        <w:t xml:space="preserve">V   </w:t>
      </w:r>
      <w:r>
        <w:rPr>
          <w:sz w:val="18"/>
          <w:szCs w:val="18"/>
        </w:rPr>
        <w:t xml:space="preserve">Tailscale. Mesh VPN built on WireGuard with NAT traversal and DERP relay fallback. tailscale.com. ARM64 userspace client.</w:t>
      </w:r>
    </w:p>
    <w:p>
      <w:pPr>
        <w:spacing w:after="90" w:line="240" w:lineRule="auto"/>
        <w:ind w:left="620" w:hanging="620"/>
      </w:pPr>
      <w:r>
        <w:rPr>
          <w:rFonts w:ascii="Georgia" w:cs="Georgia" w:eastAsia="Georgia" w:hAnsi="Georgia"/>
          <w:b/>
          <w:bCs/>
          <w:color w:val="13315C"/>
          <w:sz w:val="18"/>
          <w:szCs w:val="18"/>
        </w:rPr>
        <w:t xml:space="preserve">[131] </w:t>
      </w:r>
      <w:r>
        <w:rPr>
          <w:rFonts w:ascii="Consolas" w:cs="Consolas" w:eastAsia="Consolas" w:hAnsi="Consolas"/>
          <w:b/>
          <w:bCs/>
          <w:color w:val="8DA9C4"/>
          <w:sz w:val="15"/>
          <w:szCs w:val="15"/>
        </w:rPr>
        <w:t xml:space="preserve">PR  </w:t>
      </w:r>
      <w:r>
        <w:rPr>
          <w:sz w:val="18"/>
          <w:szCs w:val="18"/>
        </w:rPr>
        <w:t xml:space="preserve">Avižienis, A., Laprie, J.-C., Randell, B., Landwehr, C. “Basic Concepts and Taxonomy of Dependable and Secure Computing.” IEEE Transactions on Dependable and Secure Computing 1(1), 2004, pp. 11–33. doi:10.1109/TDSC.2004.2.</w:t>
      </w:r>
    </w:p>
    <w:p>
      <w:pPr>
        <w:spacing w:after="90" w:line="240" w:lineRule="auto"/>
        <w:ind w:left="620" w:hanging="620"/>
      </w:pPr>
      <w:r>
        <w:rPr>
          <w:rFonts w:ascii="Georgia" w:cs="Georgia" w:eastAsia="Georgia" w:hAnsi="Georgia"/>
          <w:b/>
          <w:bCs/>
          <w:color w:val="13315C"/>
          <w:sz w:val="18"/>
          <w:szCs w:val="18"/>
        </w:rPr>
        <w:t xml:space="preserve">[132] </w:t>
      </w:r>
      <w:r>
        <w:rPr>
          <w:rFonts w:ascii="Consolas" w:cs="Consolas" w:eastAsia="Consolas" w:hAnsi="Consolas"/>
          <w:b/>
          <w:bCs/>
          <w:color w:val="8DA9C4"/>
          <w:sz w:val="15"/>
          <w:szCs w:val="15"/>
        </w:rPr>
        <w:t xml:space="preserve">CL  </w:t>
      </w:r>
      <w:r>
        <w:rPr>
          <w:sz w:val="18"/>
          <w:szCs w:val="18"/>
        </w:rPr>
        <w:t xml:space="preserve">Leveson, N. G. Engineering a Safer World: Systems Thinking Applied to Safety. MIT Press, 2011.</w:t>
      </w:r>
    </w:p>
    <w:p>
      <w:pPr>
        <w:spacing w:after="90" w:line="240" w:lineRule="auto"/>
        <w:ind w:left="620" w:hanging="620"/>
      </w:pPr>
      <w:r>
        <w:rPr>
          <w:rFonts w:ascii="Georgia" w:cs="Georgia" w:eastAsia="Georgia" w:hAnsi="Georgia"/>
          <w:b/>
          <w:bCs/>
          <w:color w:val="13315C"/>
          <w:sz w:val="18"/>
          <w:szCs w:val="18"/>
        </w:rPr>
        <w:t xml:space="preserve">[133] </w:t>
      </w:r>
      <w:r>
        <w:rPr>
          <w:rFonts w:ascii="Consolas" w:cs="Consolas" w:eastAsia="Consolas" w:hAnsi="Consolas"/>
          <w:b/>
          <w:bCs/>
          <w:color w:val="8DA9C4"/>
          <w:sz w:val="15"/>
          <w:szCs w:val="15"/>
        </w:rPr>
        <w:t xml:space="preserve">PR  </w:t>
      </w:r>
      <w:r>
        <w:rPr>
          <w:sz w:val="18"/>
          <w:szCs w:val="18"/>
        </w:rPr>
        <w:t xml:space="preserve">Knight, J. C. “Safety Critical Systems: Challenges and Directions.” International Conference on Software Engineering (ICSE) 2002, pp. 547–550. doi:10.1145/581339.581406.</w:t>
      </w:r>
    </w:p>
    <w:p>
      <w:pPr>
        <w:spacing w:after="90" w:line="240" w:lineRule="auto"/>
        <w:ind w:left="620" w:hanging="620"/>
      </w:pPr>
      <w:r>
        <w:rPr>
          <w:rFonts w:ascii="Georgia" w:cs="Georgia" w:eastAsia="Georgia" w:hAnsi="Georgia"/>
          <w:b/>
          <w:bCs/>
          <w:color w:val="13315C"/>
          <w:sz w:val="18"/>
          <w:szCs w:val="18"/>
        </w:rPr>
        <w:t xml:space="preserve">[134] </w:t>
      </w:r>
      <w:r>
        <w:rPr>
          <w:rFonts w:ascii="Consolas" w:cs="Consolas" w:eastAsia="Consolas" w:hAnsi="Consolas"/>
          <w:b/>
          <w:bCs/>
          <w:color w:val="8DA9C4"/>
          <w:sz w:val="15"/>
          <w:szCs w:val="15"/>
        </w:rPr>
        <w:t xml:space="preserve">PL  </w:t>
      </w:r>
      <w:r>
        <w:rPr>
          <w:sz w:val="18"/>
          <w:szCs w:val="18"/>
        </w:rPr>
        <w:t xml:space="preserve">RTCA DO-178C / EUROCAE ED-12C. “Software Considerations in Airborne Systems and Equipment Certification.” RTCA, 2011.</w:t>
      </w:r>
    </w:p>
    <w:p>
      <w:pPr>
        <w:spacing w:after="90" w:line="240" w:lineRule="auto"/>
        <w:ind w:left="620" w:hanging="620"/>
      </w:pPr>
      <w:r>
        <w:rPr>
          <w:rFonts w:ascii="Georgia" w:cs="Georgia" w:eastAsia="Georgia" w:hAnsi="Georgia"/>
          <w:b/>
          <w:bCs/>
          <w:color w:val="13315C"/>
          <w:sz w:val="18"/>
          <w:szCs w:val="18"/>
        </w:rPr>
        <w:t xml:space="preserve">[135] </w:t>
      </w:r>
      <w:r>
        <w:rPr>
          <w:rFonts w:ascii="Consolas" w:cs="Consolas" w:eastAsia="Consolas" w:hAnsi="Consolas"/>
          <w:b/>
          <w:bCs/>
          <w:color w:val="8DA9C4"/>
          <w:sz w:val="15"/>
          <w:szCs w:val="15"/>
        </w:rPr>
        <w:t xml:space="preserve">PL  </w:t>
      </w:r>
      <w:r>
        <w:rPr>
          <w:sz w:val="18"/>
          <w:szCs w:val="18"/>
        </w:rPr>
        <w:t xml:space="preserve">RTCA DO-254 / EUROCAE ED-80. “Design Assurance Guidance for Airborne Electronic Hardware.” RTCA, 2000.</w:t>
      </w:r>
    </w:p>
    <w:p>
      <w:pPr>
        <w:spacing w:after="90" w:line="240" w:lineRule="auto"/>
        <w:ind w:left="620" w:hanging="620"/>
      </w:pPr>
      <w:r>
        <w:rPr>
          <w:rFonts w:ascii="Georgia" w:cs="Georgia" w:eastAsia="Georgia" w:hAnsi="Georgia"/>
          <w:b/>
          <w:bCs/>
          <w:color w:val="13315C"/>
          <w:sz w:val="18"/>
          <w:szCs w:val="18"/>
        </w:rPr>
        <w:t xml:space="preserve">[136] </w:t>
      </w:r>
      <w:r>
        <w:rPr>
          <w:rFonts w:ascii="Consolas" w:cs="Consolas" w:eastAsia="Consolas" w:hAnsi="Consolas"/>
          <w:b/>
          <w:bCs/>
          <w:color w:val="8DA9C4"/>
          <w:sz w:val="15"/>
          <w:szCs w:val="15"/>
        </w:rPr>
        <w:t xml:space="preserve">PL  </w:t>
      </w:r>
      <w:r>
        <w:rPr>
          <w:sz w:val="18"/>
          <w:szCs w:val="18"/>
        </w:rPr>
        <w:t xml:space="preserve">ISO 26262:2018. “Road vehicles — Functional safety.” International Organization for Standardization.</w:t>
      </w:r>
    </w:p>
    <w:p>
      <w:pPr>
        <w:spacing w:after="90" w:line="240" w:lineRule="auto"/>
        <w:ind w:left="620" w:hanging="620"/>
      </w:pPr>
      <w:r>
        <w:rPr>
          <w:rFonts w:ascii="Georgia" w:cs="Georgia" w:eastAsia="Georgia" w:hAnsi="Georgia"/>
          <w:b/>
          <w:bCs/>
          <w:color w:val="13315C"/>
          <w:sz w:val="18"/>
          <w:szCs w:val="18"/>
        </w:rPr>
        <w:t xml:space="preserve">[137] </w:t>
      </w:r>
      <w:r>
        <w:rPr>
          <w:rFonts w:ascii="Consolas" w:cs="Consolas" w:eastAsia="Consolas" w:hAnsi="Consolas"/>
          <w:b/>
          <w:bCs/>
          <w:color w:val="8DA9C4"/>
          <w:sz w:val="15"/>
          <w:szCs w:val="15"/>
        </w:rPr>
        <w:t xml:space="preserve">PL  </w:t>
      </w:r>
      <w:r>
        <w:rPr>
          <w:sz w:val="18"/>
          <w:szCs w:val="18"/>
        </w:rPr>
        <w:t xml:space="preserve">IEC 61508:2010. “Functional safety of electrical/electronic/programmable electronic safety-related systems.” International Electrotechnical Commission.</w:t>
      </w:r>
    </w:p>
    <w:p>
      <w:pPr>
        <w:spacing w:after="90" w:line="240" w:lineRule="auto"/>
        <w:ind w:left="620" w:hanging="620"/>
      </w:pPr>
      <w:r>
        <w:rPr>
          <w:rFonts w:ascii="Georgia" w:cs="Georgia" w:eastAsia="Georgia" w:hAnsi="Georgia"/>
          <w:b/>
          <w:bCs/>
          <w:color w:val="13315C"/>
          <w:sz w:val="18"/>
          <w:szCs w:val="18"/>
        </w:rPr>
        <w:t xml:space="preserve">[138] </w:t>
      </w:r>
      <w:r>
        <w:rPr>
          <w:rFonts w:ascii="Consolas" w:cs="Consolas" w:eastAsia="Consolas" w:hAnsi="Consolas"/>
          <w:b/>
          <w:bCs/>
          <w:color w:val="8DA9C4"/>
          <w:sz w:val="15"/>
          <w:szCs w:val="15"/>
        </w:rPr>
        <w:t xml:space="preserve">PL  </w:t>
      </w:r>
      <w:r>
        <w:rPr>
          <w:sz w:val="18"/>
          <w:szCs w:val="18"/>
        </w:rPr>
        <w:t xml:space="preserve">IEC 60812:2018. “Failure modes and effects analysis (FMEA and FMECA).” International Electrotechnical Commission.</w:t>
      </w:r>
    </w:p>
    <w:p>
      <w:pPr>
        <w:spacing w:after="90" w:line="240" w:lineRule="auto"/>
        <w:ind w:left="620" w:hanging="620"/>
      </w:pPr>
      <w:r>
        <w:rPr>
          <w:rFonts w:ascii="Georgia" w:cs="Georgia" w:eastAsia="Georgia" w:hAnsi="Georgia"/>
          <w:b/>
          <w:bCs/>
          <w:color w:val="13315C"/>
          <w:sz w:val="18"/>
          <w:szCs w:val="18"/>
        </w:rPr>
        <w:t xml:space="preserve">[139] </w:t>
      </w:r>
      <w:r>
        <w:rPr>
          <w:rFonts w:ascii="Consolas" w:cs="Consolas" w:eastAsia="Consolas" w:hAnsi="Consolas"/>
          <w:b/>
          <w:bCs/>
          <w:color w:val="8DA9C4"/>
          <w:sz w:val="15"/>
          <w:szCs w:val="15"/>
        </w:rPr>
        <w:t xml:space="preserve">PR  </w:t>
      </w:r>
      <w:r>
        <w:rPr>
          <w:sz w:val="18"/>
          <w:szCs w:val="18"/>
        </w:rPr>
        <w:t xml:space="preserve">Rushby, J. “Partitioning in Avionics Architectures: Requirements, Mechanisms, and Assurance.” NASA Contractor Report CR-1999-209347, 1999.</w:t>
      </w:r>
    </w:p>
    <w:p>
      <w:pPr>
        <w:spacing w:after="90" w:line="240" w:lineRule="auto"/>
        <w:ind w:left="620" w:hanging="620"/>
      </w:pPr>
      <w:r>
        <w:rPr>
          <w:rFonts w:ascii="Georgia" w:cs="Georgia" w:eastAsia="Georgia" w:hAnsi="Georgia"/>
          <w:b/>
          <w:bCs/>
          <w:color w:val="13315C"/>
          <w:sz w:val="18"/>
          <w:szCs w:val="18"/>
        </w:rPr>
        <w:t xml:space="preserve">[140] </w:t>
      </w:r>
      <w:r>
        <w:rPr>
          <w:rFonts w:ascii="Consolas" w:cs="Consolas" w:eastAsia="Consolas" w:hAnsi="Consolas"/>
          <w:b/>
          <w:bCs/>
          <w:color w:val="8DA9C4"/>
          <w:sz w:val="15"/>
          <w:szCs w:val="15"/>
        </w:rPr>
        <w:t xml:space="preserve">V   </w:t>
      </w:r>
      <w:r>
        <w:rPr>
          <w:sz w:val="18"/>
          <w:szCs w:val="18"/>
        </w:rPr>
        <w:t xml:space="preserve">NVIDIA. “JetPack 6.2 Release Notes” and “NVIDIA JetPack 6.2 Brings Super Mode to NVIDIA Jetson Orin Nano and Jetson Orin NX Modules.” NVIDIA Technical Blog, January 2025. Throughput figures measured with INT4 quantization via the MLC API.</w:t>
      </w:r>
    </w:p>
    <w:p>
      <w:pPr>
        <w:spacing w:after="90" w:line="240" w:lineRule="auto"/>
        <w:ind w:left="620" w:hanging="620"/>
      </w:pPr>
      <w:r>
        <w:rPr>
          <w:rFonts w:ascii="Georgia" w:cs="Georgia" w:eastAsia="Georgia" w:hAnsi="Georgia"/>
          <w:b/>
          <w:bCs/>
          <w:color w:val="13315C"/>
          <w:sz w:val="18"/>
          <w:szCs w:val="18"/>
        </w:rPr>
        <w:t xml:space="preserve">[141] </w:t>
      </w:r>
      <w:r>
        <w:rPr>
          <w:rFonts w:ascii="Consolas" w:cs="Consolas" w:eastAsia="Consolas" w:hAnsi="Consolas"/>
          <w:b/>
          <w:bCs/>
          <w:color w:val="8DA9C4"/>
          <w:sz w:val="15"/>
          <w:szCs w:val="15"/>
        </w:rPr>
        <w:t xml:space="preserve">V   </w:t>
      </w:r>
      <w:r>
        <w:rPr>
          <w:sz w:val="18"/>
          <w:szCs w:val="18"/>
        </w:rPr>
        <w:t xml:space="preserve">NVIDIA. Jetson Orin NX Series Module Data Sheet. 16 GB LPDDR5, 102.4 GB/s bandwidth, up to 157 INT8 sparse TOPS in Super Mode, 1024 Ampere CUDA cores.</w:t>
      </w:r>
    </w:p>
    <w:p>
      <w:pPr>
        <w:spacing w:after="90" w:line="240" w:lineRule="auto"/>
        <w:ind w:left="620" w:hanging="620"/>
      </w:pPr>
      <w:r>
        <w:rPr>
          <w:rFonts w:ascii="Georgia" w:cs="Georgia" w:eastAsia="Georgia" w:hAnsi="Georgia"/>
          <w:b/>
          <w:bCs/>
          <w:color w:val="13315C"/>
          <w:sz w:val="18"/>
          <w:szCs w:val="18"/>
        </w:rPr>
        <w:t xml:space="preserve">[142] </w:t>
      </w:r>
      <w:r>
        <w:rPr>
          <w:rFonts w:ascii="Consolas" w:cs="Consolas" w:eastAsia="Consolas" w:hAnsi="Consolas"/>
          <w:b/>
          <w:bCs/>
          <w:color w:val="8DA9C4"/>
          <w:sz w:val="15"/>
          <w:szCs w:val="15"/>
        </w:rPr>
        <w:t xml:space="preserve">V   </w:t>
      </w:r>
      <w:r>
        <w:rPr>
          <w:sz w:val="18"/>
          <w:szCs w:val="18"/>
        </w:rPr>
        <w:t xml:space="preserve">NVIDIA. Jetson Orin Nano Super Developer Kit. US$249, 67 INT8 sparse TOPS, 8 GB LPDDR5, 102 GB/s. developer.nvidia.com.</w:t>
      </w:r>
    </w:p>
    <w:p>
      <w:pPr>
        <w:spacing w:after="90" w:line="240" w:lineRule="auto"/>
        <w:ind w:left="620" w:hanging="620"/>
      </w:pPr>
      <w:r>
        <w:rPr>
          <w:rFonts w:ascii="Georgia" w:cs="Georgia" w:eastAsia="Georgia" w:hAnsi="Georgia"/>
          <w:b/>
          <w:bCs/>
          <w:color w:val="13315C"/>
          <w:sz w:val="18"/>
          <w:szCs w:val="18"/>
        </w:rPr>
        <w:t xml:space="preserve">[143] </w:t>
      </w:r>
      <w:r>
        <w:rPr>
          <w:rFonts w:ascii="Consolas" w:cs="Consolas" w:eastAsia="Consolas" w:hAnsi="Consolas"/>
          <w:b/>
          <w:bCs/>
          <w:color w:val="8DA9C4"/>
          <w:sz w:val="15"/>
          <w:szCs w:val="15"/>
        </w:rPr>
        <w:t xml:space="preserve">V   </w:t>
      </w:r>
      <w:r>
        <w:rPr>
          <w:sz w:val="18"/>
          <w:szCs w:val="18"/>
        </w:rPr>
        <w:t xml:space="preserve">NVIDIA. Jetson Linux Developer Guide — Power Management and nvpmodel. Power modes 10/15/25/40 W and MAXN SUPER.</w:t>
      </w:r>
    </w:p>
    <w:p>
      <w:pPr>
        <w:spacing w:after="90" w:line="240" w:lineRule="auto"/>
        <w:ind w:left="620" w:hanging="620"/>
      </w:pPr>
      <w:r>
        <w:rPr>
          <w:rFonts w:ascii="Georgia" w:cs="Georgia" w:eastAsia="Georgia" w:hAnsi="Georgia"/>
          <w:b/>
          <w:bCs/>
          <w:color w:val="13315C"/>
          <w:sz w:val="18"/>
          <w:szCs w:val="18"/>
        </w:rPr>
        <w:t xml:space="preserve">[144] </w:t>
      </w:r>
      <w:r>
        <w:rPr>
          <w:rFonts w:ascii="Consolas" w:cs="Consolas" w:eastAsia="Consolas" w:hAnsi="Consolas"/>
          <w:b/>
          <w:bCs/>
          <w:color w:val="8DA9C4"/>
          <w:sz w:val="15"/>
          <w:szCs w:val="15"/>
        </w:rPr>
        <w:t xml:space="preserve">IB  </w:t>
      </w:r>
      <w:r>
        <w:rPr>
          <w:sz w:val="18"/>
          <w:szCs w:val="18"/>
        </w:rPr>
        <w:t xml:space="preserve">ProventusNova. “Running LLMs on Jetson Orin — llama.cpp, Ollama, and jetson-containers.” Reports approximately 18 tok/s generation for Llama 3.1 8B Q4_K_M under llama.cpp with full GPU offload on JetPack 6.2.</w:t>
      </w:r>
    </w:p>
    <w:p>
      <w:pPr>
        <w:spacing w:after="90" w:line="240" w:lineRule="auto"/>
        <w:ind w:left="620" w:hanging="620"/>
      </w:pPr>
      <w:r>
        <w:rPr>
          <w:rFonts w:ascii="Georgia" w:cs="Georgia" w:eastAsia="Georgia" w:hAnsi="Georgia"/>
          <w:b/>
          <w:bCs/>
          <w:color w:val="13315C"/>
          <w:sz w:val="18"/>
          <w:szCs w:val="18"/>
        </w:rPr>
        <w:t xml:space="preserve">[145] </w:t>
      </w:r>
      <w:r>
        <w:rPr>
          <w:rFonts w:ascii="Consolas" w:cs="Consolas" w:eastAsia="Consolas" w:hAnsi="Consolas"/>
          <w:b/>
          <w:bCs/>
          <w:color w:val="8DA9C4"/>
          <w:sz w:val="15"/>
          <w:szCs w:val="15"/>
        </w:rPr>
        <w:t xml:space="preserve">V   </w:t>
      </w:r>
      <w:r>
        <w:rPr>
          <w:sz w:val="18"/>
          <w:szCs w:val="18"/>
        </w:rPr>
        <w:t xml:space="preserve">Franklin, D. (dusty-nv). jetson-containers: machine learning containers for Jetson. github.com/dusty-nv/jetson-containers.</w:t>
      </w:r>
    </w:p>
    <w:p>
      <w:pPr>
        <w:spacing w:after="90" w:line="240" w:lineRule="auto"/>
        <w:ind w:left="620" w:hanging="620"/>
      </w:pPr>
      <w:r>
        <w:rPr>
          <w:rFonts w:ascii="Georgia" w:cs="Georgia" w:eastAsia="Georgia" w:hAnsi="Georgia"/>
          <w:b/>
          <w:bCs/>
          <w:color w:val="13315C"/>
          <w:sz w:val="18"/>
          <w:szCs w:val="18"/>
        </w:rPr>
        <w:t xml:space="preserve">[146] </w:t>
      </w:r>
      <w:r>
        <w:rPr>
          <w:rFonts w:ascii="Consolas" w:cs="Consolas" w:eastAsia="Consolas" w:hAnsi="Consolas"/>
          <w:b/>
          <w:bCs/>
          <w:color w:val="8DA9C4"/>
          <w:sz w:val="15"/>
          <w:szCs w:val="15"/>
        </w:rPr>
        <w:t xml:space="preserve">V   </w:t>
      </w:r>
      <w:r>
        <w:rPr>
          <w:sz w:val="18"/>
          <w:szCs w:val="18"/>
        </w:rPr>
        <w:t xml:space="preserve">Raspberry Pi Ltd. “AI HATs” documentation and “Introducing the Raspberry Pi AI HAT+ with up to 26 TOPS.” raspberrypi.com. Hailo-8/8L documented as a vision and convolutional-network accelerator.</w:t>
      </w:r>
    </w:p>
    <w:p>
      <w:pPr>
        <w:spacing w:after="90" w:line="240" w:lineRule="auto"/>
        <w:ind w:left="620" w:hanging="620"/>
      </w:pPr>
      <w:r>
        <w:rPr>
          <w:rFonts w:ascii="Georgia" w:cs="Georgia" w:eastAsia="Georgia" w:hAnsi="Georgia"/>
          <w:b/>
          <w:bCs/>
          <w:color w:val="13315C"/>
          <w:sz w:val="18"/>
          <w:szCs w:val="18"/>
        </w:rPr>
        <w:t xml:space="preserve">[147] </w:t>
      </w:r>
      <w:r>
        <w:rPr>
          <w:rFonts w:ascii="Consolas" w:cs="Consolas" w:eastAsia="Consolas" w:hAnsi="Consolas"/>
          <w:b/>
          <w:bCs/>
          <w:color w:val="8DA9C4"/>
          <w:sz w:val="15"/>
          <w:szCs w:val="15"/>
        </w:rPr>
        <w:t xml:space="preserve">V   </w:t>
      </w:r>
      <w:r>
        <w:rPr>
          <w:sz w:val="18"/>
          <w:szCs w:val="18"/>
        </w:rPr>
        <w:t xml:space="preserve">Raspberry Pi Ltd. AI HAT+ 2 (Hailo-10H), released 15 January 2026. US$130, 40 TOPS INT4, 8 GB LPDDR4X on-module, approximately 2.5 W active. LLM support limited to compiled .hef models via an x86-only Dataflow Compiler.</w:t>
      </w:r>
    </w:p>
    <w:p>
      <w:pPr>
        <w:spacing w:after="90" w:line="240" w:lineRule="auto"/>
        <w:ind w:left="620" w:hanging="620"/>
      </w:pPr>
      <w:r>
        <w:rPr>
          <w:rFonts w:ascii="Georgia" w:cs="Georgia" w:eastAsia="Georgia" w:hAnsi="Georgia"/>
          <w:b/>
          <w:bCs/>
          <w:color w:val="13315C"/>
          <w:sz w:val="18"/>
          <w:szCs w:val="18"/>
        </w:rPr>
        <w:t xml:space="preserve">[148] </w:t>
      </w:r>
      <w:r>
        <w:rPr>
          <w:rFonts w:ascii="Consolas" w:cs="Consolas" w:eastAsia="Consolas" w:hAnsi="Consolas"/>
          <w:b/>
          <w:bCs/>
          <w:color w:val="8DA9C4"/>
          <w:sz w:val="15"/>
          <w:szCs w:val="15"/>
        </w:rPr>
        <w:t xml:space="preserve">IB  </w:t>
      </w:r>
      <w:r>
        <w:rPr>
          <w:sz w:val="18"/>
          <w:szCs w:val="18"/>
        </w:rPr>
        <w:t xml:space="preserve">CNX Software. “Raspberry Pi AI HAT+ 2 review — A 40 TOPS AI accelerator tested with Computer Vision, LLM, and VLM workloads.” 20 January 2026. Measured DeepSeek-R1-1.5B at 6.7 tok/s on Hailo-10H versus 9.04 tok/s on the Raspberry Pi 5 CPU.</w:t>
      </w:r>
    </w:p>
    <w:p>
      <w:pPr>
        <w:spacing w:after="90" w:line="240" w:lineRule="auto"/>
        <w:ind w:left="620" w:hanging="620"/>
      </w:pPr>
      <w:r>
        <w:rPr>
          <w:rFonts w:ascii="Georgia" w:cs="Georgia" w:eastAsia="Georgia" w:hAnsi="Georgia"/>
          <w:b/>
          <w:bCs/>
          <w:color w:val="13315C"/>
          <w:sz w:val="18"/>
          <w:szCs w:val="18"/>
        </w:rPr>
        <w:t xml:space="preserve">[149] </w:t>
      </w:r>
      <w:r>
        <w:rPr>
          <w:rFonts w:ascii="Consolas" w:cs="Consolas" w:eastAsia="Consolas" w:hAnsi="Consolas"/>
          <w:b/>
          <w:bCs/>
          <w:color w:val="8DA9C4"/>
          <w:sz w:val="15"/>
          <w:szCs w:val="15"/>
        </w:rPr>
        <w:t xml:space="preserve">IB  </w:t>
      </w:r>
      <w:r>
        <w:rPr>
          <w:sz w:val="18"/>
          <w:szCs w:val="18"/>
        </w:rPr>
        <w:t xml:space="preserve">EE Times. Report of Hailo’s revision of its power-performance billing from a simulated 7B/5W point to a measured ~2B/2.5W point; statement attributed to CEO Orr Danon, 18 May 2026. FLAGGED: single-source; treat as provisional.</w:t>
      </w:r>
    </w:p>
    <w:p>
      <w:pPr>
        <w:spacing w:after="90" w:line="240" w:lineRule="auto"/>
        <w:ind w:left="620" w:hanging="620"/>
      </w:pPr>
      <w:r>
        <w:rPr>
          <w:rFonts w:ascii="Georgia" w:cs="Georgia" w:eastAsia="Georgia" w:hAnsi="Georgia"/>
          <w:b/>
          <w:bCs/>
          <w:color w:val="13315C"/>
          <w:sz w:val="18"/>
          <w:szCs w:val="18"/>
        </w:rPr>
        <w:t xml:space="preserve">[150] </w:t>
      </w:r>
      <w:r>
        <w:rPr>
          <w:rFonts w:ascii="Consolas" w:cs="Consolas" w:eastAsia="Consolas" w:hAnsi="Consolas"/>
          <w:b/>
          <w:bCs/>
          <w:color w:val="8DA9C4"/>
          <w:sz w:val="15"/>
          <w:szCs w:val="15"/>
        </w:rPr>
        <w:t xml:space="preserve">IB  </w:t>
      </w:r>
      <w:r>
        <w:rPr>
          <w:sz w:val="18"/>
          <w:szCs w:val="18"/>
        </w:rPr>
        <w:t xml:space="preserve">Local AI Master. “Raspberry Pi 5 LLM Benchmarks: 12 Models, Real Tokens/Sec.” 2026. Converges on approximately 2–5 tok/s for Llama 3.2 3B and 5–15 tok/s for 1–1.5B models, CPU-only.</w:t>
      </w:r>
    </w:p>
    <w:p>
      <w:pPr>
        <w:spacing w:after="90" w:line="240" w:lineRule="auto"/>
        <w:ind w:left="620" w:hanging="620"/>
      </w:pPr>
      <w:r>
        <w:rPr>
          <w:rFonts w:ascii="Georgia" w:cs="Georgia" w:eastAsia="Georgia" w:hAnsi="Georgia"/>
          <w:b/>
          <w:bCs/>
          <w:color w:val="13315C"/>
          <w:sz w:val="18"/>
          <w:szCs w:val="18"/>
        </w:rPr>
        <w:t xml:space="preserve">[151] </w:t>
      </w:r>
      <w:r>
        <w:rPr>
          <w:rFonts w:ascii="Consolas" w:cs="Consolas" w:eastAsia="Consolas" w:hAnsi="Consolas"/>
          <w:b/>
          <w:bCs/>
          <w:color w:val="8DA9C4"/>
          <w:sz w:val="15"/>
          <w:szCs w:val="15"/>
        </w:rPr>
        <w:t xml:space="preserve">V   </w:t>
      </w:r>
      <w:r>
        <w:rPr>
          <w:sz w:val="18"/>
          <w:szCs w:val="18"/>
        </w:rPr>
        <w:t xml:space="preserve">Hailo Technologies. Hailo-10H AI accelerator product documentation and Dataflow Compiler toolchain. hailo.ai.</w:t>
      </w:r>
    </w:p>
    <w:p>
      <w:pPr>
        <w:spacing w:after="90" w:line="240" w:lineRule="auto"/>
        <w:ind w:left="620" w:hanging="620"/>
      </w:pPr>
      <w:r>
        <w:rPr>
          <w:rFonts w:ascii="Georgia" w:cs="Georgia" w:eastAsia="Georgia" w:hAnsi="Georgia"/>
          <w:b/>
          <w:bCs/>
          <w:color w:val="13315C"/>
          <w:sz w:val="18"/>
          <w:szCs w:val="18"/>
        </w:rPr>
        <w:t xml:space="preserve">[152] </w:t>
      </w:r>
      <w:r>
        <w:rPr>
          <w:rFonts w:ascii="Consolas" w:cs="Consolas" w:eastAsia="Consolas" w:hAnsi="Consolas"/>
          <w:b/>
          <w:bCs/>
          <w:color w:val="8DA9C4"/>
          <w:sz w:val="15"/>
          <w:szCs w:val="15"/>
        </w:rPr>
        <w:t xml:space="preserve">V   </w:t>
      </w:r>
      <w:r>
        <w:rPr>
          <w:sz w:val="18"/>
          <w:szCs w:val="18"/>
        </w:rPr>
        <w:t xml:space="preserve">Holybro. X650 Development Kit / X650 V2 specification. Payload up to 4.3 kg without battery; 3.5 kg with a 5200 mAh / 750 g pack; 3.1 kg with a 10000 mAh / 1200 g pack; MTOW 6,300 g at 70% throttle; 650 mm diagonal; carbon-fibre plates with aluminium foldable arm connectors.</w:t>
      </w:r>
    </w:p>
    <w:p>
      <w:pPr>
        <w:spacing w:after="90" w:line="240" w:lineRule="auto"/>
        <w:ind w:left="620" w:hanging="620"/>
      </w:pPr>
      <w:r>
        <w:rPr>
          <w:rFonts w:ascii="Georgia" w:cs="Georgia" w:eastAsia="Georgia" w:hAnsi="Georgia"/>
          <w:b/>
          <w:bCs/>
          <w:color w:val="13315C"/>
          <w:sz w:val="18"/>
          <w:szCs w:val="18"/>
        </w:rPr>
        <w:t xml:space="preserve">[153] </w:t>
      </w:r>
      <w:r>
        <w:rPr>
          <w:rFonts w:ascii="Consolas" w:cs="Consolas" w:eastAsia="Consolas" w:hAnsi="Consolas"/>
          <w:b/>
          <w:bCs/>
          <w:color w:val="8DA9C4"/>
          <w:sz w:val="15"/>
          <w:szCs w:val="15"/>
        </w:rPr>
        <w:t xml:space="preserve">V   </w:t>
      </w:r>
      <w:r>
        <w:rPr>
          <w:sz w:val="18"/>
          <w:szCs w:val="18"/>
        </w:rPr>
        <w:t xml:space="preserve">Holybro. Pixhawk Jetson Baseboard. Baseboard-only US$419 (with case) / US$395.99 (without); Pixhawk 6X + Orin NX 16 GB bundle US$1,654.99–1,675.00. Full assembly mass 203.2 g. Based on the Pixhawk Autopilot Bus (PAB) standard. Bundle variants observed sold out 17 July 2026.</w:t>
      </w:r>
    </w:p>
    <w:p>
      <w:pPr>
        <w:spacing w:after="90" w:line="240" w:lineRule="auto"/>
        <w:ind w:left="620" w:hanging="620"/>
      </w:pPr>
      <w:r>
        <w:rPr>
          <w:rFonts w:ascii="Georgia" w:cs="Georgia" w:eastAsia="Georgia" w:hAnsi="Georgia"/>
          <w:b/>
          <w:bCs/>
          <w:color w:val="13315C"/>
          <w:sz w:val="18"/>
          <w:szCs w:val="18"/>
        </w:rPr>
        <w:t xml:space="preserve">[154] </w:t>
      </w:r>
      <w:r>
        <w:rPr>
          <w:rFonts w:ascii="Consolas" w:cs="Consolas" w:eastAsia="Consolas" w:hAnsi="Consolas"/>
          <w:b/>
          <w:bCs/>
          <w:color w:val="8DA9C4"/>
          <w:sz w:val="15"/>
          <w:szCs w:val="15"/>
        </w:rPr>
        <w:t xml:space="preserve">V   </w:t>
      </w:r>
      <w:r>
        <w:rPr>
          <w:sz w:val="18"/>
          <w:szCs w:val="18"/>
        </w:rPr>
        <w:t xml:space="preserve">PX4 Autopilot. “Holybro Pixhawk Jetson Baseboard.” docs.px4.io. Documents the internal Pixhawk↔Jetson UART (TELEM2) and Gigabit Ethernet (RTL8367S) bridge; PX4 default IP 10.41.10.2.</w:t>
      </w:r>
    </w:p>
    <w:p>
      <w:pPr>
        <w:spacing w:after="90" w:line="240" w:lineRule="auto"/>
        <w:ind w:left="620" w:hanging="620"/>
      </w:pPr>
      <w:r>
        <w:rPr>
          <w:rFonts w:ascii="Georgia" w:cs="Georgia" w:eastAsia="Georgia" w:hAnsi="Georgia"/>
          <w:b/>
          <w:bCs/>
          <w:color w:val="13315C"/>
          <w:sz w:val="18"/>
          <w:szCs w:val="18"/>
        </w:rPr>
        <w:t xml:space="preserve">[155] </w:t>
      </w:r>
      <w:r>
        <w:rPr>
          <w:rFonts w:ascii="Consolas" w:cs="Consolas" w:eastAsia="Consolas" w:hAnsi="Consolas"/>
          <w:b/>
          <w:bCs/>
          <w:color w:val="8DA9C4"/>
          <w:sz w:val="15"/>
          <w:szCs w:val="15"/>
        </w:rPr>
        <w:t xml:space="preserve">V   </w:t>
      </w:r>
      <w:r>
        <w:rPr>
          <w:sz w:val="18"/>
          <w:szCs w:val="18"/>
        </w:rPr>
        <w:t xml:space="preserve">Luxonis. OAK-D / OAK-D Pro documentation and DepthAI SDK. Intel Movidius Myriad X VPU, 4 TOPS total (~1.4 TOPS for AI); 75 mm stereo baseline; OV9282 mono stereo pair with IMX378 12 MP RGB. docs.luxonis.com.</w:t>
      </w:r>
    </w:p>
    <w:p>
      <w:pPr>
        <w:spacing w:after="90" w:line="240" w:lineRule="auto"/>
        <w:ind w:left="620" w:hanging="620"/>
      </w:pPr>
      <w:r>
        <w:rPr>
          <w:rFonts w:ascii="Georgia" w:cs="Georgia" w:eastAsia="Georgia" w:hAnsi="Georgia"/>
          <w:b/>
          <w:bCs/>
          <w:color w:val="13315C"/>
          <w:sz w:val="18"/>
          <w:szCs w:val="18"/>
        </w:rPr>
        <w:t xml:space="preserve">[156] </w:t>
      </w:r>
      <w:r>
        <w:rPr>
          <w:rFonts w:ascii="Consolas" w:cs="Consolas" w:eastAsia="Consolas" w:hAnsi="Consolas"/>
          <w:b/>
          <w:bCs/>
          <w:color w:val="8DA9C4"/>
          <w:sz w:val="15"/>
          <w:szCs w:val="15"/>
        </w:rPr>
        <w:t xml:space="preserve">V   </w:t>
      </w:r>
      <w:r>
        <w:rPr>
          <w:sz w:val="18"/>
          <w:szCs w:val="18"/>
        </w:rPr>
        <w:t xml:space="preserve">Zubax Robotics. FluxGrip FG40 electro-permanent magnet datasheet. 70 g; up to 250 N (25 kgf) holding force against a 4 mm polished iron sheet; zero power to maintain state; switching current max 1 A; supply 4–30 V DC; 41×41×22 mm; IP68. Distribution restricted to EU domestic sales plus NATO members, the Commonwealth of Nations and Israel. files.zubax.com.</w:t>
      </w:r>
    </w:p>
    <w:p>
      <w:pPr>
        <w:spacing w:after="90" w:line="240" w:lineRule="auto"/>
        <w:ind w:left="620" w:hanging="620"/>
      </w:pPr>
      <w:r>
        <w:rPr>
          <w:rFonts w:ascii="Georgia" w:cs="Georgia" w:eastAsia="Georgia" w:hAnsi="Georgia"/>
          <w:b/>
          <w:bCs/>
          <w:color w:val="13315C"/>
          <w:sz w:val="18"/>
          <w:szCs w:val="18"/>
        </w:rPr>
        <w:t xml:space="preserve">[157] </w:t>
      </w:r>
      <w:r>
        <w:rPr>
          <w:rFonts w:ascii="Consolas" w:cs="Consolas" w:eastAsia="Consolas" w:hAnsi="Consolas"/>
          <w:b/>
          <w:bCs/>
          <w:color w:val="8DA9C4"/>
          <w:sz w:val="15"/>
          <w:szCs w:val="15"/>
        </w:rPr>
        <w:t xml:space="preserve">V   </w:t>
      </w:r>
      <w:r>
        <w:rPr>
          <w:sz w:val="18"/>
          <w:szCs w:val="18"/>
        </w:rPr>
        <w:t xml:space="preserve">MAVSDK. MAVLink SDK for drones. BSD 3-Clause. mavsdk.mavlink.io.</w:t>
      </w:r>
    </w:p>
    <w:p>
      <w:pPr>
        <w:spacing w:after="90" w:line="240" w:lineRule="auto"/>
        <w:ind w:left="620" w:hanging="620"/>
      </w:pPr>
      <w:r>
        <w:rPr>
          <w:rFonts w:ascii="Georgia" w:cs="Georgia" w:eastAsia="Georgia" w:hAnsi="Georgia"/>
          <w:b/>
          <w:bCs/>
          <w:color w:val="13315C"/>
          <w:sz w:val="18"/>
          <w:szCs w:val="18"/>
        </w:rPr>
        <w:t xml:space="preserve">[158] </w:t>
      </w:r>
      <w:r>
        <w:rPr>
          <w:rFonts w:ascii="Consolas" w:cs="Consolas" w:eastAsia="Consolas" w:hAnsi="Consolas"/>
          <w:b/>
          <w:bCs/>
          <w:color w:val="8DA9C4"/>
          <w:sz w:val="15"/>
          <w:szCs w:val="15"/>
        </w:rPr>
        <w:t xml:space="preserve">V   </w:t>
      </w:r>
      <w:r>
        <w:rPr>
          <w:sz w:val="18"/>
          <w:szCs w:val="18"/>
        </w:rPr>
        <w:t xml:space="preserve">pymavlink. LGPL v3. Low-level MAVLink 1 and 2 library with message-signing support. github.com/ArduPilot/pymavlink.</w:t>
      </w:r>
    </w:p>
    <w:p>
      <w:pPr>
        <w:spacing w:after="90" w:line="240" w:lineRule="auto"/>
        <w:ind w:left="620" w:hanging="620"/>
      </w:pPr>
      <w:r>
        <w:rPr>
          <w:rFonts w:ascii="Georgia" w:cs="Georgia" w:eastAsia="Georgia" w:hAnsi="Georgia"/>
          <w:b/>
          <w:bCs/>
          <w:color w:val="13315C"/>
          <w:sz w:val="18"/>
          <w:szCs w:val="18"/>
        </w:rPr>
        <w:t xml:space="preserve">[159] </w:t>
      </w:r>
      <w:r>
        <w:rPr>
          <w:rFonts w:ascii="Consolas" w:cs="Consolas" w:eastAsia="Consolas" w:hAnsi="Consolas"/>
          <w:b/>
          <w:bCs/>
          <w:color w:val="8DA9C4"/>
          <w:sz w:val="15"/>
          <w:szCs w:val="15"/>
        </w:rPr>
        <w:t xml:space="preserve">V   </w:t>
      </w:r>
      <w:r>
        <w:rPr>
          <w:sz w:val="18"/>
          <w:szCs w:val="18"/>
        </w:rPr>
        <w:t xml:space="preserve">DroneKit-Python. Apache License 2.0. github.com/dronekit/dronekit-python.</w:t>
      </w:r>
    </w:p>
    <w:p>
      <w:pPr>
        <w:spacing w:after="90" w:line="240" w:lineRule="auto"/>
        <w:ind w:left="620" w:hanging="620"/>
      </w:pPr>
      <w:r>
        <w:rPr>
          <w:rFonts w:ascii="Georgia" w:cs="Georgia" w:eastAsia="Georgia" w:hAnsi="Georgia"/>
          <w:b/>
          <w:bCs/>
          <w:color w:val="13315C"/>
          <w:sz w:val="18"/>
          <w:szCs w:val="18"/>
        </w:rPr>
        <w:t xml:space="preserve">[160] </w:t>
      </w:r>
      <w:r>
        <w:rPr>
          <w:rFonts w:ascii="Consolas" w:cs="Consolas" w:eastAsia="Consolas" w:hAnsi="Consolas"/>
          <w:b/>
          <w:bCs/>
          <w:color w:val="8DA9C4"/>
          <w:sz w:val="15"/>
          <w:szCs w:val="15"/>
        </w:rPr>
        <w:t xml:space="preserve">V   </w:t>
      </w:r>
      <w:r>
        <w:rPr>
          <w:sz w:val="18"/>
          <w:szCs w:val="18"/>
        </w:rPr>
        <w:t xml:space="preserve">PX4 Autopilot. Safety Configuration — Data Link Loss and GCS failsafes. Escalating Hold / Return / Land / Terminate actions enforced by the flight controller independently of the companion computer. docs.px4.io.</w:t>
      </w:r>
    </w:p>
    <w:p>
      <w:pPr>
        <w:spacing w:after="90" w:line="240" w:lineRule="auto"/>
        <w:ind w:left="620" w:hanging="620"/>
      </w:pPr>
      <w:r>
        <w:rPr>
          <w:rFonts w:ascii="Georgia" w:cs="Georgia" w:eastAsia="Georgia" w:hAnsi="Georgia"/>
          <w:b/>
          <w:bCs/>
          <w:color w:val="13315C"/>
          <w:sz w:val="18"/>
          <w:szCs w:val="18"/>
        </w:rPr>
        <w:t xml:space="preserve">[161] </w:t>
      </w:r>
      <w:r>
        <w:rPr>
          <w:rFonts w:ascii="Consolas" w:cs="Consolas" w:eastAsia="Consolas" w:hAnsi="Consolas"/>
          <w:b/>
          <w:bCs/>
          <w:color w:val="8DA9C4"/>
          <w:sz w:val="15"/>
          <w:szCs w:val="15"/>
        </w:rPr>
        <w:t xml:space="preserve">V   </w:t>
      </w:r>
      <w:r>
        <w:rPr>
          <w:sz w:val="18"/>
          <w:szCs w:val="18"/>
        </w:rPr>
        <w:t xml:space="preserve">ArduPilot. Servo Gripper documentation. GRIP_ENABLE, GRIP_TYPE, SERVOx_FUNCTION=28, DO_GRIPPER mission item. ardupilot.org/copter.</w:t>
      </w:r>
    </w:p>
    <w:p>
      <w:pPr>
        <w:spacing w:after="90" w:line="240" w:lineRule="auto"/>
        <w:ind w:left="620" w:hanging="620"/>
      </w:pPr>
      <w:r>
        <w:rPr>
          <w:rFonts w:ascii="Georgia" w:cs="Georgia" w:eastAsia="Georgia" w:hAnsi="Georgia"/>
          <w:b/>
          <w:bCs/>
          <w:color w:val="13315C"/>
          <w:sz w:val="18"/>
          <w:szCs w:val="18"/>
        </w:rPr>
        <w:t xml:space="preserve">[162] </w:t>
      </w:r>
      <w:r>
        <w:rPr>
          <w:rFonts w:ascii="Consolas" w:cs="Consolas" w:eastAsia="Consolas" w:hAnsi="Consolas"/>
          <w:b/>
          <w:bCs/>
          <w:color w:val="8DA9C4"/>
          <w:sz w:val="15"/>
          <w:szCs w:val="15"/>
        </w:rPr>
        <w:t xml:space="preserve">V   </w:t>
      </w:r>
      <w:r>
        <w:rPr>
          <w:sz w:val="18"/>
          <w:szCs w:val="18"/>
        </w:rPr>
        <w:t xml:space="preserve">ArduPilot EKF3 source selection (EK3_SRC1/2/3) and PX4 EKF2 GNSS checks (EKF2_GPS_CHECK, EKF2_GPS_MODE, EKF2_EV_CTRL); GNSS jamming_state and spoofing_state flags exposed in PX4 SensorGps.</w:t>
      </w:r>
    </w:p>
    <w:p>
      <w:pPr>
        <w:spacing w:after="90" w:line="240" w:lineRule="auto"/>
        <w:ind w:left="620" w:hanging="620"/>
      </w:pPr>
      <w:r>
        <w:rPr>
          <w:rFonts w:ascii="Georgia" w:cs="Georgia" w:eastAsia="Georgia" w:hAnsi="Georgia"/>
          <w:b/>
          <w:bCs/>
          <w:color w:val="13315C"/>
          <w:sz w:val="18"/>
          <w:szCs w:val="18"/>
        </w:rPr>
        <w:t xml:space="preserve">[163] </w:t>
      </w:r>
      <w:r>
        <w:rPr>
          <w:rFonts w:ascii="Consolas" w:cs="Consolas" w:eastAsia="Consolas" w:hAnsi="Consolas"/>
          <w:b/>
          <w:bCs/>
          <w:color w:val="8DA9C4"/>
          <w:sz w:val="15"/>
          <w:szCs w:val="15"/>
        </w:rPr>
        <w:t xml:space="preserve">V   </w:t>
      </w:r>
      <w:r>
        <w:rPr>
          <w:sz w:val="18"/>
          <w:szCs w:val="18"/>
        </w:rPr>
        <w:t xml:space="preserve">Spectacular AI. OAK-D visual-inertial odometry SDK. spectacularai.com.</w:t>
      </w:r>
    </w:p>
    <w:p>
      <w:pPr>
        <w:spacing w:after="90" w:line="240" w:lineRule="auto"/>
        <w:ind w:left="620" w:hanging="620"/>
      </w:pPr>
      <w:r>
        <w:rPr>
          <w:rFonts w:ascii="Georgia" w:cs="Georgia" w:eastAsia="Georgia" w:hAnsi="Georgia"/>
          <w:b/>
          <w:bCs/>
          <w:color w:val="13315C"/>
          <w:sz w:val="18"/>
          <w:szCs w:val="18"/>
        </w:rPr>
        <w:t xml:space="preserve">[164] </w:t>
      </w:r>
      <w:r>
        <w:rPr>
          <w:rFonts w:ascii="Consolas" w:cs="Consolas" w:eastAsia="Consolas" w:hAnsi="Consolas"/>
          <w:b/>
          <w:bCs/>
          <w:color w:val="8DA9C4"/>
          <w:sz w:val="15"/>
          <w:szCs w:val="15"/>
        </w:rPr>
        <w:t xml:space="preserve">V   </w:t>
      </w:r>
      <w:r>
        <w:rPr>
          <w:sz w:val="18"/>
          <w:szCs w:val="18"/>
        </w:rPr>
        <w:t xml:space="preserve">NVIDIA. Isaac ROS cuVSLAM — GPU-accelerated visual SLAM for Jetson. nvidia-isaac-ros.github.io.</w:t>
      </w:r>
    </w:p>
    <w:p>
      <w:pPr>
        <w:spacing w:after="90" w:line="240" w:lineRule="auto"/>
        <w:ind w:left="620" w:hanging="620"/>
      </w:pPr>
      <w:r>
        <w:rPr>
          <w:rFonts w:ascii="Georgia" w:cs="Georgia" w:eastAsia="Georgia" w:hAnsi="Georgia"/>
          <w:b/>
          <w:bCs/>
          <w:color w:val="13315C"/>
          <w:sz w:val="18"/>
          <w:szCs w:val="18"/>
        </w:rPr>
        <w:t xml:space="preserve">[165] </w:t>
      </w:r>
      <w:r>
        <w:rPr>
          <w:rFonts w:ascii="Consolas" w:cs="Consolas" w:eastAsia="Consolas" w:hAnsi="Consolas"/>
          <w:b/>
          <w:bCs/>
          <w:color w:val="8DA9C4"/>
          <w:sz w:val="15"/>
          <w:szCs w:val="15"/>
        </w:rPr>
        <w:t xml:space="preserve">V   </w:t>
      </w:r>
      <w:r>
        <w:rPr>
          <w:sz w:val="18"/>
          <w:szCs w:val="18"/>
        </w:rPr>
        <w:t xml:space="preserve">GMKtec. EVO-X1 mini-PC. AMD Ryzen AI 9 HX 370, ~50 TOPS NPU, 32 GB RAM. The ClawMaxxing central inference hub.</w:t>
      </w:r>
    </w:p>
    <w:p>
      <w:pPr>
        <w:spacing w:after="90" w:line="240" w:lineRule="auto"/>
        <w:ind w:left="620" w:hanging="620"/>
      </w:pPr>
      <w:r>
        <w:rPr>
          <w:rFonts w:ascii="Georgia" w:cs="Georgia" w:eastAsia="Georgia" w:hAnsi="Georgia"/>
          <w:b/>
          <w:bCs/>
          <w:color w:val="13315C"/>
          <w:sz w:val="18"/>
          <w:szCs w:val="18"/>
        </w:rPr>
        <w:t xml:space="preserve">[166] </w:t>
      </w:r>
      <w:r>
        <w:rPr>
          <w:rFonts w:ascii="Consolas" w:cs="Consolas" w:eastAsia="Consolas" w:hAnsi="Consolas"/>
          <w:b/>
          <w:bCs/>
          <w:color w:val="8DA9C4"/>
          <w:sz w:val="15"/>
          <w:szCs w:val="15"/>
        </w:rPr>
        <w:t xml:space="preserve">PP  </w:t>
      </w:r>
      <w:r>
        <w:rPr>
          <w:sz w:val="18"/>
          <w:szCs w:val="18"/>
        </w:rPr>
        <w:t xml:space="preserve">Yang, A. et al. “Qwen3 Technical Report.” arXiv:2505.09388 (2025). Qwen3-4B: 4.0 B parameters, 32,768 context. Apache 2.0.</w:t>
      </w:r>
    </w:p>
    <w:p>
      <w:pPr>
        <w:spacing w:after="90" w:line="240" w:lineRule="auto"/>
        <w:ind w:left="620" w:hanging="620"/>
      </w:pPr>
      <w:r>
        <w:rPr>
          <w:rFonts w:ascii="Georgia" w:cs="Georgia" w:eastAsia="Georgia" w:hAnsi="Georgia"/>
          <w:b/>
          <w:bCs/>
          <w:color w:val="13315C"/>
          <w:sz w:val="18"/>
          <w:szCs w:val="18"/>
        </w:rPr>
        <w:t xml:space="preserve">[167] </w:t>
      </w:r>
      <w:r>
        <w:rPr>
          <w:rFonts w:ascii="Consolas" w:cs="Consolas" w:eastAsia="Consolas" w:hAnsi="Consolas"/>
          <w:b/>
          <w:bCs/>
          <w:color w:val="8DA9C4"/>
          <w:sz w:val="15"/>
          <w:szCs w:val="15"/>
        </w:rPr>
        <w:t xml:space="preserve">V   </w:t>
      </w:r>
      <w:r>
        <w:rPr>
          <w:sz w:val="18"/>
          <w:szCs w:val="18"/>
        </w:rPr>
        <w:t xml:space="preserve">Google DeepMind. Gemma 3 model release, March 2025. 1B / 4B / 12B / 27B; 4B and above multimodal. ai.google.dev/gemma/docs/releases.</w:t>
      </w:r>
    </w:p>
    <w:p>
      <w:pPr>
        <w:spacing w:after="90" w:line="240" w:lineRule="auto"/>
        <w:ind w:left="620" w:hanging="620"/>
      </w:pPr>
      <w:r>
        <w:rPr>
          <w:rFonts w:ascii="Georgia" w:cs="Georgia" w:eastAsia="Georgia" w:hAnsi="Georgia"/>
          <w:b/>
          <w:bCs/>
          <w:color w:val="13315C"/>
          <w:sz w:val="18"/>
          <w:szCs w:val="18"/>
        </w:rPr>
        <w:t xml:space="preserve">[168] </w:t>
      </w:r>
      <w:r>
        <w:rPr>
          <w:rFonts w:ascii="Consolas" w:cs="Consolas" w:eastAsia="Consolas" w:hAnsi="Consolas"/>
          <w:b/>
          <w:bCs/>
          <w:color w:val="8DA9C4"/>
          <w:sz w:val="15"/>
          <w:szCs w:val="15"/>
        </w:rPr>
        <w:t xml:space="preserve">V   </w:t>
      </w:r>
      <w:r>
        <w:rPr>
          <w:sz w:val="18"/>
          <w:szCs w:val="18"/>
        </w:rPr>
        <w:t xml:space="preserve">Google. FunctionGemma 270M — function-calling variant of Gemma 3 270M, December 2025.</w:t>
      </w:r>
    </w:p>
    <w:p>
      <w:pPr>
        <w:spacing w:after="90" w:line="240" w:lineRule="auto"/>
        <w:ind w:left="620" w:hanging="620"/>
      </w:pPr>
      <w:r>
        <w:rPr>
          <w:rFonts w:ascii="Georgia" w:cs="Georgia" w:eastAsia="Georgia" w:hAnsi="Georgia"/>
          <w:b/>
          <w:bCs/>
          <w:color w:val="13315C"/>
          <w:sz w:val="18"/>
          <w:szCs w:val="18"/>
        </w:rPr>
        <w:t xml:space="preserve">[169] </w:t>
      </w:r>
      <w:r>
        <w:rPr>
          <w:rFonts w:ascii="Consolas" w:cs="Consolas" w:eastAsia="Consolas" w:hAnsi="Consolas"/>
          <w:b/>
          <w:bCs/>
          <w:color w:val="8DA9C4"/>
          <w:sz w:val="15"/>
          <w:szCs w:val="15"/>
        </w:rPr>
        <w:t xml:space="preserve">V   </w:t>
      </w:r>
      <w:r>
        <w:rPr>
          <w:sz w:val="18"/>
          <w:szCs w:val="18"/>
        </w:rPr>
        <w:t xml:space="preserve">Microsoft. Phi-4-mini-instruct, 3.8 B parameters. Hugging Face model card, microsoft/Phi-4-mini-instruct.</w:t>
      </w:r>
    </w:p>
    <w:p>
      <w:pPr>
        <w:spacing w:after="90" w:line="240" w:lineRule="auto"/>
        <w:ind w:left="620" w:hanging="620"/>
      </w:pPr>
      <w:r>
        <w:rPr>
          <w:rFonts w:ascii="Georgia" w:cs="Georgia" w:eastAsia="Georgia" w:hAnsi="Georgia"/>
          <w:b/>
          <w:bCs/>
          <w:color w:val="13315C"/>
          <w:sz w:val="18"/>
          <w:szCs w:val="18"/>
        </w:rPr>
        <w:t xml:space="preserve">[170] </w:t>
      </w:r>
      <w:r>
        <w:rPr>
          <w:rFonts w:ascii="Consolas" w:cs="Consolas" w:eastAsia="Consolas" w:hAnsi="Consolas"/>
          <w:b/>
          <w:bCs/>
          <w:color w:val="8DA9C4"/>
          <w:sz w:val="15"/>
          <w:szCs w:val="15"/>
        </w:rPr>
        <w:t xml:space="preserve">V   </w:t>
      </w:r>
      <w:r>
        <w:rPr>
          <w:sz w:val="18"/>
          <w:szCs w:val="18"/>
        </w:rPr>
        <w:t xml:space="preserve">Meta AI. Llama 3.2 1B and 3B models, September 2024. Llama 3.2 Community License. Llama 3.2 3B reports 63.4% MMLU.</w:t>
      </w:r>
    </w:p>
    <w:p>
      <w:pPr>
        <w:spacing w:after="90" w:line="240" w:lineRule="auto"/>
        <w:ind w:left="620" w:hanging="620"/>
      </w:pPr>
      <w:r>
        <w:rPr>
          <w:rFonts w:ascii="Georgia" w:cs="Georgia" w:eastAsia="Georgia" w:hAnsi="Georgia"/>
          <w:b/>
          <w:bCs/>
          <w:color w:val="13315C"/>
          <w:sz w:val="18"/>
          <w:szCs w:val="18"/>
        </w:rPr>
        <w:t xml:space="preserve">[171] </w:t>
      </w:r>
      <w:r>
        <w:rPr>
          <w:rFonts w:ascii="Consolas" w:cs="Consolas" w:eastAsia="Consolas" w:hAnsi="Consolas"/>
          <w:b/>
          <w:bCs/>
          <w:color w:val="8DA9C4"/>
          <w:sz w:val="15"/>
          <w:szCs w:val="15"/>
        </w:rPr>
        <w:t xml:space="preserve">V   </w:t>
      </w:r>
      <w:r>
        <w:rPr>
          <w:sz w:val="18"/>
          <w:szCs w:val="18"/>
        </w:rPr>
        <w:t xml:space="preserve">Hugging Face TB. SmolLM2 135M / 360M / 1.7B. Apache 2.0, late 2024.</w:t>
      </w:r>
    </w:p>
    <w:p>
      <w:pPr>
        <w:spacing w:after="90" w:line="240" w:lineRule="auto"/>
        <w:ind w:left="620" w:hanging="620"/>
      </w:pPr>
      <w:r>
        <w:rPr>
          <w:rFonts w:ascii="Georgia" w:cs="Georgia" w:eastAsia="Georgia" w:hAnsi="Georgia"/>
          <w:b/>
          <w:bCs/>
          <w:color w:val="13315C"/>
          <w:sz w:val="18"/>
          <w:szCs w:val="18"/>
        </w:rPr>
        <w:t xml:space="preserve">[172] </w:t>
      </w:r>
      <w:r>
        <w:rPr>
          <w:rFonts w:ascii="Consolas" w:cs="Consolas" w:eastAsia="Consolas" w:hAnsi="Consolas"/>
          <w:b/>
          <w:bCs/>
          <w:color w:val="8DA9C4"/>
          <w:sz w:val="15"/>
          <w:szCs w:val="15"/>
        </w:rPr>
        <w:t xml:space="preserve">PP  </w:t>
      </w:r>
      <w:r>
        <w:rPr>
          <w:sz w:val="18"/>
          <w:szCs w:val="18"/>
        </w:rPr>
        <w:t xml:space="preserve">Liquid AI. “LFM2 Technical Report.” arXiv:2511.23404 (2025). Dense 350M/700M/1.2B/2.6B plus LFM2-8B-A1B mixture-of-experts; LFM2.5 follow-on at liquid.ai.</w:t>
      </w:r>
    </w:p>
    <w:p>
      <w:pPr>
        <w:spacing w:after="90" w:line="240" w:lineRule="auto"/>
        <w:ind w:left="620" w:hanging="620"/>
      </w:pPr>
      <w:r>
        <w:rPr>
          <w:rFonts w:ascii="Georgia" w:cs="Georgia" w:eastAsia="Georgia" w:hAnsi="Georgia"/>
          <w:b/>
          <w:bCs/>
          <w:color w:val="13315C"/>
          <w:sz w:val="18"/>
          <w:szCs w:val="18"/>
        </w:rPr>
        <w:t xml:space="preserve">[173] </w:t>
      </w:r>
      <w:r>
        <w:rPr>
          <w:rFonts w:ascii="Consolas" w:cs="Consolas" w:eastAsia="Consolas" w:hAnsi="Consolas"/>
          <w:b/>
          <w:bCs/>
          <w:color w:val="8DA9C4"/>
          <w:sz w:val="15"/>
          <w:szCs w:val="15"/>
        </w:rPr>
        <w:t xml:space="preserve">PP  </w:t>
      </w:r>
      <w:r>
        <w:rPr>
          <w:sz w:val="18"/>
          <w:szCs w:val="18"/>
        </w:rPr>
        <w:t xml:space="preserve">DeepSeek-AI. “DeepSeek-R1: Incentivizing Reasoning Capability in LLMs via Reinforcement Learning.” arXiv:2501.12948 (2025).</w:t>
      </w:r>
    </w:p>
    <w:p>
      <w:pPr>
        <w:spacing w:after="90" w:line="240" w:lineRule="auto"/>
        <w:ind w:left="620" w:hanging="620"/>
      </w:pPr>
      <w:r>
        <w:rPr>
          <w:rFonts w:ascii="Georgia" w:cs="Georgia" w:eastAsia="Georgia" w:hAnsi="Georgia"/>
          <w:b/>
          <w:bCs/>
          <w:color w:val="13315C"/>
          <w:sz w:val="18"/>
          <w:szCs w:val="18"/>
        </w:rPr>
        <w:t xml:space="preserve">[174] </w:t>
      </w:r>
      <w:r>
        <w:rPr>
          <w:rFonts w:ascii="Consolas" w:cs="Consolas" w:eastAsia="Consolas" w:hAnsi="Consolas"/>
          <w:b/>
          <w:bCs/>
          <w:color w:val="8DA9C4"/>
          <w:sz w:val="15"/>
          <w:szCs w:val="15"/>
        </w:rPr>
        <w:t xml:space="preserve">V   </w:t>
      </w:r>
      <w:r>
        <w:rPr>
          <w:sz w:val="18"/>
          <w:szCs w:val="18"/>
        </w:rPr>
        <w:t xml:space="preserve">Clarke, M. Stanley: an autonomous person-following drone using the OAK-D Lite and MAVLink. github.com/Matchstic/stanley.</w:t>
      </w:r>
    </w:p>
    <w:p>
      <w:r>
        <w:br w:type="page"/>
      </w:r>
    </w:p>
    <w:p>
      <w:pPr>
        <w:pStyle w:val="Heading1"/>
      </w:pPr>
      <w:r>
        <w:rPr>
          <w:b/>
          <w:bCs/>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72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ALFUS</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Autonomy Levels for Unmanned Systems; the NIST taxonomy for describing degrees of autonomy.</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AWQ</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Activation-aware Weight Quantization; a post-training compression method for language models.</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Companion computer</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 general-purpose computer aboard an aircraft, distinct from the flight controller.</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Conditional capability</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 capability that depends on a network the system does not guarantee (§4.1).</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CRDT</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Conflict-free replicated data type; permits divergent replicas to converge without coordination.</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EKF</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Extended Kalman filter; fuses sensor measurements into a single state estimate.</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EPM</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Electro-permanent magnet; holds a ferrous load without continuous power.</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GNSS</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Global navigation satellite system; the family including GPS, Galileo, GLONASS, BeiDou.</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GUIDED</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An autopilot mode accepting position or velocity setpoints from a companion computer.</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Innovation test ratio</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The normalized disagreement between a measurement and the filter's prediction.</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Limb model</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An architecture in which cognition is remote and the device is a sensor-actuator platform (§4.2).</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Link independence</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The property that a capability survives loss of every non-guaranteed network (§4.1).</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MAVLink</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The standard messaging protocol between ground stations, autopilots and companion computers.</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MCP</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Model Context Protocol; a convention for exposing tools to language models.</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Meaningful human control</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Control satisfying the tracking and tracing conditions (§7.4).</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MTOW</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Maximum take-off weight.</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Peer model</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The adopted architecture: aircraft and hub are equals, neither required by the other (§4.2).</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SLM</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Small language model; conventionally under ~4B parameters.</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Symbol grounding</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The problem of connecting formal symbols to their referents in the world.</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TOPS</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Tera-operations per second; a coarse and frequently misleading accelerator metric (§6.3.1).</w:t>
            </w:r>
          </w:p>
        </w:tc>
      </w:tr>
      <w:tr>
        <w:tc>
          <w:tcPr>
            <w:tcW w:type="dxa" w:w="2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TTFT</w:t>
            </w:r>
          </w:p>
        </w:tc>
        <w:tc>
          <w:tcPr>
            <w:tcW w:type="dxa" w:w="72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Time to first token; the latency a user actually perceives.</w:t>
            </w:r>
          </w:p>
        </w:tc>
      </w:tr>
      <w:tr>
        <w:tc>
          <w:tcPr>
            <w:tcW w:type="dxa" w:w="2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VIO</w:t>
            </w:r>
          </w:p>
        </w:tc>
        <w:tc>
          <w:tcPr>
            <w:tcW w:type="dxa" w:w="72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Visual-inertial odometry; position estimation from camera and inertial data without satellites.</w:t>
            </w:r>
          </w:p>
        </w:tc>
      </w:tr>
    </w:tbl>
    <w:p>
      <w:r>
        <w:br w:type="page"/>
      </w:r>
    </w:p>
    <w:p>
      <w:pPr>
        <w:pStyle w:val="Heading1"/>
      </w:pPr>
      <w:r>
        <w:rPr>
          <w:b/>
          <w:bCs/>
        </w:rPr>
        <w:t xml:space="preserve">Appendix B. Key Figures Quick-Reference</w:t>
      </w:r>
    </w:p>
    <w:p>
      <w:pPr>
        <w:spacing w:after="200" w:line="300" w:lineRule="auto"/>
      </w:pPr>
      <w:r>
        <w:t xml:space="preserve">Every figure with its evidentiary type and confidence, per Section 2.2. This table is the paper's honesty surface: a reader who checks nothing else should be able to check this.</w:t>
      </w:r>
    </w:p>
    <w:p>
      <w:pPr>
        <w:pStyle w:val="Heading2"/>
      </w:pPr>
      <w:r>
        <w:rPr>
          <w:b/>
          <w:bCs/>
        </w:rPr>
        <w:t xml:space="preserve">B.1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100"/>
        <w:gridCol w:w="2560"/>
      </w:tblGrid>
      <w:tr>
        <w:trPr>
          <w:tblHeader/>
        </w:trPr>
        <w:tc>
          <w:tcPr>
            <w:tcW w:type="dxa" w:w="2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Figure</w:t>
            </w:r>
          </w:p>
        </w:tc>
        <w:tc>
          <w:tcPr>
            <w:tcW w:type="dxa" w:w="30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c>
          <w:tcPr>
            <w:tcW w:type="dxa" w:w="11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2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Confidence</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Orin NX 16 GB, Llama 3.2 3B</w:t>
            </w:r>
          </w:p>
        </w:tc>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45.8 tok/s vendor / ~17–25 real</w:t>
            </w:r>
          </w:p>
        </w:tc>
        <w:tc>
          <w:tcPr>
            <w:tcW w:type="dxa" w:w="1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 + IB</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High — both sourced</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Orin NX 16 GB, Llama 3.1 8B</w:t>
            </w:r>
          </w:p>
        </w:tc>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22.8 tok/s vendor / ~12–18 real</w:t>
            </w:r>
          </w:p>
        </w:tc>
        <w:tc>
          <w:tcPr>
            <w:tcW w:type="dxa" w:w="1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 + IB</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High</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Orin NX 16 GB, INT8 TOPS</w:t>
            </w:r>
          </w:p>
        </w:tc>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157 (sparse, Super Mode)</w:t>
            </w:r>
          </w:p>
        </w:tc>
        <w:tc>
          <w:tcPr>
            <w:tcW w:type="dxa" w:w="1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High</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AWQ speedup, 8B on Orin</w:t>
            </w:r>
          </w:p>
        </w:tc>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2.9× vs FP16</w:t>
            </w:r>
          </w:p>
        </w:tc>
        <w:tc>
          <w:tcPr>
            <w:tcW w:type="dxa" w:w="1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PR</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High — MLSys Best Paper</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Orin Nano Super, 3B</w:t>
            </w:r>
          </w:p>
        </w:tc>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43.1 tok/s vendor</w:t>
            </w:r>
          </w:p>
        </w:tc>
        <w:tc>
          <w:tcPr>
            <w:tcW w:type="dxa" w:w="1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Medium — vendor only</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Pi 5 CPU, Llama 3.2 3B</w:t>
            </w:r>
          </w:p>
        </w:tc>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~2–5 tok/s</w:t>
            </w:r>
          </w:p>
        </w:tc>
        <w:tc>
          <w:tcPr>
            <w:tcW w:type="dxa" w:w="1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IB</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High</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Pi 5 + Hailo-10H, 1.5B</w:t>
            </w:r>
          </w:p>
        </w:tc>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6.7–6.9 vs 9.04 on CPU</w:t>
            </w:r>
          </w:p>
        </w:tc>
        <w:tc>
          <w:tcPr>
            <w:tcW w:type="dxa" w:w="1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IB + PP</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High — two independent</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Hailo-10H, vendor-adjacent</w:t>
            </w:r>
          </w:p>
        </w:tc>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30–50 tok/s claimed</w:t>
            </w:r>
          </w:p>
        </w:tc>
        <w:tc>
          <w:tcPr>
            <w:tcW w:type="dxa" w:w="1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LOW — unreplicated</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Hailo original 7B / 5 W claim</w:t>
            </w:r>
          </w:p>
        </w:tc>
        <w:tc>
          <w:tcPr>
            <w:tcW w:type="dxa" w:w="30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Revised to ~2B / 2.5 W</w:t>
            </w:r>
          </w:p>
        </w:tc>
        <w:tc>
          <w:tcPr>
            <w:tcW w:type="dxa" w:w="11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IB</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PROVISIONAL — single-source</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Hailo-8 (AI HAT+), any LLM</w:t>
            </w:r>
          </w:p>
        </w:tc>
        <w:tc>
          <w:tcPr>
            <w:tcW w:type="dxa" w:w="30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Cannot execute</w:t>
            </w:r>
          </w:p>
        </w:tc>
        <w:tc>
          <w:tcPr>
            <w:tcW w:type="dxa" w:w="11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High — vendor documented</w:t>
            </w:r>
          </w:p>
        </w:tc>
      </w:tr>
    </w:tbl>
    <w:p>
      <w:pPr>
        <w:pStyle w:val="Heading2"/>
      </w:pPr>
      <w:r>
        <w:rPr>
          <w:b/>
          <w:bCs/>
        </w:rPr>
        <w:t xml:space="preserve">B.2 Airframe and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Figure</w:t>
            </w:r>
          </w:p>
        </w:tc>
        <w:tc>
          <w:tcPr>
            <w:tcW w:type="dxa" w:w="32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c>
          <w:tcPr>
            <w:tcW w:type="dxa" w:w="25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r>
      <w:tr>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X650 V2 payload, no battery</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4.3 kg</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X650 V2 payload, 5200 mAh / 750 g pack</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3.5 kg</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X650 V2 MTOW</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6,300 g at 70% throttle</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Baseboard assembly mass</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203.2 g</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OAK-D housed mass</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~300 g</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OAK-D vision processor</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4 TOPS total (~1.4 for AI)</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OAK-D stereo baseline</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75 mm</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FluxGrip FG40</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70 g / 250 N / zero idle</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r>
      <w:tr>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Installed payload total</w:t>
            </w:r>
          </w:p>
        </w:tc>
        <w:tc>
          <w:tcPr>
            <w:tcW w:type="dxa" w:w="32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~573 g (~16% of budget)</w:t>
            </w:r>
          </w:p>
        </w:tc>
        <w:tc>
          <w:tcPr>
            <w:tcW w:type="dxa" w:w="25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Derived</w:t>
            </w:r>
          </w:p>
        </w:tc>
      </w:tr>
      <w:tr>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Jetson sustained draw</w:t>
            </w:r>
          </w:p>
        </w:tc>
        <w:tc>
          <w:tcPr>
            <w:tcW w:type="dxa" w:w="32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15–40 W</w:t>
            </w:r>
          </w:p>
        </w:tc>
        <w:tc>
          <w:tcPr>
            <w:tcW w:type="dxa" w:w="25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w:t>
            </w:r>
          </w:p>
        </w:tc>
      </w:tr>
    </w:tbl>
    <w:p>
      <w:pPr>
        <w:pStyle w:val="Heading2"/>
      </w:pPr>
      <w:r>
        <w:rPr>
          <w:b/>
          <w:bCs/>
        </w:rPr>
        <w:t xml:space="preserve">B.3 Command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00"/>
        <w:gridCol w:w="900"/>
        <w:gridCol w:w="3160"/>
      </w:tblGrid>
      <w:tr>
        <w:trPr>
          <w:tblHeader/>
        </w:trPr>
        <w:tc>
          <w:tcPr>
            <w:tcW w:type="dxa" w:w="27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Figure</w:t>
            </w:r>
          </w:p>
        </w:tc>
        <w:tc>
          <w:tcPr>
            <w:tcW w:type="dxa" w:w="26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c>
          <w:tcPr>
            <w:tcW w:type="dxa" w:w="9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31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Note</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Gemma 3 / Qwen 2.5 / Llama 3.2</w:t>
            </w:r>
          </w:p>
        </w:tc>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100% valid commands</w:t>
            </w:r>
          </w:p>
        </w:tc>
        <w:tc>
          <w:tcPr>
            <w:tcW w:type="dxa" w:w="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PP</w:t>
            </w:r>
          </w:p>
        </w:tc>
        <w:tc>
          <w:tcPr>
            <w:tcW w:type="dxa" w:w="31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arXiv:2506.07509</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DeepSeek-LLM</w:t>
            </w:r>
          </w:p>
        </w:tc>
        <w:tc>
          <w:tcPr>
            <w:tcW w:type="dxa" w:w="2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38% valid commands</w:t>
            </w:r>
          </w:p>
        </w:tc>
        <w:tc>
          <w:tcPr>
            <w:tcW w:type="dxa" w:w="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PP</w:t>
            </w:r>
          </w:p>
        </w:tc>
        <w:tc>
          <w:tcPr>
            <w:tcW w:type="dxa" w:w="31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Same study</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Best end-to-end mission success</w:t>
            </w:r>
          </w:p>
        </w:tc>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40% (Gemma 3 LLM+VLM)</w:t>
            </w:r>
          </w:p>
        </w:tc>
        <w:tc>
          <w:tcPr>
            <w:tcW w:type="dxa" w:w="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PP</w:t>
            </w:r>
          </w:p>
        </w:tc>
        <w:tc>
          <w:tcPr>
            <w:tcW w:type="dxa" w:w="31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Same study — the honest number</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VLM binary object presence</w:t>
            </w:r>
          </w:p>
        </w:tc>
        <w:tc>
          <w:tcPr>
            <w:tcW w:type="dxa" w:w="2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97–100% valid</w:t>
            </w:r>
          </w:p>
        </w:tc>
        <w:tc>
          <w:tcPr>
            <w:tcW w:type="dxa" w:w="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PP</w:t>
            </w:r>
          </w:p>
        </w:tc>
        <w:tc>
          <w:tcPr>
            <w:tcW w:type="dxa" w:w="31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Same study</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SayCan, mock kitchen</w:t>
            </w:r>
          </w:p>
        </w:tc>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84% plan / 74% execute</w:t>
            </w:r>
          </w:p>
        </w:tc>
        <w:tc>
          <w:tcPr>
            <w:tcW w:type="dxa" w:w="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PP</w:t>
            </w:r>
          </w:p>
        </w:tc>
        <w:tc>
          <w:tcPr>
            <w:tcW w:type="dxa" w:w="31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101 tasks</w:t>
            </w:r>
          </w:p>
        </w:tc>
      </w:tr>
      <w:tr>
        <w:tc>
          <w:tcPr>
            <w:tcW w:type="dxa" w:w="27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SayCan, real kitchen</w:t>
            </w:r>
          </w:p>
        </w:tc>
        <w:tc>
          <w:tcPr>
            <w:tcW w:type="dxa" w:w="2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81% plan / 60% execute</w:t>
            </w:r>
          </w:p>
        </w:tc>
        <w:tc>
          <w:tcPr>
            <w:tcW w:type="dxa" w:w="9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PP</w:t>
            </w:r>
          </w:p>
        </w:tc>
        <w:tc>
          <w:tcPr>
            <w:tcW w:type="dxa" w:w="31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The drop is the finding</w:t>
            </w:r>
          </w:p>
        </w:tc>
      </w:tr>
      <w:tr>
        <w:tc>
          <w:tcPr>
            <w:tcW w:type="dxa" w:w="27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ORB-SLAM3 stereo-inertial</w:t>
            </w:r>
          </w:p>
        </w:tc>
        <w:tc>
          <w:tcPr>
            <w:tcW w:type="dxa" w:w="2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3.5 cm avg, EuRoC</w:t>
            </w:r>
          </w:p>
        </w:tc>
        <w:tc>
          <w:tcPr>
            <w:tcW w:type="dxa" w:w="9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PR</w:t>
            </w:r>
          </w:p>
        </w:tc>
        <w:tc>
          <w:tcPr>
            <w:tcW w:type="dxa" w:w="31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Dataset-specific</w:t>
            </w:r>
          </w:p>
        </w:tc>
      </w:tr>
    </w:tbl>
    <w:p>
      <w:pPr>
        <w:pBdr>
          <w:left w:val="single" w:color="134074" w:sz="18" w:space="12"/>
        </w:pBdr>
        <w:shd w:fill="EEF2F7" w:val="clear"/>
        <w:spacing w:after="200" w:before="60"/>
        <w:ind w:left="300" w:right="300"/>
      </w:pPr>
      <w:r>
        <w:rPr>
          <w:b/>
          <w:bCs/>
          <w:color w:val="134074"/>
          <w:sz w:val="22"/>
          <w:szCs w:val="22"/>
        </w:rPr>
        <w:t xml:space="preserve">▸ NOTE  </w:t>
      </w:r>
      <w:r>
        <w:rPr>
          <w:sz w:val="22"/>
          <w:szCs w:val="22"/>
        </w:rPr>
        <w:t xml:space="preserve">Note the pairing in B.3. The 100% figure and the 40% figure come from the same systems in the same study. Quoting the first without the second would be technically accurate and substantively misleading, which is the failure mode this paper's methodology exists to prevent.</w:t>
      </w:r>
    </w:p>
    <w:p>
      <w:r>
        <w:br w:type="page"/>
      </w:r>
    </w:p>
    <w:p>
      <w:pPr>
        <w:pStyle w:val="Heading1"/>
      </w:pPr>
      <w:r>
        <w:rPr>
          <w:b/>
          <w:bCs/>
        </w:rPr>
        <w:t xml:space="preserve">Appendix C. Acceptance Protocol</w:t>
      </w:r>
    </w:p>
    <w:p>
      <w:pPr>
        <w:spacing w:after="200" w:line="300" w:lineRule="auto"/>
      </w:pPr>
      <w:r>
        <w:t xml:space="preserve">The claims in this paper are design claims. This protocol converts them into measurements. Each stage is gated: proceed only on the success of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600"/>
        <w:gridCol w:w="2860"/>
      </w:tblGrid>
      <w:tr>
        <w:trPr>
          <w:tblHeader/>
        </w:trPr>
        <w:tc>
          <w:tcPr>
            <w:tcW w:type="dxa" w:w="5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24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Measurement</w:t>
            </w:r>
          </w:p>
        </w:tc>
        <w:tc>
          <w:tcPr>
            <w:tcW w:type="dxa" w:w="360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Method</w:t>
            </w:r>
          </w:p>
        </w:tc>
        <w:tc>
          <w:tcPr>
            <w:tcW w:type="dxa" w:w="2860"/>
            <w:tcBorders>
              <w:top w:val="single" w:color="B8C4D0" w:sz="1"/>
              <w:left w:val="single" w:color="B8C4D0" w:sz="1"/>
              <w:bottom w:val="single" w:color="B8C4D0" w:sz="1"/>
              <w:right w:val="single" w:color="B8C4D0" w:sz="1"/>
            </w:tcBorders>
            <w:shd w:fill="0B2545" w:val="clear"/>
            <w:tcMar>
              <w:top w:type="dxa" w:w="80"/>
              <w:left w:type="dxa" w:w="120"/>
              <w:bottom w:type="dxa" w:w="80"/>
              <w:right w:type="dxa" w:w="120"/>
            </w:tcMar>
          </w:tcPr>
          <w:p>
            <w:r>
              <w:rPr>
                <w:rFonts w:ascii="Georgia" w:cs="Georgia" w:eastAsia="Georgia" w:hAnsi="Georgia"/>
                <w:b/>
                <w:bCs/>
                <w:color w:val="FFFFFF"/>
                <w:sz w:val="20"/>
                <w:szCs w:val="20"/>
              </w:rPr>
              <w:t xml:space="preserve">Accept if</w:t>
            </w:r>
          </w:p>
        </w:tc>
      </w:tr>
      <w:tr>
        <w:tc>
          <w:tcPr>
            <w:tcW w:type="dxa" w:w="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GPU engagement</w:t>
            </w:r>
          </w:p>
        </w:tc>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Runtime reports non-zero GPU utilization</w:t>
            </w:r>
          </w:p>
        </w:tc>
        <w:tc>
          <w:tcPr>
            <w:tcW w:type="dxa" w:w="28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Non-zero</w:t>
            </w:r>
          </w:p>
        </w:tc>
      </w:tr>
      <w:tr>
        <w:tc>
          <w:tcPr>
            <w:tcW w:type="dxa" w:w="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2</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Throughput, 3B</w:t>
            </w:r>
          </w:p>
        </w:tc>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5 runs, discard first (cold load), average</w:t>
            </w:r>
          </w:p>
        </w:tc>
        <w:tc>
          <w:tcPr>
            <w:tcW w:type="dxa" w:w="28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 15 tok/s</w:t>
            </w:r>
          </w:p>
        </w:tc>
      </w:tr>
      <w:tr>
        <w:tc>
          <w:tcPr>
            <w:tcW w:type="dxa" w:w="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3</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Time to first token</w:t>
            </w:r>
          </w:p>
        </w:tc>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Same runs; latency to first output</w:t>
            </w:r>
          </w:p>
        </w:tc>
        <w:tc>
          <w:tcPr>
            <w:tcW w:type="dxa" w:w="28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 500 ms</w:t>
            </w:r>
          </w:p>
        </w:tc>
      </w:tr>
      <w:tr>
        <w:tc>
          <w:tcPr>
            <w:tcW w:type="dxa" w:w="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4</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Runtime comparison</w:t>
            </w:r>
          </w:p>
        </w:tc>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Same model under Ollama, llama.cpp, MLC</w:t>
            </w:r>
          </w:p>
        </w:tc>
        <w:tc>
          <w:tcPr>
            <w:tcW w:type="dxa" w:w="28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Select on measurement</w:t>
            </w:r>
          </w:p>
        </w:tc>
      </w:tr>
      <w:tr>
        <w:tc>
          <w:tcPr>
            <w:tcW w:type="dxa" w:w="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5</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LINK INDEPENDENCE</w:t>
            </w:r>
          </w:p>
        </w:tc>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All networks down; model answers</w:t>
            </w:r>
          </w:p>
        </w:tc>
        <w:tc>
          <w:tcPr>
            <w:tcW w:type="dxa" w:w="28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Answers</w:t>
            </w:r>
          </w:p>
        </w:tc>
      </w:tr>
      <w:tr>
        <w:tc>
          <w:tcPr>
            <w:tcW w:type="dxa" w:w="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6</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Thermal stability</w:t>
            </w:r>
          </w:p>
        </w:tc>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Sustained inference, full sortie duration</w:t>
            </w:r>
          </w:p>
        </w:tc>
        <w:tc>
          <w:tcPr>
            <w:tcW w:type="dxa" w:w="28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Temperature plateaus</w:t>
            </w:r>
          </w:p>
        </w:tc>
      </w:tr>
      <w:tr>
        <w:tc>
          <w:tcPr>
            <w:tcW w:type="dxa" w:w="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7</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Command validity</w:t>
            </w:r>
          </w:p>
        </w:tc>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100 varied phrasings incl. out-of-scope</w:t>
            </w:r>
          </w:p>
        </w:tc>
        <w:tc>
          <w:tcPr>
            <w:tcW w:type="dxa" w:w="28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100% valid or refused</w:t>
            </w:r>
          </w:p>
        </w:tc>
      </w:tr>
      <w:tr>
        <w:tc>
          <w:tcPr>
            <w:tcW w:type="dxa" w:w="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8</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Refusal behaviour</w:t>
            </w:r>
          </w:p>
        </w:tc>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Deliberately improper requests</w:t>
            </w:r>
          </w:p>
        </w:tc>
        <w:tc>
          <w:tcPr>
            <w:tcW w:type="dxa" w:w="28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Refuses; never invents</w:t>
            </w:r>
          </w:p>
        </w:tc>
      </w:tr>
      <w:tr>
        <w:tc>
          <w:tcPr>
            <w:tcW w:type="dxa" w:w="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9</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Failsafe independence</w:t>
            </w:r>
          </w:p>
        </w:tc>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Companion powered down; induce link loss</w:t>
            </w:r>
          </w:p>
        </w:tc>
        <w:tc>
          <w:tcPr>
            <w:tcW w:type="dxa" w:w="28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FC acts alone</w:t>
            </w:r>
          </w:p>
        </w:tc>
      </w:tr>
      <w:tr>
        <w:tc>
          <w:tcPr>
            <w:tcW w:type="dxa" w:w="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10</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Audit chain</w:t>
            </w:r>
          </w:p>
        </w:tc>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Edit one byte mid-chain; run verifier</w:t>
            </w:r>
          </w:p>
        </w:tc>
        <w:tc>
          <w:tcPr>
            <w:tcW w:type="dxa" w:w="28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Reports ALTERED at index</w:t>
            </w:r>
          </w:p>
        </w:tc>
      </w:tr>
      <w:tr>
        <w:tc>
          <w:tcPr>
            <w:tcW w:type="dxa" w:w="5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11</w:t>
            </w:r>
          </w:p>
        </w:tc>
        <w:tc>
          <w:tcPr>
            <w:tcW w:type="dxa" w:w="24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VIO switching</w:t>
            </w:r>
          </w:p>
        </w:tc>
        <w:tc>
          <w:tcPr>
            <w:tcW w:type="dxa" w:w="360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GNSS denied in Loiter, low altitude</w:t>
            </w:r>
          </w:p>
        </w:tc>
        <w:tc>
          <w:tcPr>
            <w:tcW w:type="dxa" w:w="2860"/>
            <w:tcBorders>
              <w:top w:val="single" w:color="B8C4D0" w:sz="1"/>
              <w:left w:val="single" w:color="B8C4D0" w:sz="1"/>
              <w:bottom w:val="single" w:color="B8C4D0" w:sz="1"/>
              <w:right w:val="single" w:color="B8C4D0" w:sz="1"/>
            </w:tcBorders>
            <w:shd w:fill="EEF2F7" w:val="clear"/>
            <w:tcMar>
              <w:top w:type="dxa" w:w="80"/>
              <w:left w:type="dxa" w:w="120"/>
              <w:bottom w:type="dxa" w:w="80"/>
              <w:right w:type="dxa" w:w="120"/>
            </w:tcMar>
          </w:tcPr>
          <w:p>
            <w:r>
              <w:rPr>
                <w:sz w:val="20"/>
                <w:szCs w:val="20"/>
              </w:rPr>
              <w:t xml:space="preserve">Drift &lt; 2 m</w:t>
            </w:r>
          </w:p>
        </w:tc>
      </w:tr>
      <w:tr>
        <w:tc>
          <w:tcPr>
            <w:tcW w:type="dxa" w:w="5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12</w:t>
            </w:r>
          </w:p>
        </w:tc>
        <w:tc>
          <w:tcPr>
            <w:tcW w:type="dxa" w:w="24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Endurance delta</w:t>
            </w:r>
          </w:p>
        </w:tc>
        <w:tc>
          <w:tcPr>
            <w:tcW w:type="dxa" w:w="360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Sortie with and without sustained inference</w:t>
            </w:r>
          </w:p>
        </w:tc>
        <w:tc>
          <w:tcPr>
            <w:tcW w:type="dxa" w:w="2860"/>
            <w:tcBorders>
              <w:top w:val="single" w:color="B8C4D0" w:sz="1"/>
              <w:left w:val="single" w:color="B8C4D0" w:sz="1"/>
              <w:bottom w:val="single" w:color="B8C4D0" w:sz="1"/>
              <w:right w:val="single" w:color="B8C4D0" w:sz="1"/>
            </w:tcBorders>
            <w:tcMar>
              <w:top w:type="dxa" w:w="80"/>
              <w:left w:type="dxa" w:w="120"/>
              <w:bottom w:type="dxa" w:w="80"/>
              <w:right w:type="dxa" w:w="120"/>
            </w:tcMar>
          </w:tcPr>
          <w:p>
            <w:r>
              <w:rPr>
                <w:sz w:val="20"/>
                <w:szCs w:val="20"/>
              </w:rPr>
              <w:t xml:space="preserve">Quantify — see §12.5</w:t>
            </w:r>
          </w:p>
        </w:tc>
      </w:tr>
    </w:tbl>
    <w:p>
      <w:pPr>
        <w:pBdr>
          <w:left w:val="single" w:color="1E8449" w:sz="18" w:space="12"/>
        </w:pBdr>
        <w:shd w:fill="E9F7EF" w:val="clear"/>
        <w:spacing w:after="200" w:before="60"/>
        <w:ind w:left="300" w:right="300"/>
      </w:pPr>
      <w:r>
        <w:rPr>
          <w:b/>
          <w:bCs/>
          <w:color w:val="1E8449"/>
          <w:sz w:val="22"/>
          <w:szCs w:val="22"/>
        </w:rPr>
        <w:t xml:space="preserve">✓ TIP  </w:t>
      </w:r>
      <w:r>
        <w:rPr>
          <w:sz w:val="22"/>
          <w:szCs w:val="22"/>
        </w:rPr>
        <w:t xml:space="preserve">Stage 5 is the one this entire paper exists to justify, and the one most likely to be skipped because it appears trivial. If the aircraft cannot reason with every network down, the architecture has silently reverted to the limb model and Section 4's criterion is unmet. Re-run it after every software change; introducing a hidden network dependency is remarkably easy and produces no symptom until the day it matters.</w:t>
      </w:r>
    </w:p>
    <w:p>
      <w:pPr>
        <w:pBdr>
          <w:left w:val="single" w:color="C0392B" w:sz="18" w:space="12"/>
        </w:pBdr>
        <w:shd w:fill="FDECEA" w:val="clear"/>
        <w:spacing w:after="200" w:before="60"/>
        <w:ind w:left="300" w:right="300"/>
      </w:pPr>
      <w:r>
        <w:rPr>
          <w:b/>
          <w:bCs/>
          <w:color w:val="C0392B"/>
          <w:sz w:val="22"/>
          <w:szCs w:val="22"/>
        </w:rPr>
        <w:t xml:space="preserve">⚠ WARNING  </w:t>
      </w:r>
      <w:r>
        <w:rPr>
          <w:sz w:val="22"/>
          <w:szCs w:val="22"/>
        </w:rPr>
        <w:t xml:space="preserve">Stage 12 measures the paper's largest unmeasured claim (§12.2). Section 6.6 argues that a well-configured node idles most of a sortie because command parsing is bursty and vision runs on the camera. That is an argument, not a result. It may be wrong.</w:t>
      </w:r>
    </w:p>
    <w:p>
      <w:r>
        <w:br w:type="page"/>
      </w:r>
    </w:p>
    <w:p>
      <w:pPr>
        <w:pStyle w:val="Heading1"/>
      </w:pPr>
      <w:r>
        <w:rPr>
          <w:b/>
          <w:bCs/>
        </w:rPr>
        <w:t xml:space="preserve">Appendix D. Annotated Source Map</w:t>
      </w:r>
    </w:p>
    <w:p>
      <w:pPr>
        <w:spacing w:after="200" w:line="300" w:lineRule="auto"/>
      </w:pPr>
      <w:r>
        <w:t xml:space="preserve">Orientation for a reader wishing to verify a specific class of claim without traversing the full reference list.</w:t>
      </w:r>
    </w:p>
    <w:p>
      <w:pPr>
        <w:pStyle w:val="Heading2"/>
      </w:pPr>
      <w:r>
        <w:rPr>
          <w:b/>
          <w:bCs/>
        </w:rPr>
        <w:t xml:space="preserve">D.1 The thesis</w:t>
      </w:r>
    </w:p>
    <w:p>
      <w:pPr>
        <w:spacing w:after="200" w:line="300" w:lineRule="auto"/>
      </w:pPr>
      <w:r>
        <w:t xml:space="preserve">The criterion's philosophical anchor is the local-first paper </w:t>
      </w:r>
      <w:r>
        <w:t xml:space="preserve">[19]</w:t>
      </w:r>
      <w:r>
        <w:t xml:space="preserve">; its technical substrate is the CRDT literature </w:t>
      </w:r>
      <w:r>
        <w:t xml:space="preserve">[20, 21]</w:t>
      </w:r>
      <w:r>
        <w:t xml:space="preserve">; its independent corroboration is the GNSS-security </w:t>
      </w:r>
      <w:r>
        <w:t xml:space="preserve">[66, 67, 68, 69]</w:t>
      </w:r>
      <w:r>
        <w:t xml:space="preserve"> and radio-link </w:t>
      </w:r>
      <w:r>
        <w:t xml:space="preserve">[75, 74]</w:t>
      </w:r>
      <w:r>
        <w:t xml:space="preserve"> literatures. The contrast case — edge placement motivated by latency rather than availability — is </w:t>
      </w:r>
      <w:r>
        <w:t xml:space="preserve">[22, 23]</w:t>
      </w:r>
      <w:r>
        <w:t xml:space="preserve">.</w:t>
      </w:r>
    </w:p>
    <w:p>
      <w:pPr>
        <w:pStyle w:val="Heading2"/>
      </w:pPr>
      <w:r>
        <w:rPr>
          <w:b/>
          <w:bCs/>
        </w:rPr>
        <w:t xml:space="preserve">D.2 Compute and inference</w:t>
      </w:r>
    </w:p>
    <w:p>
      <w:pPr>
        <w:spacing w:after="200" w:line="300" w:lineRule="auto"/>
      </w:pPr>
      <w:r>
        <w:t xml:space="preserve">Vendor ceilings and their methodology: </w:t>
      </w:r>
      <w:r>
        <w:t xml:space="preserve">[140, 141, 142]</w:t>
      </w:r>
      <w:r>
        <w:t xml:space="preserve">. Independent floors: </w:t>
      </w:r>
      <w:r>
        <w:t xml:space="preserve">[144, 150, 13]</w:t>
      </w:r>
      <w:r>
        <w:t xml:space="preserve">. The negative finding: </w:t>
      </w:r>
      <w:r>
        <w:t xml:space="preserve">[146, 147, 151]</w:t>
      </w:r>
      <w:r>
        <w:t xml:space="preserve">. The throughput dispute and its resolution: </w:t>
      </w:r>
      <w:r>
        <w:t xml:space="preserve">[148, 13, 149]</w:t>
      </w:r>
      <w:r>
        <w:t xml:space="preserve">. Compression: </w:t>
      </w:r>
      <w:r>
        <w:t xml:space="preserve">[8, 9, 10, 11]</w:t>
      </w:r>
      <w:r>
        <w:t xml:space="preserve">. Surveys: </w:t>
      </w:r>
      <w:r>
        <w:t xml:space="preserve">[1, 2, 3, 4, 5, 6]</w:t>
      </w:r>
      <w:r>
        <w:t xml:space="preserve">.</w:t>
      </w:r>
    </w:p>
    <w:p>
      <w:pPr>
        <w:pStyle w:val="Heading2"/>
      </w:pPr>
      <w:r>
        <w:rPr>
          <w:b/>
          <w:bCs/>
        </w:rPr>
        <w:t xml:space="preserve">D.3 The grounding objection</w:t>
      </w:r>
    </w:p>
    <w:p>
      <w:pPr>
        <w:spacing w:after="200" w:line="300" w:lineRule="auto"/>
      </w:pPr>
      <w:r>
        <w:t xml:space="preserve">The objection in its authors' own words: </w:t>
      </w:r>
      <w:r>
        <w:t xml:space="preserve">[37, 38]</w:t>
      </w:r>
      <w:r>
        <w:t xml:space="preserve">. Its philosophical statement: </w:t>
      </w:r>
      <w:r>
        <w:t xml:space="preserve">[45]</w:t>
      </w:r>
      <w:r>
        <w:t xml:space="preserve">. Its empirical characterization: </w:t>
      </w:r>
      <w:r>
        <w:t xml:space="preserve">[49]</w:t>
      </w:r>
      <w:r>
        <w:t xml:space="preserve">. The architectural resolution's basis: </w:t>
      </w:r>
      <w:r>
        <w:t xml:space="preserve">[91, 131, 139, 132]</w:t>
      </w:r>
      <w:r>
        <w:t xml:space="preserve">. The evidence that small models suffice for command generation: </w:t>
      </w:r>
      <w:r>
        <w:t xml:space="preserve">[36]</w:t>
      </w:r>
      <w:r>
        <w:t xml:space="preserve"> — the single most load-bearing citation in this paper.</w:t>
      </w:r>
    </w:p>
    <w:p>
      <w:pPr>
        <w:pStyle w:val="Heading2"/>
      </w:pPr>
      <w:r>
        <w:rPr>
          <w:b/>
          <w:bCs/>
        </w:rPr>
        <w:t xml:space="preserve">D.4 Human control</w:t>
      </w:r>
    </w:p>
    <w:p>
      <w:pPr>
        <w:spacing w:after="200" w:line="300" w:lineRule="auto"/>
      </w:pPr>
      <w:r>
        <w:t xml:space="preserve">The philosophical account: </w:t>
      </w:r>
      <w:r>
        <w:t xml:space="preserve">[90, 96]</w:t>
      </w:r>
      <w:r>
        <w:t xml:space="preserve">. The taxonomy: </w:t>
      </w:r>
      <w:r>
        <w:t xml:space="preserve">[91, 92]</w:t>
      </w:r>
      <w:r>
        <w:t xml:space="preserve">. The warning that gates degrade: </w:t>
      </w:r>
      <w:r>
        <w:t xml:space="preserve">[98, 93, 95, 94]</w:t>
      </w:r>
      <w:r>
        <w:t xml:space="preserve">. The responsibility gap: </w:t>
      </w:r>
      <w:r>
        <w:t xml:space="preserve">[97, 88]</w:t>
      </w:r>
      <w:r>
        <w:t xml:space="preserve">.</w:t>
      </w:r>
    </w:p>
    <w:p>
      <w:pPr>
        <w:pStyle w:val="Heading2"/>
      </w:pPr>
      <w:r>
        <w:rPr>
          <w:b/>
          <w:bCs/>
        </w:rPr>
        <w:t xml:space="preserve">D.5 Regulation and ethics</w:t>
      </w:r>
    </w:p>
    <w:p>
      <w:pPr>
        <w:spacing w:after="200" w:line="300" w:lineRule="auto"/>
      </w:pPr>
      <w:r>
        <w:t xml:space="preserve">Federal: </w:t>
      </w:r>
      <w:r>
        <w:t xml:space="preserve">[100, 101, 102, 103, 104, 105, 110, 106, 107, 111]</w:t>
      </w:r>
      <w:r>
        <w:t xml:space="preserve">. State: </w:t>
      </w:r>
      <w:r>
        <w:t xml:space="preserve">[108, 109]</w:t>
      </w:r>
      <w:r>
        <w:t xml:space="preserve">. Fourth Amendment: </w:t>
      </w:r>
      <w:r>
        <w:t xml:space="preserve">[112, 113, 114, 115, 116]</w:t>
      </w:r>
      <w:r>
        <w:t xml:space="preserve">. Ethics: </w:t>
      </w:r>
      <w:r>
        <w:t xml:space="preserve">[117, 118, 119, 121, 120]</w:t>
      </w:r>
      <w:r>
        <w:t xml:space="preserve">.</w:t>
      </w:r>
    </w:p>
    <w:p>
      <w:pPr>
        <w:spacing w:after="100"/>
      </w:pPr>
    </w:p>
    <w:p>
      <w:pPr>
        <w:jc w:val="center"/>
      </w:pPr>
      <w:r>
        <w:rPr>
          <w:i/>
          <w:iCs/>
          <w:color w:val="8A929A"/>
          <w:sz w:val="20"/>
          <w:szCs w:val="20"/>
        </w:rPr>
        <w:t xml:space="preserve">— End of Paper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08890"/>
        <w:sz w:val="16"/>
        <w:szCs w:val="16"/>
      </w:rPr>
      <w:t xml:space="preserve">Page </w:t>
    </w:r>
    <w:r>
      <w:rPr>
        <w:rFonts w:ascii="Georgia" w:cs="Georgia" w:eastAsia="Georgia" w:hAnsi="Georgia"/>
        <w:b/>
        <w:bCs/>
        <w:color w:val="13315C"/>
        <w:sz w:val="16"/>
        <w:szCs w:val="16"/>
      </w:rPr>
      <w:fldChar w:fldCharType="begin"/>
      <w:instrText xml:space="preserve">PAGE</w:instrText>
      <w:fldChar w:fldCharType="separate"/>
      <w:fldChar w:fldCharType="end"/>
    </w:r>
    <w:r>
      <w:rPr>
        <w:rFonts w:ascii="Georgia" w:cs="Georgia" w:eastAsia="Georgia" w:hAnsi="Georgia"/>
        <w:color w:val="9AA2AA"/>
        <w:sz w:val="14"/>
        <w:szCs w:val="14"/>
      </w:rPr>
      <w:t xml:space="preserve">  ·  Preprint · v1.0  ·  Patience pays.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DA9C4" w:sz="6" w:space="4"/>
      </w:pBdr>
      <w:tabs>
        <w:tab w:val="right" w:pos="9026"/>
      </w:tabs>
    </w:pPr>
    <w:r>
      <w:rPr>
        <w:rFonts w:ascii="Georgia" w:cs="Georgia" w:eastAsia="Georgia" w:hAnsi="Georgia"/>
        <w:i/>
        <w:iCs/>
        <w:color w:val="808890"/>
        <w:sz w:val="16"/>
        <w:szCs w:val="16"/>
      </w:rPr>
      <w:t xml:space="preserve">Link Independence for Local-First Multi-Agent AI · Garcia 2026</w:t>
    </w:r>
    <w:r>
      <w:rPr>
        <w:rFonts w:ascii="Georgia" w:cs="Georgia" w:eastAsia="Georgia" w:hAnsi="Georgia"/>
        <w:color w:val="8DA9C4"/>
        <w:sz w:val="14"/>
        <w:szCs w:val="14"/>
      </w:rPr>
      <w:t xml:space="preserve">	Preprint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DA9C4" w:sz="12" w:space="6"/>
      </w:pBdr>
      <w:spacing w:after="220" w:before="360"/>
      <w:outlineLvl w:val="0"/>
    </w:pPr>
    <w:rPr>
      <w:rFonts w:ascii="Georgia" w:cs="Georgia" w:eastAsia="Georgia" w:hAnsi="Georgia"/>
      <w:b/>
      <w:bCs/>
      <w:color w:val="0B2545"/>
      <w:sz w:val="30"/>
      <w:szCs w:val="30"/>
    </w:rPr>
  </w:style>
  <w:style w:type="paragraph" w:styleId="Heading2">
    <w:name w:val="Heading 2"/>
    <w:basedOn w:val="Normal"/>
    <w:next w:val="Normal"/>
    <w:qFormat/>
    <w:pPr>
      <w:spacing w:after="160" w:before="240"/>
      <w:outlineLvl w:val="1"/>
    </w:pPr>
    <w:rPr>
      <w:rFonts w:ascii="Georgia" w:cs="Georgia" w:eastAsia="Georgia" w:hAnsi="Georgia"/>
      <w:b/>
      <w:bCs/>
      <w:color w:val="13315C"/>
      <w:sz w:val="25"/>
      <w:szCs w:val="25"/>
    </w:rPr>
  </w:style>
  <w:style w:type="paragraph" w:styleId="Heading3">
    <w:name w:val="Heading 3"/>
    <w:basedOn w:val="Normal"/>
    <w:next w:val="Normal"/>
    <w:qFormat/>
    <w:pPr>
      <w:spacing w:after="110" w:before="180"/>
      <w:outlineLvl w:val="2"/>
    </w:pPr>
    <w:rPr>
      <w:rFonts w:ascii="Georgia" w:cs="Georgia" w:eastAsia="Georgia" w:hAnsi="Georgia"/>
      <w:b/>
      <w:bCs/>
      <w:color w:val="13407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2026-07-17T23:16:04.290Z</dcterms:created>
  <dcterms:modified xsi:type="dcterms:W3CDTF">2026-07-17T23:16:04.291Z</dcterms:modified>
</cp:coreProperties>
</file>

<file path=docProps/custom.xml><?xml version="1.0" encoding="utf-8"?>
<Properties xmlns="http://schemas.openxmlformats.org/officeDocument/2006/custom-properties" xmlns:vt="http://schemas.openxmlformats.org/officeDocument/2006/docPropsVTypes"/>
</file>