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60"/>
        <w:jc w:val="center"/>
      </w:pPr>
      <w:r>
        <w:rPr>
          <w:rFonts w:ascii="Calibri" w:cs="Calibri" w:eastAsia="Calibri" w:hAnsi="Calibri"/>
          <w:b/>
          <w:bCs/>
          <w:color w:val="1F3864"/>
          <w:sz w:val="56"/>
          <w:szCs w:val="56"/>
        </w:rPr>
        <w:t xml:space="preserve">Through the Looking Glass</w:t>
      </w:r>
    </w:p>
    <w:p>
      <w:pPr>
        <w:spacing w:after="240"/>
        <w:jc w:val="center"/>
      </w:pPr>
      <w:r>
        <w:rPr>
          <w:rFonts w:ascii="Calibri" w:cs="Calibri" w:eastAsia="Calibri" w:hAnsi="Calibri"/>
          <w:color w:val="2E75B6"/>
          <w:sz w:val="30"/>
          <w:szCs w:val="30"/>
        </w:rPr>
        <w:t xml:space="preserve">A Comprehensive History, Technical Analysis, and Future of Smart Glasses Technology</w:t>
      </w:r>
    </w:p>
    <w:p>
      <w:pPr>
        <w:spacing w:after="120"/>
        <w:jc w:val="center"/>
      </w:pPr>
      <w:r>
        <w:rPr>
          <w:rFonts w:ascii="Georgia" w:cs="Georgia" w:eastAsia="Georgia" w:hAnsi="Georgia"/>
          <w:i/>
          <w:iCs/>
          <w:sz w:val="24"/>
          <w:szCs w:val="24"/>
        </w:rPr>
        <w:t xml:space="preserve">From Military Head-Mounted Displays to Locally-Intelligent Consumer Eyewear</w:t>
      </w:r>
    </w:p>
    <w:p>
      <w:pPr>
        <w:spacing w:after="600"/>
      </w:pPr>
    </w:p>
    <w:p>
      <w:pPr>
        <w:spacing w:after="80"/>
        <w:jc w:val="center"/>
      </w:pPr>
      <w:r>
        <w:rPr>
          <w:rFonts w:ascii="Georgia" w:cs="Georgia" w:eastAsia="Georgia" w:hAnsi="Georgia"/>
          <w:sz w:val="28"/>
          <w:szCs w:val="28"/>
        </w:rPr>
        <w:t xml:space="preserve">Maximiliano Garcia</w:t>
      </w:r>
    </w:p>
    <w:p>
      <w:pPr>
        <w:spacing w:after="60"/>
        <w:jc w:val="center"/>
      </w:pPr>
      <w:r>
        <w:rPr>
          <w:rFonts w:ascii="Georgia" w:cs="Georgia" w:eastAsia="Georgia" w:hAnsi="Georgia"/>
          <w:sz w:val="22"/>
          <w:szCs w:val="22"/>
        </w:rPr>
        <w:t xml:space="preserve">University of Arkansas</w:t>
      </w:r>
    </w:p>
    <w:p>
      <w:pPr>
        <w:spacing w:after="60"/>
        <w:jc w:val="center"/>
      </w:pPr>
      <w:r>
        <w:rPr>
          <w:rFonts w:ascii="Georgia" w:cs="Georgia" w:eastAsia="Georgia" w:hAnsi="Georgia"/>
          <w:i/>
          <w:iCs/>
          <w:sz w:val="22"/>
          <w:szCs w:val="22"/>
        </w:rPr>
        <w:t xml:space="preserve">@the_maxgarcia</w:t>
      </w:r>
    </w:p>
    <w:p>
      <w:pPr>
        <w:spacing w:after="500"/>
      </w:pPr>
    </w:p>
    <w:p>
      <w:pPr>
        <w:spacing w:after="60"/>
        <w:jc w:val="center"/>
      </w:pPr>
      <w:r>
        <w:rPr>
          <w:rFonts w:ascii="Georgia" w:cs="Georgia" w:eastAsia="Georgia" w:hAnsi="Georgia"/>
          <w:b/>
          <w:bCs/>
          <w:sz w:val="24"/>
          <w:szCs w:val="24"/>
        </w:rPr>
        <w:t xml:space="preserve">Second Edition — July 2026</w:t>
      </w:r>
    </w:p>
    <w:p>
      <w:pPr>
        <w:spacing w:after="60"/>
        <w:jc w:val="center"/>
      </w:pPr>
      <w:r>
        <w:rPr>
          <w:rFonts w:ascii="Georgia" w:cs="Georgia" w:eastAsia="Georgia" w:hAnsi="Georgia"/>
          <w:i/>
          <w:iCs/>
          <w:color w:val="555555"/>
          <w:sz w:val="20"/>
          <w:szCs w:val="20"/>
        </w:rPr>
        <w:t xml:space="preserve">Revised and expanded with verified July 2026 market, framework, and clinical findings</w:t>
      </w:r>
    </w:p>
    <w:p>
      <w:pPr>
        <w:spacing w:after="60"/>
        <w:jc w:val="center"/>
      </w:pPr>
      <w:r>
        <w:rPr>
          <w:rFonts w:ascii="Georgia" w:cs="Georgia" w:eastAsia="Georgia" w:hAnsi="Georgia"/>
          <w:i/>
          <w:iCs/>
          <w:color w:val="555555"/>
          <w:sz w:val="20"/>
          <w:szCs w:val="20"/>
        </w:rPr>
        <w:t xml:space="preserve">122 Scholarly, Clinical, and Field-Expert Citations</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160" w:line="320"/>
        <w:jc w:val="both"/>
      </w:pPr>
      <w:r>
        <w:rPr>
          <w:rFonts w:ascii="Georgia" w:cs="Georgia" w:eastAsia="Georgia" w:hAnsi="Georgia"/>
          <w:sz w:val="22"/>
          <w:szCs w:val="22"/>
        </w:rPr>
        <w:t xml:space="preserve">Smart glasses represent one of the most ambitious convergences in modern computing: the effort to overlay digital intelligence onto human vision through a form factor indistinguishable from ordinary eyewear. This paper traces the complete arc of the technology from Ivan Sutherland's 1968 </w:t>
      </w:r>
      <w:r>
        <w:rPr>
          <w:rFonts w:ascii="Georgia" w:cs="Georgia" w:eastAsia="Georgia" w:hAnsi="Georgia"/>
          <w:i/>
          <w:iCs/>
          <w:sz w:val="22"/>
          <w:szCs w:val="22"/>
        </w:rPr>
        <w:t xml:space="preserve">Sword of Damocles</w:t>
      </w:r>
      <w:r>
        <w:rPr>
          <w:rFonts w:ascii="Georgia" w:cs="Georgia" w:eastAsia="Georgia" w:hAnsi="Georgia"/>
          <w:sz w:val="22"/>
          <w:szCs w:val="22"/>
        </w:rPr>
        <w:t xml:space="preserve"> head-mounted display, through Steve Mann's pioneering wearable-computing research of the 1980s and 1990s, the cautionary failure of Google Glass in 2013, and the consumer inflection that began in 2023 and accelerated through mid-2026 under Meta's partnership with EssilorLuxottica, which by mid-2026 had shipped several million units and extended into a dedicated own-brand line.</w:t>
      </w:r>
      <w:r>
        <w:rPr>
          <w:rFonts w:ascii="Georgia" w:cs="Georgia" w:eastAsia="Georgia" w:hAnsi="Georgia"/>
          <w:sz w:val="22"/>
          <w:szCs w:val="22"/>
          <w:vertAlign w:val="superscript"/>
        </w:rPr>
        <w:t xml:space="preserve"> [1]</w:t>
      </w:r>
      <w:r>
        <w:rPr>
          <w:rFonts w:ascii="Georgia" w:cs="Georgia" w:eastAsia="Georgia" w:hAnsi="Georgia"/>
          <w:sz w:val="22"/>
          <w:szCs w:val="22"/>
          <w:vertAlign w:val="superscript"/>
        </w:rPr>
        <w:t xml:space="preserve"> [4]</w:t>
      </w:r>
      <w:r>
        <w:rPr>
          <w:rFonts w:ascii="Georgia" w:cs="Georgia" w:eastAsia="Georgia" w:hAnsi="Georgia"/>
          <w:sz w:val="22"/>
          <w:szCs w:val="22"/>
          <w:vertAlign w:val="superscript"/>
        </w:rPr>
        <w:t xml:space="preserve"> [7]</w:t>
      </w:r>
    </w:p>
    <w:p>
      <w:pPr>
        <w:spacing w:after="160" w:line="320"/>
        <w:jc w:val="both"/>
      </w:pPr>
      <w:r>
        <w:rPr>
          <w:rFonts w:ascii="Georgia" w:cs="Georgia" w:eastAsia="Georgia" w:hAnsi="Georgia"/>
          <w:sz w:val="22"/>
          <w:szCs w:val="22"/>
        </w:rPr>
        <w:t xml:space="preserve">The paper examines the optical-engineering breakthroughs that made lightweight augmented-reality displays possible — micro-OLED and micro-LED microdisplays, diffractive and geometric waveguide combiners, holographic optical elements, and freeform optics — drawing on primary research from IEEE, ACM, Nature, Optica, and SPIE.</w:t>
      </w:r>
      <w:r>
        <w:rPr>
          <w:rFonts w:ascii="Georgia" w:cs="Georgia" w:eastAsia="Georgia" w:hAnsi="Georgia"/>
          <w:sz w:val="22"/>
          <w:szCs w:val="22"/>
          <w:vertAlign w:val="superscript"/>
        </w:rPr>
        <w:t xml:space="preserve"> [B1]</w:t>
      </w:r>
      <w:r>
        <w:rPr>
          <w:rFonts w:ascii="Georgia" w:cs="Georgia" w:eastAsia="Georgia" w:hAnsi="Georgia"/>
          <w:sz w:val="22"/>
          <w:szCs w:val="22"/>
          <w:vertAlign w:val="superscript"/>
        </w:rPr>
        <w:t xml:space="preserve"> [B18]</w:t>
      </w:r>
      <w:r>
        <w:rPr>
          <w:rFonts w:ascii="Georgia" w:cs="Georgia" w:eastAsia="Georgia" w:hAnsi="Georgia"/>
          <w:sz w:val="22"/>
          <w:szCs w:val="22"/>
        </w:rPr>
        <w:t xml:space="preserve"> Eye-health implications are analyzed through the peer-reviewed literature on blue-light exposure, the vergence-accommodation conflict, digital eye strain in near-eye displays, and contact-lens compatibility, incorporating the 2023 Cochrane systematic review and the current consensus of the American Academy of Ophthalmology.</w:t>
      </w:r>
      <w:r>
        <w:rPr>
          <w:rFonts w:ascii="Georgia" w:cs="Georgia" w:eastAsia="Georgia" w:hAnsi="Georgia"/>
          <w:sz w:val="22"/>
          <w:szCs w:val="22"/>
          <w:vertAlign w:val="superscript"/>
        </w:rPr>
        <w:t xml:space="preserve"> [E1]</w:t>
      </w:r>
      <w:r>
        <w:rPr>
          <w:rFonts w:ascii="Georgia" w:cs="Georgia" w:eastAsia="Georgia" w:hAnsi="Georgia"/>
          <w:sz w:val="22"/>
          <w:szCs w:val="22"/>
          <w:vertAlign w:val="superscript"/>
        </w:rPr>
        <w:t xml:space="preserve"> [E13]</w:t>
      </w:r>
      <w:r>
        <w:rPr>
          <w:rFonts w:ascii="Georgia" w:cs="Georgia" w:eastAsia="Georgia" w:hAnsi="Georgia"/>
          <w:sz w:val="22"/>
          <w:szCs w:val="22"/>
        </w:rPr>
        <w:t xml:space="preserve"> Privacy and social acceptance are reviewed through human-computer-interaction studies spanning the </w:t>
      </w:r>
      <w:r>
        <w:rPr>
          <w:rFonts w:ascii="Georgia" w:cs="Georgia" w:eastAsia="Georgia" w:hAnsi="Georgia"/>
          <w:i/>
          <w:iCs/>
          <w:sz w:val="22"/>
          <w:szCs w:val="22"/>
        </w:rPr>
        <w:t xml:space="preserve">Glasshole</w:t>
      </w:r>
      <w:r>
        <w:rPr>
          <w:rFonts w:ascii="Georgia" w:cs="Georgia" w:eastAsia="Georgia" w:hAnsi="Georgia"/>
          <w:sz w:val="22"/>
          <w:szCs w:val="22"/>
        </w:rPr>
        <w:t xml:space="preserve"> phenomenon to contemporary wearer-bystander tension and on-device facial-recognition controversy.</w:t>
      </w:r>
      <w:r>
        <w:rPr>
          <w:rFonts w:ascii="Georgia" w:cs="Georgia" w:eastAsia="Georgia" w:hAnsi="Georgia"/>
          <w:sz w:val="22"/>
          <w:szCs w:val="22"/>
          <w:vertAlign w:val="superscript"/>
        </w:rPr>
        <w:t xml:space="preserve"> [F1]</w:t>
      </w:r>
      <w:r>
        <w:rPr>
          <w:rFonts w:ascii="Georgia" w:cs="Georgia" w:eastAsia="Georgia" w:hAnsi="Georgia"/>
          <w:sz w:val="22"/>
          <w:szCs w:val="22"/>
          <w:vertAlign w:val="superscript"/>
        </w:rPr>
        <w:t xml:space="preserve"> [F13]</w:t>
      </w:r>
    </w:p>
    <w:p>
      <w:pPr>
        <w:spacing w:after="160" w:line="320"/>
        <w:jc w:val="both"/>
      </w:pPr>
      <w:r>
        <w:rPr>
          <w:rFonts w:ascii="Georgia" w:cs="Georgia" w:eastAsia="Georgia" w:hAnsi="Georgia"/>
          <w:sz w:val="22"/>
          <w:szCs w:val="22"/>
        </w:rPr>
        <w:t xml:space="preserve">Finally, the paper analyzes the emerging paradigm of local, cloud-independent artificial intelligence integrated with smart glasses. It documents the verified state of the open-source OpenClaw agent framework and the VisionClaw bridge, the constraints of Meta's Wearables Device Access Toolkit, and the practical engineering of a fully-local perception loop — local vision-language models, on-device speech recognition, and neural text-to-speech — on consumer AMD hardware. This edition corrects several claims that circulated in the first edition and in contemporaneous large-language-model outputs, and it distinguishes throughout between verified fact, vendor-reported figures, and leak-based speculation. One hundred twenty-two sources are cited across ten research categories.</w:t>
      </w:r>
      <w:r>
        <w:rPr>
          <w:rFonts w:ascii="Georgia" w:cs="Georgia" w:eastAsia="Georgia" w:hAnsi="Georgia"/>
          <w:sz w:val="22"/>
          <w:szCs w:val="22"/>
          <w:vertAlign w:val="superscript"/>
        </w:rPr>
        <w:t xml:space="preserve"> [I1]</w:t>
      </w:r>
      <w:r>
        <w:rPr>
          <w:rFonts w:ascii="Georgia" w:cs="Georgia" w:eastAsia="Georgia" w:hAnsi="Georgia"/>
          <w:sz w:val="22"/>
          <w:szCs w:val="22"/>
          <w:vertAlign w:val="superscript"/>
        </w:rPr>
        <w:t xml:space="preserve"> [I13]</w:t>
      </w:r>
    </w:p>
    <w:p>
      <w:pPr>
        <w:spacing w:after="160" w:line="320"/>
        <w:jc w:val="both"/>
      </w:pPr>
      <w:r>
        <w:rPr>
          <w:rFonts w:ascii="Georgia" w:cs="Georgia" w:eastAsia="Georgia" w:hAnsi="Georgia"/>
          <w:b/>
          <w:bCs/>
          <w:sz w:val="22"/>
          <w:szCs w:val="22"/>
        </w:rPr>
        <w:t xml:space="preserve">Keywords: </w:t>
      </w:r>
      <w:r>
        <w:rPr>
          <w:rFonts w:ascii="Georgia" w:cs="Georgia" w:eastAsia="Georgia" w:hAnsi="Georgia"/>
          <w:i/>
          <w:iCs/>
          <w:sz w:val="22"/>
          <w:szCs w:val="22"/>
        </w:rPr>
        <w:t xml:space="preserve">smart glasses, augmented reality, head-mounted displays, wearable computing, micro-OLED, waveguide optics, Ray-Ban Meta, OpenClaw, VisionClaw, local large language models, digital eye strain, vergence-accommodation conflict, privacy, edge AI, agentic computing</w:t>
      </w:r>
    </w:p>
    <w:p>
      <w:r>
        <w:br w:type="page"/>
      </w:r>
    </w:p>
    <w:p>
      <w:pPr>
        <w:pStyle w:val="Heading1"/>
      </w:pPr>
      <w:r>
        <w:t xml:space="preserve">Executive Summary</w:t>
      </w:r>
    </w:p>
    <w:p>
      <w:pPr>
        <w:spacing w:after="160" w:line="320"/>
        <w:jc w:val="both"/>
      </w:pPr>
      <w:r>
        <w:rPr>
          <w:rFonts w:ascii="Georgia" w:cs="Georgia" w:eastAsia="Georgia" w:hAnsi="Georgia"/>
          <w:sz w:val="22"/>
          <w:szCs w:val="22"/>
        </w:rPr>
        <w:t xml:space="preserve">This paper makes four principal arguments, each grounded in verified primary sources and each carrying practical implications for anyone building or buying into smart-glasses technology in 2026.</w:t>
      </w:r>
    </w:p>
    <w:p>
      <w:pPr>
        <w:spacing w:after="160" w:line="320"/>
        <w:jc w:val="both"/>
      </w:pPr>
      <w:r>
        <w:rPr>
          <w:rFonts w:ascii="Georgia" w:cs="Georgia" w:eastAsia="Georgia" w:hAnsi="Georgia"/>
          <w:b/>
          <w:bCs/>
          <w:sz w:val="22"/>
          <w:szCs w:val="22"/>
        </w:rPr>
        <w:t xml:space="preserve">First, the category has crossed into the mainstream, and it did so by solving a social problem before a technical one. </w:t>
      </w:r>
      <w:r>
        <w:rPr>
          <w:rFonts w:ascii="Georgia" w:cs="Georgia" w:eastAsia="Georgia" w:hAnsi="Georgia"/>
          <w:sz w:val="22"/>
          <w:szCs w:val="22"/>
        </w:rPr>
        <w:t xml:space="preserve">Google Glass failed in 2013 not because its technology was inadequate but because it was socially unacceptable. Meta succeeded a decade later by partnering with a major eyewear house to make glasses that look ordinary, treating aesthetic normality as the precondition for everything else. The lesson — that adoption is gated by social conspicuousness at least as much as by capability — is the organizing insight of the entire field and is confirmed by the technology-acceptance literature.</w:t>
      </w:r>
    </w:p>
    <w:p>
      <w:pPr>
        <w:spacing w:after="160" w:line="320"/>
        <w:jc w:val="both"/>
      </w:pPr>
      <w:r>
        <w:rPr>
          <w:rFonts w:ascii="Georgia" w:cs="Georgia" w:eastAsia="Georgia" w:hAnsi="Georgia"/>
          <w:b/>
          <w:bCs/>
          <w:sz w:val="22"/>
          <w:szCs w:val="22"/>
        </w:rPr>
        <w:t xml:space="preserve">Second, the popular anxieties about eye health are largely misplaced, while the real concerns are manageable. </w:t>
      </w:r>
      <w:r>
        <w:rPr>
          <w:rFonts w:ascii="Georgia" w:cs="Georgia" w:eastAsia="Georgia" w:hAnsi="Georgia"/>
          <w:sz w:val="22"/>
          <w:szCs w:val="22"/>
        </w:rPr>
        <w:t xml:space="preserve">The strongest available evidence, a Cochrane systematic review of seventeen randomized trials together with the position of the American Academy of Ophthalmology, finds no benefit from blue-light-filtering lenses and no evidence of blue-light retinal harm from consumer devices. The genuine issues — digital eye strain from prolonged use and, in display models, the vergence-accommodation conflict — are real but addressable through established practice. For contact-lens wearers specifically, smart glasses require no special accommodation beyond ordinary lens hygiene.</w:t>
      </w:r>
    </w:p>
    <w:p>
      <w:pPr>
        <w:spacing w:after="160" w:line="320"/>
        <w:jc w:val="both"/>
      </w:pPr>
      <w:r>
        <w:rPr>
          <w:rFonts w:ascii="Georgia" w:cs="Georgia" w:eastAsia="Georgia" w:hAnsi="Georgia"/>
          <w:b/>
          <w:bCs/>
          <w:sz w:val="22"/>
          <w:szCs w:val="22"/>
        </w:rPr>
        <w:t xml:space="preserve">Third, the decisive frontier has shifted from what glasses display to where their intelligence runs. </w:t>
      </w:r>
      <w:r>
        <w:rPr>
          <w:rFonts w:ascii="Georgia" w:cs="Georgia" w:eastAsia="Georgia" w:hAnsi="Georgia"/>
          <w:sz w:val="22"/>
          <w:szCs w:val="22"/>
        </w:rPr>
        <w:t xml:space="preserve">The same open-source tooling that routes a pair of Meta glasses to a cloud model can, with additional engineering, route it entirely to hardware the user owns. This paper documents that this local-first architecture is real and buildable today — in shipping open-source code, not merely in principle — while being candid about its present limitations in latency and the specific awkwardness of consumer AMD hardware for local vision inference.</w:t>
      </w:r>
    </w:p>
    <w:p>
      <w:pPr>
        <w:spacing w:after="160" w:line="320"/>
        <w:jc w:val="both"/>
      </w:pPr>
      <w:r>
        <w:rPr>
          <w:rFonts w:ascii="Georgia" w:cs="Georgia" w:eastAsia="Georgia" w:hAnsi="Georgia"/>
          <w:b/>
          <w:bCs/>
          <w:sz w:val="22"/>
          <w:szCs w:val="22"/>
        </w:rPr>
        <w:t xml:space="preserve">Fourth, verification is itself a central challenge of the field, and this edition practices what it argues. </w:t>
      </w:r>
      <w:r>
        <w:rPr>
          <w:rFonts w:ascii="Georgia" w:cs="Georgia" w:eastAsia="Georgia" w:hAnsi="Georgia"/>
          <w:sz w:val="22"/>
          <w:szCs w:val="22"/>
        </w:rPr>
        <w:t xml:space="preserve">Several claims in the first edition and in contemporaneous machine-generated text proved, on checking, to be wrong — most consequentially a citation-count figure for a key framework and the existence of a purpose-built product that does not ship. In a domain saturated with promotional and machine-generated content, specific figures should be treated as hypotheses until checked against primary sources. This is not a rhetorical posture but a research methodology that materially changed the content of this paper.</w:t>
      </w:r>
    </w:p>
    <w:p>
      <w:pPr>
        <w:pBdr>
          <w:top w:val="single" w:color="CCCCCC" w:sz="4" w:space="6"/>
          <w:bottom w:val="single" w:color="CCCCCC" w:sz="4" w:space="6"/>
          <w:left w:val="single" w:color="CCCCCC" w:sz="4" w:space="6"/>
          <w:right w:val="single" w:color="CCCCCC" w:sz="4" w:space="6"/>
        </w:pBdr>
        <w:shd w:fill="FEF6E0" w:val="clear"/>
        <w:spacing w:after="160" w:before="120" w:line="300"/>
        <w:ind w:left="200" w:right="200"/>
      </w:pPr>
      <w:r>
        <w:rPr>
          <w:rFonts w:ascii="Calibri" w:cs="Calibri" w:eastAsia="Calibri" w:hAnsi="Calibri"/>
          <w:b/>
          <w:bCs/>
          <w:color w:val="1E1E2E"/>
          <w:sz w:val="20"/>
          <w:szCs w:val="20"/>
        </w:rPr>
        <w:t xml:space="preserve">FOR THE PRACTITIONER  </w:t>
      </w:r>
      <w:r>
        <w:rPr>
          <w:rFonts w:ascii="Calibri" w:cs="Calibri" w:eastAsia="Calibri" w:hAnsi="Calibri"/>
          <w:color w:val="1E1E2E"/>
          <w:sz w:val="20"/>
          <w:szCs w:val="20"/>
        </w:rPr>
        <w:t xml:space="preserve">If you want everyday discreet wear with a camera for local AI: the second-generation Ray-Ban Meta with Transitions remains the strongest shipping choice, though waiting until after Meta Connect (23–24 September 2026) is rational if you need long always-on sessions. Route intelligence locally via OpenClaw + Ollama; expect a turn-based rather than seamless experience until local vision inference and hardware acceleration mature. Treat the agent-orchestration layer as the least stable part of your stack.</w:t>
      </w:r>
    </w:p>
    <w:p>
      <w:r>
        <w:br w:type="page"/>
      </w:r>
    </w:p>
    <w:p>
      <w:pPr>
        <w:pStyle w:val="Heading1"/>
      </w:pPr>
      <w:r>
        <w:t xml:space="preserve">1. Introduction</w:t>
      </w:r>
    </w:p>
    <w:p>
      <w:pPr>
        <w:spacing w:after="160" w:line="320"/>
        <w:jc w:val="both"/>
      </w:pPr>
      <w:r>
        <w:rPr>
          <w:rFonts w:ascii="Georgia" w:cs="Georgia" w:eastAsia="Georgia" w:hAnsi="Georgia"/>
          <w:sz w:val="22"/>
          <w:szCs w:val="22"/>
        </w:rPr>
        <w:t xml:space="preserve">The idea of augmenting human vision with digital information is older than the personal computer. In 1968, Ivan Sutherland and his student Bob Sproull at Harvard University constructed what is widely regarded as the first head-mounted display system — a stereoscopic device so heavy it had to be suspended from the ceiling, earning the nickname </w:t>
      </w:r>
      <w:r>
        <w:rPr>
          <w:rFonts w:ascii="Georgia" w:cs="Georgia" w:eastAsia="Georgia" w:hAnsi="Georgia"/>
          <w:i/>
          <w:iCs/>
          <w:sz w:val="22"/>
          <w:szCs w:val="22"/>
        </w:rPr>
        <w:t xml:space="preserve">The Sword of Damocles.</w:t>
      </w:r>
      <w:r>
        <w:rPr>
          <w:rFonts w:ascii="Georgia" w:cs="Georgia" w:eastAsia="Georgia" w:hAnsi="Georgia"/>
          <w:sz w:val="22"/>
          <w:szCs w:val="22"/>
          <w:vertAlign w:val="superscript"/>
        </w:rPr>
        <w:t xml:space="preserve"> [1]</w:t>
      </w:r>
      <w:r>
        <w:rPr>
          <w:rFonts w:ascii="Georgia" w:cs="Georgia" w:eastAsia="Georgia" w:hAnsi="Georgia"/>
          <w:sz w:val="22"/>
          <w:szCs w:val="22"/>
        </w:rPr>
        <w:t xml:space="preserve"> The device rendered simple wireframe graphics registered to the physical world, establishing the foundational concept that would take nearly six decades to reach genuine consumer viability. By mid-2026, that concept has arrived at scale: Meta's smart glasses have shipped in the millions, Meta has launched a lower-priced own-brand line, Google and Samsung are preparing Android XR glasses for the autumn, and the global smart-glasses market is measured in billions of dollars with double-digit compound annual growth.</w:t>
      </w:r>
      <w:r>
        <w:rPr>
          <w:rFonts w:ascii="Georgia" w:cs="Georgia" w:eastAsia="Georgia" w:hAnsi="Georgia"/>
          <w:sz w:val="22"/>
          <w:szCs w:val="22"/>
          <w:vertAlign w:val="superscript"/>
        </w:rPr>
        <w:t xml:space="preserve"> [I1]</w:t>
      </w:r>
      <w:r>
        <w:rPr>
          <w:rFonts w:ascii="Georgia" w:cs="Georgia" w:eastAsia="Georgia" w:hAnsi="Georgia"/>
          <w:sz w:val="22"/>
          <w:szCs w:val="22"/>
          <w:vertAlign w:val="superscript"/>
        </w:rPr>
        <w:t xml:space="preserve"> [I2]</w:t>
      </w:r>
      <w:r>
        <w:rPr>
          <w:rFonts w:ascii="Georgia" w:cs="Georgia" w:eastAsia="Georgia" w:hAnsi="Georgia"/>
          <w:sz w:val="22"/>
          <w:szCs w:val="22"/>
          <w:vertAlign w:val="superscript"/>
        </w:rPr>
        <w:t xml:space="preserve"> [I4]</w:t>
      </w:r>
    </w:p>
    <w:p>
      <w:pPr>
        <w:spacing w:after="160" w:line="320"/>
        <w:jc w:val="both"/>
      </w:pPr>
      <w:r>
        <w:rPr>
          <w:rFonts w:ascii="Georgia" w:cs="Georgia" w:eastAsia="Georgia" w:hAnsi="Georgia"/>
          <w:sz w:val="22"/>
          <w:szCs w:val="22"/>
        </w:rPr>
        <w:t xml:space="preserve">This paper provides a comprehensive examination of the technological, clinical, social, and commercial journey from Sutherland's laboratory prototype to the current generation of AI-powered consumer eyewear, and it argues a specific thesis: that the decisive frontier is no longer the display or the camera but </w:t>
      </w:r>
      <w:r>
        <w:rPr>
          <w:rFonts w:ascii="Georgia" w:cs="Georgia" w:eastAsia="Georgia" w:hAnsi="Georgia"/>
          <w:b/>
          <w:bCs/>
          <w:sz w:val="22"/>
          <w:szCs w:val="22"/>
        </w:rPr>
        <w:t xml:space="preserve">where the intelligence runs.</w:t>
      </w:r>
      <w:r>
        <w:rPr>
          <w:rFonts w:ascii="Georgia" w:cs="Georgia" w:eastAsia="Georgia" w:hAnsi="Georgia"/>
          <w:sz w:val="22"/>
          <w:szCs w:val="22"/>
        </w:rPr>
        <w:t xml:space="preserve"> The same open-source tooling that lets an enthusiast route a pair of Meta glasses to a cloud model can, with additional engineering, route it entirely to hardware the user owns — eliminating the persistent surveillance concern that has shadowed the category since Google Glass. The paper documents both the promise and the real, measured limits of that local-first approach as of July 2026.</w:t>
      </w:r>
    </w:p>
    <w:p>
      <w:pPr>
        <w:spacing w:after="160" w:line="320"/>
        <w:jc w:val="both"/>
      </w:pPr>
      <w:r>
        <w:rPr>
          <w:rFonts w:ascii="Georgia" w:cs="Georgia" w:eastAsia="Georgia" w:hAnsi="Georgia"/>
          <w:b/>
          <w:bCs/>
          <w:sz w:val="22"/>
          <w:szCs w:val="22"/>
        </w:rPr>
        <w:t xml:space="preserve">Organization. </w:t>
      </w:r>
      <w:r>
        <w:rPr>
          <w:rFonts w:ascii="Georgia" w:cs="Georgia" w:eastAsia="Georgia" w:hAnsi="Georgia"/>
          <w:sz w:val="22"/>
          <w:szCs w:val="22"/>
        </w:rPr>
        <w:t xml:space="preserve">Section 2 traces the historical development of head-mounted displays and wearable computing from military origins through the Google Glass era and into Meta's ascendancy. Section 3 examines the optical-engineering breakthroughs — waveguide combiners, micro-OLED and micro-LED microdisplays, holographic optics, and freeform lens design — that made lightweight, socially acceptable glasses physically possible. Section 4 reviews the eye-health literature in depth, addressing blue light, the vergence-accommodation conflict, digital eye strain, and the specific situation of contact-lens wearers. Section 5 analyzes privacy and social acceptance through HCI research. Section 6 surveys the verified July 2026 competitive landscape and near-term roadmaps. Section 7 presents the technical architecture of local AI integration — the OpenClaw framework, the VisionClaw bridge, and Meta's Device Access Toolkit. Section 8 details the engineering of a fully-local perception loop and its performance ceilings on consumer AMD hardware. Section 9 discusses limitations, open problems, and ethical considerations. Section 10 concludes.</w:t>
      </w:r>
    </w:p>
    <w:p>
      <w:pPr>
        <w:spacing w:after="160" w:line="320"/>
        <w:jc w:val="both"/>
      </w:pPr>
      <w:r>
        <w:rPr>
          <w:rFonts w:ascii="Georgia" w:cs="Georgia" w:eastAsia="Georgia" w:hAnsi="Georgia"/>
          <w:b/>
          <w:bCs/>
          <w:sz w:val="22"/>
          <w:szCs w:val="22"/>
        </w:rPr>
        <w:t xml:space="preserve">A note on epistemic method. </w:t>
      </w:r>
      <w:r>
        <w:rPr>
          <w:rFonts w:ascii="Georgia" w:cs="Georgia" w:eastAsia="Georgia" w:hAnsi="Georgia"/>
          <w:sz w:val="22"/>
          <w:szCs w:val="22"/>
        </w:rPr>
        <w:t xml:space="preserve">This second edition was produced under an explicit discipline of source verification. Several specific claims that appeared in the first edition — most consequentially a citation-count figure for the OpenClaw framework, and the existence of a purpose-built “OpenClaw glasses” product — were re-checked against primary sources and either corrected or removed. Where a figure is vendor-reported rather than independently verifiable, it is labeled as such. Where information derives from leaks or unconfirmed reporting, it is labeled as such. This method is itself a small case study in the paper's own subject: the difficulty of establishing ground truth about a fast-moving technology, and the value of treating confident-sounding claims as hypotheses until verified.</w:t>
      </w:r>
    </w:p>
    <w:p>
      <w:r>
        <w:br w:type="page"/>
      </w:r>
    </w:p>
    <w:p>
      <w:pPr>
        <w:pStyle w:val="Heading1"/>
      </w:pPr>
      <w:r>
        <w:t xml:space="preserve">2. Historical Development of Smart Glasses</w:t>
      </w:r>
    </w:p>
    <w:p>
      <w:pPr>
        <w:pStyle w:val="Heading2"/>
      </w:pPr>
      <w:r>
        <w:t xml:space="preserve">2.1 Military Origins and Early Research (1960s–1990s)</w:t>
      </w:r>
    </w:p>
    <w:p>
      <w:pPr>
        <w:spacing w:after="160" w:line="320"/>
        <w:jc w:val="both"/>
      </w:pPr>
      <w:r>
        <w:rPr>
          <w:rFonts w:ascii="Georgia" w:cs="Georgia" w:eastAsia="Georgia" w:hAnsi="Georgia"/>
          <w:sz w:val="22"/>
          <w:szCs w:val="22"/>
        </w:rPr>
        <w:t xml:space="preserve">The lineage of smart glasses begins in military and aerospace research. Before Sutherland's 1968 head-mounted display, helmet-mounted sights for fighter pilots had been under development since the late 1950s, providing targeting and flight data overlaid on the pilot's field of view.</w:t>
      </w:r>
      <w:r>
        <w:rPr>
          <w:rFonts w:ascii="Georgia" w:cs="Georgia" w:eastAsia="Georgia" w:hAnsi="Georgia"/>
          <w:sz w:val="22"/>
          <w:szCs w:val="22"/>
          <w:vertAlign w:val="superscript"/>
        </w:rPr>
        <w:t xml:space="preserve"> [1]</w:t>
      </w:r>
      <w:r>
        <w:rPr>
          <w:rFonts w:ascii="Georgia" w:cs="Georgia" w:eastAsia="Georgia" w:hAnsi="Georgia"/>
          <w:sz w:val="22"/>
          <w:szCs w:val="22"/>
          <w:vertAlign w:val="superscript"/>
        </w:rPr>
        <w:t xml:space="preserve"> [3]</w:t>
      </w:r>
      <w:r>
        <w:rPr>
          <w:rFonts w:ascii="Georgia" w:cs="Georgia" w:eastAsia="Georgia" w:hAnsi="Georgia"/>
          <w:sz w:val="22"/>
          <w:szCs w:val="22"/>
        </w:rPr>
        <w:t xml:space="preserve"> Sutherland's contribution was conceptual as much as technical: he demonstrated that a computer-generated virtual environment could be spatially registered to the physical world, laying the theoretical groundwork for what Ronald Azuma would later formally define as augmented reality in his seminal 1997 survey.</w:t>
      </w:r>
      <w:r>
        <w:rPr>
          <w:rFonts w:ascii="Georgia" w:cs="Georgia" w:eastAsia="Georgia" w:hAnsi="Georgia"/>
          <w:sz w:val="22"/>
          <w:szCs w:val="22"/>
          <w:vertAlign w:val="superscript"/>
        </w:rPr>
        <w:t xml:space="preserve"> [2]</w:t>
      </w:r>
      <w:r>
        <w:rPr>
          <w:rFonts w:ascii="Georgia" w:cs="Georgia" w:eastAsia="Georgia" w:hAnsi="Georgia"/>
          <w:sz w:val="22"/>
          <w:szCs w:val="22"/>
        </w:rPr>
        <w:t xml:space="preserve"> Azuma's three-part definition — that AR systems combine real and virtual, are interactive in real time, and are registered in three dimensions — remains the standard framework for evaluating smart-glasses capabilities nearly three decades later, and it usefully clarifies why most 2026 “smart glasses” are not, strictly, augmented-reality devices at all: they add audio and a camera without registering anything to the visual field.</w:t>
      </w:r>
    </w:p>
    <w:p>
      <w:pPr>
        <w:spacing w:after="160" w:line="320"/>
        <w:jc w:val="both"/>
      </w:pPr>
      <w:r>
        <w:rPr>
          <w:rFonts w:ascii="Georgia" w:cs="Georgia" w:eastAsia="Georgia" w:hAnsi="Georgia"/>
          <w:sz w:val="22"/>
          <w:szCs w:val="22"/>
        </w:rPr>
        <w:t xml:space="preserve">Through the 1970s and 1980s, HMD research remained largely confined to military and industrial laboratories. Jannick Rolland and Hong Hua's comprehensive review of head-mounted display systems documents the progression from cathode-ray-tube displays through early liquid-crystal panels, tracking the steady improvement in resolution, field of view, and weight reduction that would eventually make consumer devices feasible.</w:t>
      </w:r>
      <w:r>
        <w:rPr>
          <w:rFonts w:ascii="Georgia" w:cs="Georgia" w:eastAsia="Georgia" w:hAnsi="Georgia"/>
          <w:sz w:val="22"/>
          <w:szCs w:val="22"/>
          <w:vertAlign w:val="superscript"/>
        </w:rPr>
        <w:t xml:space="preserve"> [3]</w:t>
      </w:r>
      <w:r>
        <w:rPr>
          <w:rFonts w:ascii="Georgia" w:cs="Georgia" w:eastAsia="Georgia" w:hAnsi="Georgia"/>
          <w:sz w:val="22"/>
          <w:szCs w:val="22"/>
        </w:rPr>
        <w:t xml:space="preserve"> The conceptual leap from laboratory HMD to personal wearable computing is most directly attributable to Steve Mann, who began building and wearing computer-vision systems as a student in the 1980s. Mann's 1997 </w:t>
      </w:r>
      <w:r>
        <w:rPr>
          <w:rFonts w:ascii="Georgia" w:cs="Georgia" w:eastAsia="Georgia" w:hAnsi="Georgia"/>
          <w:i/>
          <w:iCs/>
          <w:sz w:val="22"/>
          <w:szCs w:val="22"/>
        </w:rPr>
        <w:t xml:space="preserve">IEEE Computer</w:t>
      </w:r>
      <w:r>
        <w:rPr>
          <w:rFonts w:ascii="Georgia" w:cs="Georgia" w:eastAsia="Georgia" w:hAnsi="Georgia"/>
          <w:sz w:val="22"/>
          <w:szCs w:val="22"/>
        </w:rPr>
        <w:t xml:space="preserve"> paper formally articulated wearable computing as a research discipline, defining it as technology that is always on, always accessible, attentive to its environment, and — crucially — unmonopolizing of the user's attention.</w:t>
      </w:r>
      <w:r>
        <w:rPr>
          <w:rFonts w:ascii="Georgia" w:cs="Georgia" w:eastAsia="Georgia" w:hAnsi="Georgia"/>
          <w:sz w:val="22"/>
          <w:szCs w:val="22"/>
          <w:vertAlign w:val="superscript"/>
        </w:rPr>
        <w:t xml:space="preserve"> [4]</w:t>
      </w:r>
      <w:r>
        <w:rPr>
          <w:rFonts w:ascii="Georgia" w:cs="Georgia" w:eastAsia="Georgia" w:hAnsi="Georgia"/>
          <w:sz w:val="22"/>
          <w:szCs w:val="22"/>
          <w:vertAlign w:val="superscript"/>
        </w:rPr>
        <w:t xml:space="preserve"> [5]</w:t>
      </w:r>
      <w:r>
        <w:rPr>
          <w:rFonts w:ascii="Georgia" w:cs="Georgia" w:eastAsia="Georgia" w:hAnsi="Georgia"/>
          <w:sz w:val="22"/>
          <w:szCs w:val="22"/>
          <w:vertAlign w:val="superscript"/>
        </w:rPr>
        <w:t xml:space="preserve"> [6]</w:t>
      </w:r>
      <w:r>
        <w:rPr>
          <w:rFonts w:ascii="Georgia" w:cs="Georgia" w:eastAsia="Georgia" w:hAnsi="Georgia"/>
          <w:sz w:val="22"/>
          <w:szCs w:val="22"/>
        </w:rPr>
        <w:t xml:space="preserve"> Mann wore cameras, displays, and processors on his body for decades, prefiguring by thirty years the exact product category that Meta, Google, and Apple now pursue. His notion of “humanistic intelligence” — computing that operates in a feedback loop with human perception rather than as a separate tool — is a direct ancestor of the ambient, always-available AI co-pilot that local-first smart-glasses enthusiasts are building today.</w:t>
      </w:r>
    </w:p>
    <w:p>
      <w:pPr>
        <w:pStyle w:val="Heading2"/>
      </w:pPr>
      <w:r>
        <w:t xml:space="preserve">2.2 The Google Glass Era and the “Glasshole” Problem (2012–2015)</w:t>
      </w:r>
    </w:p>
    <w:p>
      <w:pPr>
        <w:spacing w:after="160" w:line="320"/>
        <w:jc w:val="both"/>
      </w:pPr>
      <w:r>
        <w:rPr>
          <w:rFonts w:ascii="Georgia" w:cs="Georgia" w:eastAsia="Georgia" w:hAnsi="Georgia"/>
          <w:sz w:val="22"/>
          <w:szCs w:val="22"/>
        </w:rPr>
        <w:t xml:space="preserve">Google's announcement of Project Glass in April 2012 was the first serious attempt by a major technology company to bring smart glasses to a mass consumer audience. The device featured a small prism display above the right eye, a camera, a microphone, a bone-conduction speaker, and a touchpad, running a version of Android. Google sold an Explorer Edition to developers and enthusiasts for 1,500 US dollars beginning in 2013. The reception became a watershed for the industry — not for the technology, which was modest, but for the social backlash it provoked. LiKamWa and colleagues' energy and thermal characterization of Glass revealed hardware that was battery-limited and thermally constrained,</w:t>
      </w:r>
      <w:r>
        <w:rPr>
          <w:rFonts w:ascii="Georgia" w:cs="Georgia" w:eastAsia="Georgia" w:hAnsi="Georgia"/>
          <w:sz w:val="22"/>
          <w:szCs w:val="22"/>
          <w:vertAlign w:val="superscript"/>
        </w:rPr>
        <w:t xml:space="preserve"> [9]</w:t>
      </w:r>
      <w:r>
        <w:rPr>
          <w:rFonts w:ascii="Georgia" w:cs="Georgia" w:eastAsia="Georgia" w:hAnsi="Georgia"/>
          <w:sz w:val="22"/>
          <w:szCs w:val="22"/>
        </w:rPr>
        <w:t xml:space="preserve"> but the more fundamental problem was cultural. Wearers were branded “Glassholes”; bars, restaurants, and cinemas banned the device; and privacy advocates raised alarms about persistent, undetectable recording.</w:t>
      </w:r>
      <w:r>
        <w:rPr>
          <w:rFonts w:ascii="Georgia" w:cs="Georgia" w:eastAsia="Georgia" w:hAnsi="Georgia"/>
          <w:sz w:val="22"/>
          <w:szCs w:val="22"/>
          <w:vertAlign w:val="superscript"/>
        </w:rPr>
        <w:t xml:space="preserve"> [F4]</w:t>
      </w:r>
      <w:r>
        <w:rPr>
          <w:rFonts w:ascii="Georgia" w:cs="Georgia" w:eastAsia="Georgia" w:hAnsi="Georgia"/>
          <w:sz w:val="22"/>
          <w:szCs w:val="22"/>
          <w:vertAlign w:val="superscript"/>
        </w:rPr>
        <w:t xml:space="preserve"> [F10]</w:t>
      </w:r>
      <w:r>
        <w:rPr>
          <w:rFonts w:ascii="Georgia" w:cs="Georgia" w:eastAsia="Georgia" w:hAnsi="Georgia"/>
          <w:sz w:val="22"/>
          <w:szCs w:val="22"/>
        </w:rPr>
        <w:t xml:space="preserve"> Jason Hong's 2013 </w:t>
      </w:r>
      <w:r>
        <w:rPr>
          <w:rFonts w:ascii="Georgia" w:cs="Georgia" w:eastAsia="Georgia" w:hAnsi="Georgia"/>
          <w:i/>
          <w:iCs/>
          <w:sz w:val="22"/>
          <w:szCs w:val="22"/>
        </w:rPr>
        <w:t xml:space="preserve">Communications of the ACM</w:t>
      </w:r>
      <w:r>
        <w:rPr>
          <w:rFonts w:ascii="Georgia" w:cs="Georgia" w:eastAsia="Georgia" w:hAnsi="Georgia"/>
          <w:sz w:val="22"/>
          <w:szCs w:val="22"/>
        </w:rPr>
        <w:t xml:space="preserve"> editorial crystallized the concern: Glass made it effortless to record anyone at any time without their knowledge, fundamentally altering the social contract of public space.</w:t>
      </w:r>
      <w:r>
        <w:rPr>
          <w:rFonts w:ascii="Georgia" w:cs="Georgia" w:eastAsia="Georgia" w:hAnsi="Georgia"/>
          <w:sz w:val="22"/>
          <w:szCs w:val="22"/>
          <w:vertAlign w:val="superscript"/>
        </w:rPr>
        <w:t xml:space="preserve"> [F10]</w:t>
      </w:r>
    </w:p>
    <w:p>
      <w:pPr>
        <w:spacing w:after="160" w:line="320"/>
        <w:jc w:val="both"/>
      </w:pPr>
      <w:r>
        <w:rPr>
          <w:rFonts w:ascii="Georgia" w:cs="Georgia" w:eastAsia="Georgia" w:hAnsi="Georgia"/>
          <w:sz w:val="22"/>
          <w:szCs w:val="22"/>
        </w:rPr>
        <w:t xml:space="preserve">Google discontinued the consumer Explorer program in January 2015, although an enterprise edition persisted until 2023. The failure was profoundly instructive. Denning and colleagues' in-situ study of bystander reactions documented widespread discomfort, with participants reporting feelings of surveillance and social violation.</w:t>
      </w:r>
      <w:r>
        <w:rPr>
          <w:rFonts w:ascii="Georgia" w:cs="Georgia" w:eastAsia="Georgia" w:hAnsi="Georgia"/>
          <w:sz w:val="22"/>
          <w:szCs w:val="22"/>
          <w:vertAlign w:val="superscript"/>
        </w:rPr>
        <w:t xml:space="preserve"> [F4]</w:t>
      </w:r>
      <w:r>
        <w:rPr>
          <w:rFonts w:ascii="Georgia" w:cs="Georgia" w:eastAsia="Georgia" w:hAnsi="Georgia"/>
          <w:sz w:val="22"/>
          <w:szCs w:val="22"/>
        </w:rPr>
        <w:t xml:space="preserve"> The lessons — that social acceptance requires aesthetic normality, that cameras demand visible legitimacy and social license, and that utility must dramatically outweigh social cost — directly shaped the design philosophy of every subsequent consumer product. Meta's central strategic decision, to partner with the eyewear conglomerate EssilorLuxottica and ship glasses that look and feel like ordinary Ray-Bans, is best understood as the direct application of the Google Glass lesson.</w:t>
      </w:r>
    </w:p>
    <w:p>
      <w:pPr>
        <w:pStyle w:val="Heading2"/>
      </w:pPr>
      <w:r>
        <w:t xml:space="preserve">2.3 The Enterprise Interlude: HoloLens, Magic Leap, and Spectacles (2015–2023)</w:t>
      </w:r>
    </w:p>
    <w:p>
      <w:pPr>
        <w:spacing w:after="160" w:line="320"/>
        <w:jc w:val="both"/>
      </w:pPr>
      <w:r>
        <w:rPr>
          <w:rFonts w:ascii="Georgia" w:cs="Georgia" w:eastAsia="Georgia" w:hAnsi="Georgia"/>
          <w:sz w:val="22"/>
          <w:szCs w:val="22"/>
        </w:rPr>
        <w:t xml:space="preserve">Following Glass's consumer retreat, smart-glasses development bifurcated. Enterprise-focused devices — Microsoft HoloLens (2016), Magic Leap One (2018), and various Vuzix and RealWear models — advanced AR display technology in controlled industrial settings where appearance mattered little. Kress and Cummings' 2017 analysis of the HoloLens display architecture documented the shift from simple prism optics to diffractive waveguide combiners, enabling a wider field of view in a more wearable package.</w:t>
      </w:r>
      <w:r>
        <w:rPr>
          <w:rFonts w:ascii="Georgia" w:cs="Georgia" w:eastAsia="Georgia" w:hAnsi="Georgia"/>
          <w:sz w:val="22"/>
          <w:szCs w:val="22"/>
          <w:vertAlign w:val="superscript"/>
        </w:rPr>
        <w:t xml:space="preserve"> [B4]</w:t>
      </w:r>
      <w:r>
        <w:rPr>
          <w:rFonts w:ascii="Georgia" w:cs="Georgia" w:eastAsia="Georgia" w:hAnsi="Georgia"/>
          <w:sz w:val="22"/>
          <w:szCs w:val="22"/>
        </w:rPr>
        <w:t xml:space="preserve"> Carnevale and colleagues' 2023 comparison of Magic Leap 1 and HoloLens 2 for medical-image visualization demonstrated that waveguide AR had reached sufficient fidelity for clinical use, even as both devices remained too heavy and costly for consumers.</w:t>
      </w:r>
      <w:r>
        <w:rPr>
          <w:rFonts w:ascii="Georgia" w:cs="Georgia" w:eastAsia="Georgia" w:hAnsi="Georgia"/>
          <w:sz w:val="22"/>
          <w:szCs w:val="22"/>
          <w:vertAlign w:val="superscript"/>
        </w:rPr>
        <w:t xml:space="preserve"> [12]</w:t>
      </w:r>
      <w:r>
        <w:rPr>
          <w:rFonts w:ascii="Georgia" w:cs="Georgia" w:eastAsia="Georgia" w:hAnsi="Georgia"/>
          <w:sz w:val="22"/>
          <w:szCs w:val="22"/>
        </w:rPr>
        <w:t xml:space="preserve"> Snap pursued a different path with its Spectacles line, beginning in 2016 as camera sunglasses and progressively adding AR, eventually spinning out a dedicated subsidiary. The enterprise interlude was essential: it matured the optical components, manufacturing processes, and software stacks that would later be miniaturized into consumer form factors.</w:t>
      </w:r>
    </w:p>
    <w:p>
      <w:pPr>
        <w:pStyle w:val="Heading2"/>
      </w:pPr>
      <w:r>
        <w:t xml:space="preserve">2.4 The Meta Era: From Ray-Ban Stories to a Product Portfolio (2021–2026)</w:t>
      </w:r>
    </w:p>
    <w:p>
      <w:pPr>
        <w:spacing w:after="160" w:line="320"/>
        <w:jc w:val="both"/>
      </w:pPr>
      <w:r>
        <w:rPr>
          <w:rFonts w:ascii="Georgia" w:cs="Georgia" w:eastAsia="Georgia" w:hAnsi="Georgia"/>
          <w:sz w:val="22"/>
          <w:szCs w:val="22"/>
        </w:rPr>
        <w:t xml:space="preserve">Meta's partnership with EssilorLuxottica produced Ray-Ban Stories in September 2021 — the first smart glasses from a major technology company that genuinely looked like ordinary sunglasses. The first generation offered dual five-megapixel cameras, open-ear speakers, and a three-microphone array in classic Wayfarer frames, but no display and no meaningful AI. Reception was tepid; the cameras were mediocre and the use cases thin. The September 2023 launch of Ray-Ban Meta — colloquially the second generation — transformed the category. Upgraded to a twelve-megapixel ultra-wide camera with 3K video, an improved five-microphone array, custom open-ear speakers, and, critically, an AI assistant with real-time visual understanding, the second-generation glasses achieved genuine mass adoption.</w:t>
      </w:r>
      <w:r>
        <w:rPr>
          <w:rFonts w:ascii="Georgia" w:cs="Georgia" w:eastAsia="Georgia" w:hAnsi="Georgia"/>
          <w:sz w:val="22"/>
          <w:szCs w:val="22"/>
          <w:vertAlign w:val="superscript"/>
        </w:rPr>
        <w:t xml:space="preserve"> [A25]</w:t>
      </w:r>
    </w:p>
    <w:p>
      <w:pPr>
        <w:spacing w:after="160" w:line="320"/>
        <w:jc w:val="both"/>
      </w:pPr>
      <w:r>
        <w:rPr>
          <w:rFonts w:ascii="Georgia" w:cs="Georgia" w:eastAsia="Georgia" w:hAnsi="Georgia"/>
          <w:sz w:val="22"/>
          <w:szCs w:val="22"/>
        </w:rPr>
        <w:t xml:space="preserve">By mid-2026 the product line had expanded into a portfolio. The Wayfarer, Headliner, and Skyler frames anchored the Ray-Ban Meta range at prices from roughly 379 US dollars, with a photochromic Transitions lens option adding approximately eighty dollars.</w:t>
      </w:r>
      <w:r>
        <w:rPr>
          <w:rFonts w:ascii="Georgia" w:cs="Georgia" w:eastAsia="Georgia" w:hAnsi="Georgia"/>
          <w:sz w:val="22"/>
          <w:szCs w:val="22"/>
          <w:vertAlign w:val="superscript"/>
        </w:rPr>
        <w:t xml:space="preserve"> [6.1]</w:t>
      </w:r>
      <w:r>
        <w:rPr>
          <w:rFonts w:ascii="Georgia" w:cs="Georgia" w:eastAsia="Georgia" w:hAnsi="Georgia"/>
          <w:sz w:val="22"/>
          <w:szCs w:val="22"/>
        </w:rPr>
        <w:t xml:space="preserve"> In April 2026 Meta introduced the Blayzer and Scriber Optics frames, purpose-built for prescription wearers with overextension hinges and adjustable nose pads, from roughly 499 dollars.</w:t>
      </w:r>
      <w:r>
        <w:rPr>
          <w:rFonts w:ascii="Georgia" w:cs="Georgia" w:eastAsia="Georgia" w:hAnsi="Georgia"/>
          <w:sz w:val="22"/>
          <w:szCs w:val="22"/>
          <w:vertAlign w:val="superscript"/>
        </w:rPr>
        <w:t xml:space="preserve"> [6.4]</w:t>
      </w:r>
      <w:r>
        <w:rPr>
          <w:rFonts w:ascii="Georgia" w:cs="Georgia" w:eastAsia="Georgia" w:hAnsi="Georgia"/>
          <w:sz w:val="22"/>
          <w:szCs w:val="22"/>
        </w:rPr>
        <w:t xml:space="preserve"> Then, on 23 June 2026, Meta launched a dedicated own-brand line under the plain “Meta Glasses” name — the Adventurer and Fury styles at roughly 299 dollars and a Kylie-Jenner collaboration at roughly 399 dollars — sharing the second-generation camera and microphone hardware but adding a faster processor and the new closed-weight “Muse Spark” assistant from day one.</w:t>
      </w:r>
      <w:r>
        <w:rPr>
          <w:rFonts w:ascii="Georgia" w:cs="Georgia" w:eastAsia="Georgia" w:hAnsi="Georgia"/>
          <w:sz w:val="22"/>
          <w:szCs w:val="22"/>
          <w:vertAlign w:val="superscript"/>
        </w:rPr>
        <w:t xml:space="preserve"> [6.2]</w:t>
      </w:r>
      <w:r>
        <w:rPr>
          <w:rFonts w:ascii="Georgia" w:cs="Georgia" w:eastAsia="Georgia" w:hAnsi="Georgia"/>
          <w:sz w:val="22"/>
          <w:szCs w:val="22"/>
        </w:rPr>
        <w:t xml:space="preserve"> The higher-end Meta Ray-Ban Display, launched in 2025 at roughly 799 dollars, paired a monocular six-hundred-by-six-hundred-pixel waveguide display with a wrist-worn electromyographic “Neural Band” controller, and remained supply-constrained through mid-2026.</w:t>
      </w:r>
      <w:r>
        <w:rPr>
          <w:rFonts w:ascii="Georgia" w:cs="Georgia" w:eastAsia="Georgia" w:hAnsi="Georgia"/>
          <w:sz w:val="22"/>
          <w:szCs w:val="22"/>
          <w:vertAlign w:val="superscript"/>
        </w:rPr>
        <w:t xml:space="preserve"> [6.3]</w:t>
      </w:r>
    </w:p>
    <w:p>
      <w:pPr>
        <w:spacing w:after="160" w:line="320"/>
        <w:jc w:val="both"/>
      </w:pPr>
      <w:r>
        <w:rPr>
          <w:rFonts w:ascii="Georgia" w:cs="Georgia" w:eastAsia="Georgia" w:hAnsi="Georgia"/>
          <w:sz w:val="22"/>
          <w:szCs w:val="22"/>
        </w:rPr>
        <w:t xml:space="preserve">The commercial trajectory is unambiguous. Independent market trackers reported that global smart-glasses shipments more than doubled year-over-year in 2024 and again in the first half of 2025, with Meta commanding roughly seventy percent of the market.</w:t>
      </w:r>
      <w:r>
        <w:rPr>
          <w:rFonts w:ascii="Georgia" w:cs="Georgia" w:eastAsia="Georgia" w:hAnsi="Georgia"/>
          <w:sz w:val="22"/>
          <w:szCs w:val="22"/>
          <w:vertAlign w:val="superscript"/>
        </w:rPr>
        <w:t xml:space="preserve"> [I1]</w:t>
      </w:r>
      <w:r>
        <w:rPr>
          <w:rFonts w:ascii="Georgia" w:cs="Georgia" w:eastAsia="Georgia" w:hAnsi="Georgia"/>
          <w:sz w:val="22"/>
          <w:szCs w:val="22"/>
          <w:vertAlign w:val="superscript"/>
        </w:rPr>
        <w:t xml:space="preserve"> [I2]</w:t>
      </w:r>
      <w:r>
        <w:rPr>
          <w:rFonts w:ascii="Georgia" w:cs="Georgia" w:eastAsia="Georgia" w:hAnsi="Georgia"/>
          <w:sz w:val="22"/>
          <w:szCs w:val="22"/>
          <w:vertAlign w:val="superscript"/>
        </w:rPr>
        <w:t xml:space="preserve"> [I4]</w:t>
      </w:r>
      <w:r>
        <w:rPr>
          <w:rFonts w:ascii="Georgia" w:cs="Georgia" w:eastAsia="Georgia" w:hAnsi="Georgia"/>
          <w:sz w:val="22"/>
          <w:szCs w:val="22"/>
        </w:rPr>
        <w:t xml:space="preserve"> The category had, by mid-2026, crossed the threshold from early-adopter novelty to mainstream consumer electronics — precisely the transition that Google Glass failed to achieve a decade earlier, and for precisely the reason Glass failed to achieve it: Meta solved the social-acceptance problem first and treated everything else as secondary.</w:t>
      </w:r>
    </w:p>
    <w:p>
      <w:pPr>
        <w:pStyle w:val="Heading2"/>
      </w:pPr>
      <w:r>
        <w:t xml:space="preserve">2.5 The Intellectual Lineage from Sutherland to the Local Agent</w:t>
      </w:r>
    </w:p>
    <w:p>
      <w:pPr>
        <w:spacing w:after="160" w:line="320"/>
        <w:jc w:val="both"/>
      </w:pPr>
      <w:r>
        <w:rPr>
          <w:rFonts w:ascii="Georgia" w:cs="Georgia" w:eastAsia="Georgia" w:hAnsi="Georgia"/>
          <w:sz w:val="22"/>
          <w:szCs w:val="22"/>
        </w:rPr>
        <w:t xml:space="preserve">It is worth pausing on the conceptual thread that connects Sutherland's 1968 apparatus to the local AI agent of 2026, because the continuity is deeper than the sixty-year gap suggests and it illuminates why the present moment matters. Sutherland's insight was spatial registration — that a computer could place virtual content in correspondence with the physical world.</w:t>
      </w:r>
      <w:r>
        <w:rPr>
          <w:rFonts w:ascii="Georgia" w:cs="Georgia" w:eastAsia="Georgia" w:hAnsi="Georgia"/>
          <w:sz w:val="22"/>
          <w:szCs w:val="22"/>
          <w:vertAlign w:val="superscript"/>
        </w:rPr>
        <w:t xml:space="preserve"> [1]</w:t>
      </w:r>
      <w:r>
        <w:rPr>
          <w:rFonts w:ascii="Georgia" w:cs="Georgia" w:eastAsia="Georgia" w:hAnsi="Georgia"/>
          <w:sz w:val="22"/>
          <w:szCs w:val="22"/>
        </w:rPr>
        <w:t xml:space="preserve"> Azuma formalized this into the three-part definition that still governs the field, distinguishing genuine augmented reality from the mere superimposition of information.</w:t>
      </w:r>
      <w:r>
        <w:rPr>
          <w:rFonts w:ascii="Georgia" w:cs="Georgia" w:eastAsia="Georgia" w:hAnsi="Georgia"/>
          <w:sz w:val="22"/>
          <w:szCs w:val="22"/>
          <w:vertAlign w:val="superscript"/>
        </w:rPr>
        <w:t xml:space="preserve"> [2]</w:t>
      </w:r>
      <w:r>
        <w:rPr>
          <w:rFonts w:ascii="Georgia" w:cs="Georgia" w:eastAsia="Georgia" w:hAnsi="Georgia"/>
          <w:sz w:val="22"/>
          <w:szCs w:val="22"/>
        </w:rPr>
        <w:t xml:space="preserve"> Mann added the dimension that the present paper foregrounds: that the value of wearable computing lies not in the display alone but in the continuous, intimate feedback loop between machine perception and human perception — his “humanistic intelligence.”</w:t>
      </w:r>
      <w:r>
        <w:rPr>
          <w:rFonts w:ascii="Georgia" w:cs="Georgia" w:eastAsia="Georgia" w:hAnsi="Georgia"/>
          <w:sz w:val="22"/>
          <w:szCs w:val="22"/>
          <w:vertAlign w:val="superscript"/>
        </w:rPr>
        <w:t xml:space="preserve"> [4]</w:t>
      </w:r>
      <w:r>
        <w:rPr>
          <w:rFonts w:ascii="Georgia" w:cs="Georgia" w:eastAsia="Georgia" w:hAnsi="Georgia"/>
          <w:sz w:val="22"/>
          <w:szCs w:val="22"/>
          <w:vertAlign w:val="superscript"/>
        </w:rPr>
        <w:t xml:space="preserve"> [6]</w:t>
      </w:r>
    </w:p>
    <w:p>
      <w:pPr>
        <w:spacing w:after="160" w:line="320"/>
        <w:jc w:val="both"/>
      </w:pPr>
      <w:r>
        <w:rPr>
          <w:rFonts w:ascii="Georgia" w:cs="Georgia" w:eastAsia="Georgia" w:hAnsi="Georgia"/>
          <w:sz w:val="22"/>
          <w:szCs w:val="22"/>
        </w:rPr>
        <w:t xml:space="preserve">For most of the intervening decades, the display was the bottleneck, and the field's energy went into optics: making the image bright enough, the combiner thin enough, the frame light enough. That work, surveyed in Section 3, has very nearly succeeded, to the point where a socially-acceptable frame can now carry a usable display. But the arrival of capable, runnable-on-consumer-hardware artificial intelligence has revealed that the display was never the whole point. Mann's feedback loop — perception augmenting perception — can now be closed by a language-and-vision model that understands what the camera sees and responds in natural language, whether or not any image is displayed at all. The second-generation Ray-Ban Meta, which has no display whatsoever yet delivers genuine perceptual augmentation through audio, is the clearest evidence that the field's center of gravity has moved from optics to intelligence. Sutherland gave us registration; Mann gave us the loop; the present generation is finally in a position to give the loop a mind, and the question of whose mind — a distant corporation's or the wearer's own machine's — is the question this paper argues is now decisive.</w:t>
      </w:r>
    </w:p>
    <w:p>
      <w:r>
        <w:br w:type="page"/>
      </w:r>
    </w:p>
    <w:p>
      <w:pPr>
        <w:pStyle w:val="Heading1"/>
      </w:pPr>
      <w:r>
        <w:t xml:space="preserve">3. Optical Engineering: How Smart Glasses Became Physically Possible</w:t>
      </w:r>
    </w:p>
    <w:p>
      <w:pPr>
        <w:pStyle w:val="Heading2"/>
      </w:pPr>
      <w:r>
        <w:t xml:space="preserve">3.1 The Central Optical Challenge</w:t>
      </w:r>
    </w:p>
    <w:p>
      <w:pPr>
        <w:spacing w:after="160" w:line="320"/>
        <w:jc w:val="both"/>
      </w:pPr>
      <w:r>
        <w:rPr>
          <w:rFonts w:ascii="Georgia" w:cs="Georgia" w:eastAsia="Georgia" w:hAnsi="Georgia"/>
          <w:sz w:val="22"/>
          <w:szCs w:val="22"/>
        </w:rPr>
        <w:t xml:space="preserve">The defining optical problem of smart glasses is to project a digital image into the wearer's eye while preserving transparency to the physical world, all within a lens that looks and weighs like ordinary eyewear. This is a genuinely hard combination of constraints. The image source must be small enough to hide in a temple or frame, bright enough to remain visible against outdoor sunlight, and efficient enough not to drain a battery that must itself fit inside a slender arm. The optical combiner that merges virtual and real light must be thin, must not distort the see-through view, and must deliver an image across a usable field of view without rainbow artifacts or color non-uniformity. Xiong and colleagues' 2021 review in </w:t>
      </w:r>
      <w:r>
        <w:rPr>
          <w:rFonts w:ascii="Georgia" w:cs="Georgia" w:eastAsia="Georgia" w:hAnsi="Georgia"/>
          <w:i/>
          <w:iCs/>
          <w:sz w:val="22"/>
          <w:szCs w:val="22"/>
        </w:rPr>
        <w:t xml:space="preserve">Light: Science and Applications</w:t>
      </w:r>
      <w:r>
        <w:rPr>
          <w:rFonts w:ascii="Georgia" w:cs="Georgia" w:eastAsia="Georgia" w:hAnsi="Georgia"/>
          <w:sz w:val="22"/>
          <w:szCs w:val="22"/>
        </w:rPr>
        <w:t xml:space="preserve"> surveys the full landscape of AR and VR display technologies and frames these tradeoffs as the core engineering tension of the field.</w:t>
      </w:r>
      <w:r>
        <w:rPr>
          <w:rFonts w:ascii="Georgia" w:cs="Georgia" w:eastAsia="Georgia" w:hAnsi="Georgia"/>
          <w:sz w:val="22"/>
          <w:szCs w:val="22"/>
          <w:vertAlign w:val="superscript"/>
        </w:rPr>
        <w:t xml:space="preserve"> [C3]</w:t>
      </w:r>
    </w:p>
    <w:p>
      <w:pPr>
        <w:pStyle w:val="Heading2"/>
      </w:pPr>
      <w:r>
        <w:t xml:space="preserve">3.2 Waveguide Combiners: The Core Enabling Technology</w:t>
      </w:r>
    </w:p>
    <w:p>
      <w:pPr>
        <w:spacing w:after="160" w:line="320"/>
        <w:jc w:val="both"/>
      </w:pPr>
      <w:r>
        <w:rPr>
          <w:rFonts w:ascii="Georgia" w:cs="Georgia" w:eastAsia="Georgia" w:hAnsi="Georgia"/>
          <w:sz w:val="22"/>
          <w:szCs w:val="22"/>
        </w:rPr>
        <w:t xml:space="preserve">Waveguide combiners solve the see-through problem by using total internal reflection to transport light from a small image source at the temple to the eye region of the lens, then extracting it toward the pupil via diffractive or geometric optical elements. Ding and colleagues' 2023 review in </w:t>
      </w:r>
      <w:r>
        <w:rPr>
          <w:rFonts w:ascii="Georgia" w:cs="Georgia" w:eastAsia="Georgia" w:hAnsi="Georgia"/>
          <w:i/>
          <w:iCs/>
          <w:sz w:val="22"/>
          <w:szCs w:val="22"/>
        </w:rPr>
        <w:t xml:space="preserve">eLight</w:t>
      </w:r>
      <w:r>
        <w:rPr>
          <w:rFonts w:ascii="Georgia" w:cs="Georgia" w:eastAsia="Georgia" w:hAnsi="Georgia"/>
          <w:sz w:val="22"/>
          <w:szCs w:val="22"/>
        </w:rPr>
        <w:t xml:space="preserve"> categorizes three principal approaches: geometric waveguides using partially reflective mirror arrays, diffractive waveguides using surface-relief or volume-holographic gratings, and holographic waveguides using holographic optical elements, each with distinct tradeoffs in field of view, color uniformity, optical efficiency, and manufacturability.</w:t>
      </w:r>
      <w:r>
        <w:rPr>
          <w:rFonts w:ascii="Georgia" w:cs="Georgia" w:eastAsia="Georgia" w:hAnsi="Georgia"/>
          <w:sz w:val="22"/>
          <w:szCs w:val="22"/>
          <w:vertAlign w:val="superscript"/>
        </w:rPr>
        <w:t xml:space="preserve"> [B1]</w:t>
      </w:r>
    </w:p>
    <w:p>
      <w:pPr>
        <w:spacing w:after="160" w:line="320"/>
        <w:jc w:val="both"/>
      </w:pPr>
      <w:r>
        <w:rPr>
          <w:rFonts w:ascii="Georgia" w:cs="Georgia" w:eastAsia="Georgia" w:hAnsi="Georgia"/>
          <w:sz w:val="22"/>
          <w:szCs w:val="22"/>
        </w:rPr>
        <w:t xml:space="preserve">Kress and Chatterjee's 2021 </w:t>
      </w:r>
      <w:r>
        <w:rPr>
          <w:rFonts w:ascii="Georgia" w:cs="Georgia" w:eastAsia="Georgia" w:hAnsi="Georgia"/>
          <w:i/>
          <w:iCs/>
          <w:sz w:val="22"/>
          <w:szCs w:val="22"/>
        </w:rPr>
        <w:t xml:space="preserve">Nanophotonics</w:t>
      </w:r>
      <w:r>
        <w:rPr>
          <w:rFonts w:ascii="Georgia" w:cs="Georgia" w:eastAsia="Georgia" w:hAnsi="Georgia"/>
          <w:sz w:val="22"/>
          <w:szCs w:val="22"/>
        </w:rPr>
        <w:t xml:space="preserve"> paper, written from the perspective of the Microsoft HoloLens engineering team, provides a detailed analysis of diffractive waveguide design, documenting how surface-relief gratings can achieve forty- to fifty-degree fields of view within lens thicknesses under fifteen millimeters, while noting that chromatic dispersion — visible as rainbow artifacts — remains the primary quality limitation of the diffractive approach.</w:t>
      </w:r>
      <w:r>
        <w:rPr>
          <w:rFonts w:ascii="Georgia" w:cs="Georgia" w:eastAsia="Georgia" w:hAnsi="Georgia"/>
          <w:sz w:val="22"/>
          <w:szCs w:val="22"/>
          <w:vertAlign w:val="superscript"/>
        </w:rPr>
        <w:t xml:space="preserve"> [B3]</w:t>
      </w:r>
      <w:r>
        <w:rPr>
          <w:rFonts w:ascii="Georgia" w:cs="Georgia" w:eastAsia="Georgia" w:hAnsi="Georgia"/>
          <w:sz w:val="22"/>
          <w:szCs w:val="22"/>
        </w:rPr>
        <w:t xml:space="preserve"> Geometric waveguides, as used in Lumus designs, avoid chromatic issues but require thicker assemblies with visible mirror structures. The 2023 </w:t>
      </w:r>
      <w:r>
        <w:rPr>
          <w:rFonts w:ascii="Georgia" w:cs="Georgia" w:eastAsia="Georgia" w:hAnsi="Georgia"/>
          <w:i/>
          <w:iCs/>
          <w:sz w:val="22"/>
          <w:szCs w:val="22"/>
        </w:rPr>
        <w:t xml:space="preserve">Nature Communications</w:t>
      </w:r>
      <w:r>
        <w:rPr>
          <w:rFonts w:ascii="Georgia" w:cs="Georgia" w:eastAsia="Georgia" w:hAnsi="Georgia"/>
          <w:sz w:val="22"/>
          <w:szCs w:val="22"/>
        </w:rPr>
        <w:t xml:space="preserve"> demonstration of waveguide holography for full-color three-dimensional AR represents a potential path toward the ideal of a combiner indistinguishable from ordinary glass.</w:t>
      </w:r>
      <w:r>
        <w:rPr>
          <w:rFonts w:ascii="Georgia" w:cs="Georgia" w:eastAsia="Georgia" w:hAnsi="Georgia"/>
          <w:sz w:val="22"/>
          <w:szCs w:val="22"/>
          <w:vertAlign w:val="superscript"/>
        </w:rPr>
        <w:t xml:space="preserve"> [B5]</w:t>
      </w:r>
      <w:r>
        <w:rPr>
          <w:rFonts w:ascii="Georgia" w:cs="Georgia" w:eastAsia="Georgia" w:hAnsi="Georgia"/>
          <w:sz w:val="22"/>
          <w:szCs w:val="22"/>
        </w:rPr>
        <w:t xml:space="preserve"> The monocular waveguide in Meta's Ray-Ban Display is a direct commercial descendant of this line of research, and its modest twenty-degree field of view illustrates how far production optics still sit from the wide-field ambition of the laboratory.</w:t>
      </w:r>
    </w:p>
    <w:p>
      <w:pPr>
        <w:pStyle w:val="Heading2"/>
      </w:pPr>
      <w:r>
        <w:t xml:space="preserve">3.3 Microdisplay Technologies: Micro-OLED and Micro-LED</w:t>
      </w:r>
    </w:p>
    <w:p>
      <w:pPr>
        <w:spacing w:after="160" w:line="320"/>
        <w:jc w:val="both"/>
      </w:pPr>
      <w:r>
        <w:rPr>
          <w:rFonts w:ascii="Georgia" w:cs="Georgia" w:eastAsia="Georgia" w:hAnsi="Georgia"/>
          <w:sz w:val="22"/>
          <w:szCs w:val="22"/>
        </w:rPr>
        <w:t xml:space="preserve">The image source must be extremely small, extremely bright, and extremely efficient. Two microdisplay technologies dominate the 2024–2026 landscape. Micro-OLED — organic light-emitting diodes on a silicon backplane — is used by Xreal, Viture, and RayNeo for their wearable-display glasses, offering excellent contrast, fast response, and mature manufacturing. Huang and colleagues' 2020 review in </w:t>
      </w:r>
      <w:r>
        <w:rPr>
          <w:rFonts w:ascii="Georgia" w:cs="Georgia" w:eastAsia="Georgia" w:hAnsi="Georgia"/>
          <w:i/>
          <w:iCs/>
          <w:sz w:val="22"/>
          <w:szCs w:val="22"/>
        </w:rPr>
        <w:t xml:space="preserve">Light: Science and Applications</w:t>
      </w:r>
      <w:r>
        <w:rPr>
          <w:rFonts w:ascii="Georgia" w:cs="Georgia" w:eastAsia="Georgia" w:hAnsi="Georgia"/>
          <w:sz w:val="22"/>
          <w:szCs w:val="22"/>
        </w:rPr>
        <w:t xml:space="preserve"> documents micro-OLED's advantages for near-eye use, including self-emission without a backlight, wide color gamut, and pixel densities exceeding three thousand pixels per inch.</w:t>
      </w:r>
      <w:r>
        <w:rPr>
          <w:rFonts w:ascii="Georgia" w:cs="Georgia" w:eastAsia="Georgia" w:hAnsi="Georgia"/>
          <w:sz w:val="22"/>
          <w:szCs w:val="22"/>
          <w:vertAlign w:val="superscript"/>
        </w:rPr>
        <w:t xml:space="preserve"> [B7]</w:t>
      </w:r>
      <w:r>
        <w:rPr>
          <w:rFonts w:ascii="Georgia" w:cs="Georgia" w:eastAsia="Georgia" w:hAnsi="Georgia"/>
          <w:sz w:val="22"/>
          <w:szCs w:val="22"/>
        </w:rPr>
        <w:t xml:space="preserve"> The Viture Beast, launched in April 2026, exemplifies the current state of the art with dual Sony micro-OLED panels rendering nineteen-hundred-by-twelve-hundred pixels per eye at a peak of twelve hundred fifty nits.</w:t>
      </w:r>
      <w:r>
        <w:rPr>
          <w:rFonts w:ascii="Georgia" w:cs="Georgia" w:eastAsia="Georgia" w:hAnsi="Georgia"/>
          <w:sz w:val="22"/>
          <w:szCs w:val="22"/>
          <w:vertAlign w:val="superscript"/>
        </w:rPr>
        <w:t xml:space="preserve"> [6.9]</w:t>
      </w:r>
    </w:p>
    <w:p>
      <w:pPr>
        <w:spacing w:after="160" w:line="320"/>
        <w:jc w:val="both"/>
      </w:pPr>
      <w:r>
        <w:rPr>
          <w:rFonts w:ascii="Georgia" w:cs="Georgia" w:eastAsia="Georgia" w:hAnsi="Georgia"/>
          <w:sz w:val="22"/>
          <w:szCs w:val="22"/>
        </w:rPr>
        <w:t xml:space="preserve">Micro-LED, using inorganic gallium-nitride emitters at micrometer scale, promises higher brightness, longer lifetime, and greater efficiency than micro-OLED, but faces severe manufacturing challenges at the pixel densities AR requires. Anwar and colleagues' 2022 review in </w:t>
      </w:r>
      <w:r>
        <w:rPr>
          <w:rFonts w:ascii="Georgia" w:cs="Georgia" w:eastAsia="Georgia" w:hAnsi="Georgia"/>
          <w:i/>
          <w:iCs/>
          <w:sz w:val="22"/>
          <w:szCs w:val="22"/>
        </w:rPr>
        <w:t xml:space="preserve">Laser and Photonics Reviews</w:t>
      </w:r>
      <w:r>
        <w:rPr>
          <w:rFonts w:ascii="Georgia" w:cs="Georgia" w:eastAsia="Georgia" w:hAnsi="Georgia"/>
          <w:sz w:val="22"/>
          <w:szCs w:val="22"/>
        </w:rPr>
        <w:t xml:space="preserve"> documents both the progress and the central obstacle: the mass transfer of millions of sub-ten-micrometer emitters onto silicon backplanes with acceptable yield.</w:t>
      </w:r>
      <w:r>
        <w:rPr>
          <w:rFonts w:ascii="Georgia" w:cs="Georgia" w:eastAsia="Georgia" w:hAnsi="Georgia"/>
          <w:sz w:val="22"/>
          <w:szCs w:val="22"/>
          <w:vertAlign w:val="superscript"/>
        </w:rPr>
        <w:t xml:space="preserve"> [B8]</w:t>
      </w:r>
      <w:r>
        <w:rPr>
          <w:rFonts w:ascii="Georgia" w:cs="Georgia" w:eastAsia="Georgia" w:hAnsi="Georgia"/>
          <w:sz w:val="22"/>
          <w:szCs w:val="22"/>
        </w:rPr>
        <w:t xml:space="preserve"> A 2023 feature in </w:t>
      </w:r>
      <w:r>
        <w:rPr>
          <w:rFonts w:ascii="Georgia" w:cs="Georgia" w:eastAsia="Georgia" w:hAnsi="Georgia"/>
          <w:i/>
          <w:iCs/>
          <w:sz w:val="22"/>
          <w:szCs w:val="22"/>
        </w:rPr>
        <w:t xml:space="preserve">MIT Technology Review</w:t>
      </w:r>
      <w:r>
        <w:rPr>
          <w:rFonts w:ascii="Georgia" w:cs="Georgia" w:eastAsia="Georgia" w:hAnsi="Georgia"/>
          <w:sz w:val="22"/>
          <w:szCs w:val="22"/>
        </w:rPr>
        <w:t xml:space="preserve"> observed that manufacturers had achieved monochrome micro-LED displays bright enough for waveguide AR — exceeding one million nits — while full-color micro-LED remained elusive.</w:t>
      </w:r>
      <w:r>
        <w:rPr>
          <w:rFonts w:ascii="Georgia" w:cs="Georgia" w:eastAsia="Georgia" w:hAnsi="Georgia"/>
          <w:sz w:val="22"/>
          <w:szCs w:val="22"/>
          <w:vertAlign w:val="superscript"/>
        </w:rPr>
        <w:t xml:space="preserve"> [D6]</w:t>
      </w:r>
      <w:r>
        <w:rPr>
          <w:rFonts w:ascii="Georgia" w:cs="Georgia" w:eastAsia="Georgia" w:hAnsi="Georgia"/>
          <w:sz w:val="22"/>
          <w:szCs w:val="22"/>
        </w:rPr>
        <w:t xml:space="preserve"> This is precisely why the Even Realities G1 and G2 use monochrome green micro-LED: single-color micro-LED is manufacturable at the required brightness and density today, whereas full-color awaits further breakthroughs. The engineering choice is legible in the product.</w:t>
      </w:r>
    </w:p>
    <w:p>
      <w:pPr>
        <w:pStyle w:val="Heading2"/>
      </w:pPr>
      <w:r>
        <w:t xml:space="preserve">3.4 Holographic and Freeform Optics: The Next Frontier</w:t>
      </w:r>
    </w:p>
    <w:p>
      <w:pPr>
        <w:spacing w:after="160" w:line="320"/>
        <w:jc w:val="both"/>
      </w:pPr>
      <w:r>
        <w:rPr>
          <w:rFonts w:ascii="Georgia" w:cs="Georgia" w:eastAsia="Georgia" w:hAnsi="Georgia"/>
          <w:sz w:val="22"/>
          <w:szCs w:val="22"/>
        </w:rPr>
        <w:t xml:space="preserve">Beyond waveguides, researchers pursue holographic and freeform approaches that could dramatically reduce size and weight while widening the field of view. Chang and colleagues' 2020 </w:t>
      </w:r>
      <w:r>
        <w:rPr>
          <w:rFonts w:ascii="Georgia" w:cs="Georgia" w:eastAsia="Georgia" w:hAnsi="Georgia"/>
          <w:i/>
          <w:iCs/>
          <w:sz w:val="22"/>
          <w:szCs w:val="22"/>
        </w:rPr>
        <w:t xml:space="preserve">Optica</w:t>
      </w:r>
      <w:r>
        <w:rPr>
          <w:rFonts w:ascii="Georgia" w:cs="Georgia" w:eastAsia="Georgia" w:hAnsi="Georgia"/>
          <w:sz w:val="22"/>
          <w:szCs w:val="22"/>
        </w:rPr>
        <w:t xml:space="preserve"> review of holographic near-eye displays documents computer-generated holography as a route to solving both the form-factor problem and the vergence-accommodation conflict simultaneously, because a true holographic display can reproduce a genuine three-dimensional light field rather than a flat image at a fixed focal plane.</w:t>
      </w:r>
      <w:r>
        <w:rPr>
          <w:rFonts w:ascii="Georgia" w:cs="Georgia" w:eastAsia="Georgia" w:hAnsi="Georgia"/>
          <w:sz w:val="22"/>
          <w:szCs w:val="22"/>
          <w:vertAlign w:val="superscript"/>
        </w:rPr>
        <w:t xml:space="preserve"> [C1]</w:t>
      </w:r>
      <w:r>
        <w:rPr>
          <w:rFonts w:ascii="Georgia" w:cs="Georgia" w:eastAsia="Georgia" w:hAnsi="Georgia"/>
          <w:sz w:val="22"/>
          <w:szCs w:val="22"/>
        </w:rPr>
        <w:t xml:space="preserve"> Kim and colleagues' 2022 SIGGRAPH work demonstrated holographic glasses weighing only sixty grams with two-and-a-half-millimeter-thick lenses — approaching ordinary-eyeglass form while delivering stereoscopic imagery.</w:t>
      </w:r>
      <w:r>
        <w:rPr>
          <w:rFonts w:ascii="Georgia" w:cs="Georgia" w:eastAsia="Georgia" w:hAnsi="Georgia"/>
          <w:sz w:val="22"/>
          <w:szCs w:val="22"/>
          <w:vertAlign w:val="superscript"/>
        </w:rPr>
        <w:t xml:space="preserve"> [C9]</w:t>
      </w:r>
    </w:p>
    <w:p>
      <w:pPr>
        <w:spacing w:after="160" w:line="320"/>
        <w:jc w:val="both"/>
      </w:pPr>
      <w:r>
        <w:rPr>
          <w:rFonts w:ascii="Georgia" w:cs="Georgia" w:eastAsia="Georgia" w:hAnsi="Georgia"/>
          <w:sz w:val="22"/>
          <w:szCs w:val="22"/>
        </w:rPr>
        <w:t xml:space="preserve">Freeform optics — lenses with complex, non-rotationally-symmetric surfaces — enable compact optical paths by folding light through geometries impossible with spherical or aspherical lenses. Nikolov and colleagues' 2021 </w:t>
      </w:r>
      <w:r>
        <w:rPr>
          <w:rFonts w:ascii="Georgia" w:cs="Georgia" w:eastAsia="Georgia" w:hAnsi="Georgia"/>
          <w:i/>
          <w:iCs/>
          <w:sz w:val="22"/>
          <w:szCs w:val="22"/>
        </w:rPr>
        <w:t xml:space="preserve">Science Advances</w:t>
      </w:r>
      <w:r>
        <w:rPr>
          <w:rFonts w:ascii="Georgia" w:cs="Georgia" w:eastAsia="Georgia" w:hAnsi="Georgia"/>
          <w:sz w:val="22"/>
          <w:szCs w:val="22"/>
        </w:rPr>
        <w:t xml:space="preserve"> work on “metaform” optics combined nanoscale metasurfaces with freeform geometry to achieve a wide field of view in an eyepiece thinner than prior designs.</w:t>
      </w:r>
      <w:r>
        <w:rPr>
          <w:rFonts w:ascii="Georgia" w:cs="Georgia" w:eastAsia="Georgia" w:hAnsi="Georgia"/>
          <w:sz w:val="22"/>
          <w:szCs w:val="22"/>
          <w:vertAlign w:val="superscript"/>
        </w:rPr>
        <w:t xml:space="preserve"> [C7]</w:t>
      </w:r>
      <w:r>
        <w:rPr>
          <w:rFonts w:ascii="Georgia" w:cs="Georgia" w:eastAsia="Georgia" w:hAnsi="Georgia"/>
          <w:sz w:val="22"/>
          <w:szCs w:val="22"/>
        </w:rPr>
        <w:t xml:space="preserve"> Gopakumar and colleagues' 2024 </w:t>
      </w:r>
      <w:r>
        <w:rPr>
          <w:rFonts w:ascii="Georgia" w:cs="Georgia" w:eastAsia="Georgia" w:hAnsi="Georgia"/>
          <w:i/>
          <w:iCs/>
          <w:sz w:val="22"/>
          <w:szCs w:val="22"/>
        </w:rPr>
        <w:t xml:space="preserve">Nature</w:t>
      </w:r>
      <w:r>
        <w:rPr>
          <w:rFonts w:ascii="Georgia" w:cs="Georgia" w:eastAsia="Georgia" w:hAnsi="Georgia"/>
          <w:sz w:val="22"/>
          <w:szCs w:val="22"/>
        </w:rPr>
        <w:t xml:space="preserve"> paper achieved full-color three-dimensional holographic AR through metasurface waveguides, which many regard as the first laboratory demonstration of the “ultimate” smart-glasses optical architecture.</w:t>
      </w:r>
      <w:r>
        <w:rPr>
          <w:rFonts w:ascii="Georgia" w:cs="Georgia" w:eastAsia="Georgia" w:hAnsi="Georgia"/>
          <w:sz w:val="22"/>
          <w:szCs w:val="22"/>
          <w:vertAlign w:val="superscript"/>
        </w:rPr>
        <w:t xml:space="preserve"> [B18]</w:t>
      </w:r>
      <w:r>
        <w:rPr>
          <w:rFonts w:ascii="Georgia" w:cs="Georgia" w:eastAsia="Georgia" w:hAnsi="Georgia"/>
          <w:sz w:val="22"/>
          <w:szCs w:val="22"/>
        </w:rPr>
        <w:t xml:space="preserve"> The distance between these laboratory results and shipping products remains the central story of AR optics: the physics is being solved years before the manufacturing economics permit it to ship in a 300-dollar consumer frame.</w:t>
      </w:r>
    </w:p>
    <w:p>
      <w:pPr>
        <w:pStyle w:val="Heading2"/>
      </w:pPr>
      <w:r>
        <w:t xml:space="preserve">3.5 The Unsolved Problems: Sunlight, Eyebox, and Efficiency</w:t>
      </w:r>
    </w:p>
    <w:p>
      <w:pPr>
        <w:spacing w:after="160" w:line="320"/>
        <w:jc w:val="both"/>
      </w:pPr>
      <w:r>
        <w:rPr>
          <w:rFonts w:ascii="Georgia" w:cs="Georgia" w:eastAsia="Georgia" w:hAnsi="Georgia"/>
          <w:sz w:val="22"/>
          <w:szCs w:val="22"/>
        </w:rPr>
        <w:t xml:space="preserve">A candid account of AR optics must dwell on what remains unsolved, because these constraints explain the specific, limited shape of shipping products and set realistic expectations for the near future. Three problems dominate. The first is sunlight readability. An outdoor environment can exceed one hundred thousand lux, and a display must compete with this to remain visible; achieving sufficient brightness at the eye, after the substantial optical losses inherent in waveguide extraction, demands enormous brightness at the source. Kress's authoritative treatment of AR optical architectures documents that waveguide combiners typically deliver only a small fraction of the source light to the pupil, which is why sunlight-readable AR has driven the industry toward micro-LED sources capable of extreme brightness.</w:t>
      </w:r>
      <w:r>
        <w:rPr>
          <w:rFonts w:ascii="Georgia" w:cs="Georgia" w:eastAsia="Georgia" w:hAnsi="Georgia"/>
          <w:sz w:val="22"/>
          <w:szCs w:val="22"/>
          <w:vertAlign w:val="superscript"/>
        </w:rPr>
        <w:t xml:space="preserve"> [B16]</w:t>
      </w:r>
      <w:r>
        <w:rPr>
          <w:rFonts w:ascii="Georgia" w:cs="Georgia" w:eastAsia="Georgia" w:hAnsi="Georgia"/>
          <w:sz w:val="22"/>
          <w:szCs w:val="22"/>
          <w:vertAlign w:val="superscript"/>
        </w:rPr>
        <w:t xml:space="preserve"> [B3]</w:t>
      </w:r>
    </w:p>
    <w:p>
      <w:pPr>
        <w:spacing w:after="160" w:line="320"/>
        <w:jc w:val="both"/>
      </w:pPr>
      <w:r>
        <w:rPr>
          <w:rFonts w:ascii="Georgia" w:cs="Georgia" w:eastAsia="Georgia" w:hAnsi="Georgia"/>
          <w:sz w:val="22"/>
          <w:szCs w:val="22"/>
        </w:rPr>
        <w:t xml:space="preserve">The second problem is the eyebox — the volume within which the eye can move and still see the full image. A small eyebox makes a display finicky and position-sensitive; enlarging it generally costs field of view, brightness, or lens thickness, a trilemma that Goodsell and colleagues analyze in terms of fundamental efficiency limits for waveguide in-couplers.</w:t>
      </w:r>
      <w:r>
        <w:rPr>
          <w:rFonts w:ascii="Georgia" w:cs="Georgia" w:eastAsia="Georgia" w:hAnsi="Georgia"/>
          <w:sz w:val="22"/>
          <w:szCs w:val="22"/>
          <w:vertAlign w:val="superscript"/>
        </w:rPr>
        <w:t xml:space="preserve"> [D5]</w:t>
      </w:r>
      <w:r>
        <w:rPr>
          <w:rFonts w:ascii="Georgia" w:cs="Georgia" w:eastAsia="Georgia" w:hAnsi="Georgia"/>
          <w:sz w:val="22"/>
          <w:szCs w:val="22"/>
        </w:rPr>
        <w:t xml:space="preserve"> The third problem is total system efficiency, which ties the first two to battery life: a brighter source and a larger eyebox both demand more power, and power is precisely the resource a slender frame can least afford. Ding and colleagues' analysis of breaking the optical-efficiency limit through polarization management represents one research direction toward relaxing this constraint.</w:t>
      </w:r>
      <w:r>
        <w:rPr>
          <w:rFonts w:ascii="Georgia" w:cs="Georgia" w:eastAsia="Georgia" w:hAnsi="Georgia"/>
          <w:sz w:val="22"/>
          <w:szCs w:val="22"/>
          <w:vertAlign w:val="superscript"/>
        </w:rPr>
        <w:t xml:space="preserve"> [C10]</w:t>
      </w:r>
    </w:p>
    <w:p>
      <w:pPr>
        <w:spacing w:after="160" w:line="320"/>
        <w:jc w:val="both"/>
      </w:pPr>
      <w:r>
        <w:rPr>
          <w:rFonts w:ascii="Georgia" w:cs="Georgia" w:eastAsia="Georgia" w:hAnsi="Georgia"/>
          <w:sz w:val="22"/>
          <w:szCs w:val="22"/>
        </w:rPr>
        <w:t xml:space="preserve">These constraints jointly explain why shipping products in 2026 make the choices they do: a monocular rather than binocular display to halve power and cost; a modest twenty- to twenty-seven-degree field of view rather than an immersive one; monochrome rather than full color where micro-LED is the only sufficiently bright source; and, most tellingly, a large and successful product tier — the screenless AI glasses — that sidesteps the display problem entirely by delivering augmentation through audio. The optics are improving along every axis, and the laboratory results surveyed in Section 3.4 point toward eventual resolution, but the gap between what is demonstrated in a laboratory and what can ship in a three-hundred-dollar consumer frame remains measured in years. A realistic buyer or builder should expect the display tier to advance incrementally rather than in a sudden leap, and should recognize that the screenless tier is not a way-station toward displays but a durable category in its own right.</w:t>
      </w:r>
    </w:p>
    <w:p>
      <w:r>
        <w:br w:type="page"/>
      </w:r>
    </w:p>
    <w:p>
      <w:pPr>
        <w:pStyle w:val="Heading1"/>
      </w:pPr>
      <w:r>
        <w:t xml:space="preserve">4. Eye Health Considerations</w:t>
      </w:r>
    </w:p>
    <w:p>
      <w:pPr>
        <w:spacing w:after="160" w:line="320"/>
        <w:jc w:val="both"/>
      </w:pPr>
      <w:r>
        <w:rPr>
          <w:rFonts w:ascii="Georgia" w:cs="Georgia" w:eastAsia="Georgia" w:hAnsi="Georgia"/>
          <w:sz w:val="22"/>
          <w:szCs w:val="22"/>
        </w:rPr>
        <w:t xml:space="preserve">Because smart glasses sit on the face and, in display-equipped models, place a light source near the eye, their ocular implications deserve careful, evidence-based treatment. This section synthesizes the peer-reviewed literature across four questions: whether blue-light emission poses a hazard, whether near-eye displays induce the vergence-accommodation conflict, whether the devices cause digital eye strain, and what all of this means specifically for contact-lens wearers. The overall conclusion, supported by the strongest available evidence including a Cochrane systematic review, is that the popular anxieties around blue light are largely unsupported, while the genuine concerns — strain from prolonged use and, in display models, focal conflict — are real but manageable.</w:t>
      </w:r>
    </w:p>
    <w:p>
      <w:pPr>
        <w:pStyle w:val="Heading2"/>
      </w:pPr>
      <w:r>
        <w:t xml:space="preserve">4.1 Blue-Light Exposure and the Weight of the Evidence</w:t>
      </w:r>
    </w:p>
    <w:p>
      <w:pPr>
        <w:spacing w:after="160" w:line="320"/>
        <w:jc w:val="both"/>
      </w:pPr>
      <w:r>
        <w:rPr>
          <w:rFonts w:ascii="Georgia" w:cs="Georgia" w:eastAsia="Georgia" w:hAnsi="Georgia"/>
          <w:sz w:val="22"/>
          <w:szCs w:val="22"/>
        </w:rPr>
        <w:t xml:space="preserve">A persistent public concern about digital displays generally, and smart glasses by extension, is the possibility of retinal harm from blue-light exposure. The strongest evidence directly contradicts the popular narrative. The 2023 Cochrane systematic review by Singh, Downie, and colleagues — pooling seventeen randomized controlled trials — found that blue-light-filtering spectacle lenses “may not attenuate symptoms of eye strain with computer use” over short-term follow-up, and identified no reliable evidence that such lenses protect retinal health or improve sleep.</w:t>
      </w:r>
      <w:r>
        <w:rPr>
          <w:rFonts w:ascii="Georgia" w:cs="Georgia" w:eastAsia="Georgia" w:hAnsi="Georgia"/>
          <w:sz w:val="22"/>
          <w:szCs w:val="22"/>
          <w:vertAlign w:val="superscript"/>
        </w:rPr>
        <w:t xml:space="preserve"> [E13]</w:t>
      </w:r>
      <w:r>
        <w:rPr>
          <w:rFonts w:ascii="Georgia" w:cs="Georgia" w:eastAsia="Georgia" w:hAnsi="Georgia"/>
          <w:sz w:val="22"/>
          <w:szCs w:val="22"/>
        </w:rPr>
        <w:t xml:space="preserve"> The review's senior author stated plainly that the findings do not support prescribing blue-light-filtering lenses to the general population. The American Academy of Ophthalmology has reached the same conclusion, stating that there is no scientific evidence that blue light from digital devices damages the eye, and declining to recommend blue-light-blocking eyewear for computer use.</w:t>
      </w:r>
      <w:r>
        <w:rPr>
          <w:rFonts w:ascii="Georgia" w:cs="Georgia" w:eastAsia="Georgia" w:hAnsi="Georgia"/>
          <w:sz w:val="22"/>
          <w:szCs w:val="22"/>
          <w:vertAlign w:val="superscript"/>
        </w:rPr>
        <w:t xml:space="preserve"> [E1]</w:t>
      </w:r>
      <w:r>
        <w:rPr>
          <w:rFonts w:ascii="Georgia" w:cs="Georgia" w:eastAsia="Georgia" w:hAnsi="Georgia"/>
          <w:sz w:val="22"/>
          <w:szCs w:val="22"/>
          <w:vertAlign w:val="superscript"/>
        </w:rPr>
        <w:t xml:space="preserve"> [E3]</w:t>
      </w:r>
    </w:p>
    <w:p>
      <w:pPr>
        <w:spacing w:after="160" w:line="320"/>
        <w:jc w:val="both"/>
      </w:pPr>
      <w:r>
        <w:rPr>
          <w:rFonts w:ascii="Georgia" w:cs="Georgia" w:eastAsia="Georgia" w:hAnsi="Georgia"/>
          <w:sz w:val="22"/>
          <w:szCs w:val="22"/>
        </w:rPr>
        <w:t xml:space="preserve">The physical magnitudes involved reinforce the clinical finding. Ophthalmologists at the University of Melbourne have noted that the blue light received from screens is on the order of a thousandth of what the eye receives from natural daylight.</w:t>
      </w:r>
      <w:r>
        <w:rPr>
          <w:rFonts w:ascii="Georgia" w:cs="Georgia" w:eastAsia="Georgia" w:hAnsi="Georgia"/>
          <w:sz w:val="22"/>
          <w:szCs w:val="22"/>
          <w:vertAlign w:val="superscript"/>
        </w:rPr>
        <w:t xml:space="preserve"> [E13]</w:t>
      </w:r>
      <w:r>
        <w:rPr>
          <w:rFonts w:ascii="Georgia" w:cs="Georgia" w:eastAsia="Georgia" w:hAnsi="Georgia"/>
          <w:sz w:val="22"/>
          <w:szCs w:val="22"/>
        </w:rPr>
        <w:t xml:space="preserve"> Cougnard-Gregoire and colleagues' 2023 review in </w:t>
      </w:r>
      <w:r>
        <w:rPr>
          <w:rFonts w:ascii="Georgia" w:cs="Georgia" w:eastAsia="Georgia" w:hAnsi="Georgia"/>
          <w:i/>
          <w:iCs/>
          <w:sz w:val="22"/>
          <w:szCs w:val="22"/>
        </w:rPr>
        <w:t xml:space="preserve">Ophthalmology and Therapy</w:t>
      </w:r>
      <w:r>
        <w:rPr>
          <w:rFonts w:ascii="Georgia" w:cs="Georgia" w:eastAsia="Georgia" w:hAnsi="Georgia"/>
          <w:sz w:val="22"/>
          <w:szCs w:val="22"/>
        </w:rPr>
        <w:t xml:space="preserve"> acknowledges that very high-intensity blue light can cause photochemical retinal damage in laboratory conditions, but confirms that consumer-display intensities fall orders of magnitude below the relevant thresholds.</w:t>
      </w:r>
      <w:r>
        <w:rPr>
          <w:rFonts w:ascii="Georgia" w:cs="Georgia" w:eastAsia="Georgia" w:hAnsi="Georgia"/>
          <w:sz w:val="22"/>
          <w:szCs w:val="22"/>
          <w:vertAlign w:val="superscript"/>
        </w:rPr>
        <w:t xml:space="preserve"> [E1]</w:t>
      </w:r>
      <w:r>
        <w:rPr>
          <w:rFonts w:ascii="Georgia" w:cs="Georgia" w:eastAsia="Georgia" w:hAnsi="Georgia"/>
          <w:sz w:val="22"/>
          <w:szCs w:val="22"/>
        </w:rPr>
        <w:t xml:space="preserve"> O'Hagan and colleagues measured blue-light output from consumer devices directly and concluded that even extended close-range use produces irradiance well within international safety guidelines.</w:t>
      </w:r>
      <w:r>
        <w:rPr>
          <w:rFonts w:ascii="Georgia" w:cs="Georgia" w:eastAsia="Georgia" w:hAnsi="Georgia"/>
          <w:sz w:val="22"/>
          <w:szCs w:val="22"/>
          <w:vertAlign w:val="superscript"/>
        </w:rPr>
        <w:t xml:space="preserve"> [E3]</w:t>
      </w:r>
      <w:r>
        <w:rPr>
          <w:rFonts w:ascii="Georgia" w:cs="Georgia" w:eastAsia="Georgia" w:hAnsi="Georgia"/>
          <w:sz w:val="22"/>
          <w:szCs w:val="22"/>
        </w:rPr>
        <w:t xml:space="preserve"> For the specific case at hand — a second-generation Ray-Ban Meta with no display — the question is moot: the device emits no display light at all. For display-equipped models, the emitted blue-light dose is a non-issue by every measure in the literature.</w:t>
      </w:r>
    </w:p>
    <w:p>
      <w:pPr>
        <w:pBdr>
          <w:top w:val="single" w:color="CCCCCC" w:sz="4" w:space="6"/>
          <w:bottom w:val="single" w:color="CCCCCC" w:sz="4" w:space="6"/>
          <w:left w:val="single" w:color="CCCCCC" w:sz="4" w:space="6"/>
          <w:right w:val="single" w:color="CCCCCC" w:sz="4" w:space="6"/>
        </w:pBdr>
        <w:shd w:fill="D5F5E3" w:val="clear"/>
        <w:spacing w:after="160" w:before="120" w:line="300"/>
        <w:ind w:left="200" w:right="200"/>
      </w:pPr>
      <w:r>
        <w:rPr>
          <w:rFonts w:ascii="Calibri" w:cs="Calibri" w:eastAsia="Calibri" w:hAnsi="Calibri"/>
          <w:b/>
          <w:bCs/>
          <w:color w:val="1E1E2E"/>
          <w:sz w:val="20"/>
          <w:szCs w:val="20"/>
        </w:rPr>
        <w:t xml:space="preserve">CLINICAL BOTTOM LINE  </w:t>
      </w:r>
      <w:r>
        <w:rPr>
          <w:rFonts w:ascii="Calibri" w:cs="Calibri" w:eastAsia="Calibri" w:hAnsi="Calibri"/>
          <w:color w:val="1E1E2E"/>
          <w:sz w:val="20"/>
          <w:szCs w:val="20"/>
        </w:rPr>
        <w:t xml:space="preserve">The best available evidence — a Cochrane systematic review of 17 RCTs plus the position of the American Academy of Ophthalmology — finds no benefit from blue-light-filtering lenses and no evidence of blue-light retinal harm from consumer devices. Blue-light-blocking coatings on smart-glasses lenses are neither necessary nor harmful; they are, on the evidence, cosmetic.</w:t>
      </w:r>
    </w:p>
    <w:p>
      <w:pPr>
        <w:pStyle w:val="Heading2"/>
      </w:pPr>
      <w:r>
        <w:t xml:space="preserve">4.2 The Vergence-Accommodation Conflict</w:t>
      </w:r>
    </w:p>
    <w:p>
      <w:pPr>
        <w:spacing w:after="160" w:line="320"/>
        <w:jc w:val="both"/>
      </w:pPr>
      <w:r>
        <w:rPr>
          <w:rFonts w:ascii="Georgia" w:cs="Georgia" w:eastAsia="Georgia" w:hAnsi="Georgia"/>
          <w:sz w:val="22"/>
          <w:szCs w:val="22"/>
        </w:rPr>
        <w:t xml:space="preserve">The more scientifically substantiated concern for display-equipped AR glasses is the vergence-accommodation conflict. In natural vision the eyes' convergence angle and their lens focusing distance are neurally coupled: both track the same physical depth. Near-eye displays break this coupling by presenting an image at a fixed optical distance — typically one to three meters for AR glasses — while virtual content may appear to sit at other depths, forcing the visual system to decouple vergence from accommodation. Kramida's 2016 </w:t>
      </w:r>
      <w:r>
        <w:rPr>
          <w:rFonts w:ascii="Georgia" w:cs="Georgia" w:eastAsia="Georgia" w:hAnsi="Georgia"/>
          <w:i/>
          <w:iCs/>
          <w:sz w:val="22"/>
          <w:szCs w:val="22"/>
        </w:rPr>
        <w:t xml:space="preserve">IEEE Transactions on Visualization and Computer Graphics</w:t>
      </w:r>
      <w:r>
        <w:rPr>
          <w:rFonts w:ascii="Georgia" w:cs="Georgia" w:eastAsia="Georgia" w:hAnsi="Georgia"/>
          <w:sz w:val="22"/>
          <w:szCs w:val="22"/>
        </w:rPr>
        <w:t xml:space="preserve"> review remains the definitive analysis, cataloguing symptoms including visual fatigue, headache, diplopia, and reduced stereoacuity, and surveying the display architectures proposed to resolve the conflict.</w:t>
      </w:r>
      <w:r>
        <w:rPr>
          <w:rFonts w:ascii="Georgia" w:cs="Georgia" w:eastAsia="Georgia" w:hAnsi="Georgia"/>
          <w:sz w:val="22"/>
          <w:szCs w:val="22"/>
          <w:vertAlign w:val="superscript"/>
        </w:rPr>
        <w:t xml:space="preserve"> [E4]</w:t>
      </w:r>
    </w:p>
    <w:p>
      <w:pPr>
        <w:spacing w:after="160" w:line="320"/>
        <w:jc w:val="both"/>
      </w:pPr>
      <w:r>
        <w:rPr>
          <w:rFonts w:ascii="Georgia" w:cs="Georgia" w:eastAsia="Georgia" w:hAnsi="Georgia"/>
          <w:sz w:val="22"/>
          <w:szCs w:val="22"/>
        </w:rPr>
        <w:t xml:space="preserve">Hoffman and colleagues' foundational 2008 study in the </w:t>
      </w:r>
      <w:r>
        <w:rPr>
          <w:rFonts w:ascii="Georgia" w:cs="Georgia" w:eastAsia="Georgia" w:hAnsi="Georgia"/>
          <w:i/>
          <w:iCs/>
          <w:sz w:val="22"/>
          <w:szCs w:val="22"/>
        </w:rPr>
        <w:t xml:space="preserve">Journal of Vision</w:t>
      </w:r>
      <w:r>
        <w:rPr>
          <w:rFonts w:ascii="Georgia" w:cs="Georgia" w:eastAsia="Georgia" w:hAnsi="Georgia"/>
          <w:sz w:val="22"/>
          <w:szCs w:val="22"/>
        </w:rPr>
        <w:t xml:space="preserve"> demonstrated experimentally that the conflict degrades performance in depth-judgment tasks and accelerates visual fatigue.</w:t>
      </w:r>
      <w:r>
        <w:rPr>
          <w:rFonts w:ascii="Georgia" w:cs="Georgia" w:eastAsia="Georgia" w:hAnsi="Georgia"/>
          <w:sz w:val="22"/>
          <w:szCs w:val="22"/>
          <w:vertAlign w:val="superscript"/>
        </w:rPr>
        <w:t xml:space="preserve"> [E5]</w:t>
      </w:r>
      <w:r>
        <w:rPr>
          <w:rFonts w:ascii="Georgia" w:cs="Georgia" w:eastAsia="Georgia" w:hAnsi="Georgia"/>
          <w:sz w:val="22"/>
          <w:szCs w:val="22"/>
        </w:rPr>
        <w:t xml:space="preserve"> Critically for smart glasses, the severity of the conflict scales with the field of view and the duration of sustained viewing. The current generation of information-display glasses — the Even Realities G2 at roughly twenty-seven degrees, the Meta Ray-Ban Display at twenty degrees — produces minimal conflict because the display occupies a small portion of the visual field and is used for glanceable information rather than immersive content. Wearable-display glasses such as the Xreal One Pro, at fifty-seven degrees and intended for feature-length viewing, produce more significant conflict during extended sessions.</w:t>
      </w:r>
      <w:r>
        <w:rPr>
          <w:rFonts w:ascii="Georgia" w:cs="Georgia" w:eastAsia="Georgia" w:hAnsi="Georgia"/>
          <w:sz w:val="22"/>
          <w:szCs w:val="22"/>
          <w:vertAlign w:val="superscript"/>
        </w:rPr>
        <w:t xml:space="preserve"> [E6]</w:t>
      </w:r>
      <w:r>
        <w:rPr>
          <w:rFonts w:ascii="Georgia" w:cs="Georgia" w:eastAsia="Georgia" w:hAnsi="Georgia"/>
          <w:sz w:val="22"/>
          <w:szCs w:val="22"/>
          <w:vertAlign w:val="superscript"/>
        </w:rPr>
        <w:t xml:space="preserve"> [E7]</w:t>
      </w:r>
      <w:r>
        <w:rPr>
          <w:rFonts w:ascii="Georgia" w:cs="Georgia" w:eastAsia="Georgia" w:hAnsi="Georgia"/>
          <w:sz w:val="22"/>
          <w:szCs w:val="22"/>
        </w:rPr>
        <w:t xml:space="preserve"> This is the physiological basis for the standard recommendation, discussed below, to interrupt sustained near-display viewing at regular intervals.</w:t>
      </w:r>
    </w:p>
    <w:p>
      <w:pPr>
        <w:pStyle w:val="Heading2"/>
      </w:pPr>
      <w:r>
        <w:t xml:space="preserve">4.3 Digital Eye Strain and Incomplete Blinking</w:t>
      </w:r>
    </w:p>
    <w:p>
      <w:pPr>
        <w:spacing w:after="160" w:line="320"/>
        <w:jc w:val="both"/>
      </w:pPr>
      <w:r>
        <w:rPr>
          <w:rFonts w:ascii="Georgia" w:cs="Georgia" w:eastAsia="Georgia" w:hAnsi="Georgia"/>
          <w:sz w:val="22"/>
          <w:szCs w:val="22"/>
        </w:rPr>
        <w:t xml:space="preserve">Digital eye strain — the constellation of ocular discomfort, dryness, and visual fatigue associated with prolonged screen use — is a genuine phenomenon, but its causes are ergonomic and behavioral rather than radiative. Auffret and colleagues' 2023 review identifies gaze angle, viewing distance, and posture as primary contributors, alongside a well-documented reduction in blink rate during focused visual tasks.</w:t>
      </w:r>
      <w:r>
        <w:rPr>
          <w:rFonts w:ascii="Georgia" w:cs="Georgia" w:eastAsia="Georgia" w:hAnsi="Georgia"/>
          <w:sz w:val="22"/>
          <w:szCs w:val="22"/>
          <w:vertAlign w:val="superscript"/>
        </w:rPr>
        <w:t xml:space="preserve"> [E11]</w:t>
      </w:r>
      <w:r>
        <w:rPr>
          <w:rFonts w:ascii="Georgia" w:cs="Georgia" w:eastAsia="Georgia" w:hAnsi="Georgia"/>
          <w:sz w:val="22"/>
          <w:szCs w:val="22"/>
        </w:rPr>
        <w:t xml:space="preserve"> The Tear Film and Ocular Surface Society's 2023 lifestyle report quantifies the blink effect, noting that focused digital work can reduce blink rate by forty to sixty percent, promoting tear-film instability.</w:t>
      </w:r>
      <w:r>
        <w:rPr>
          <w:rFonts w:ascii="Georgia" w:cs="Georgia" w:eastAsia="Georgia" w:hAnsi="Georgia"/>
          <w:sz w:val="22"/>
          <w:szCs w:val="22"/>
          <w:vertAlign w:val="superscript"/>
        </w:rPr>
        <w:t xml:space="preserve"> [E8]</w:t>
      </w:r>
      <w:r>
        <w:rPr>
          <w:rFonts w:ascii="Georgia" w:cs="Georgia" w:eastAsia="Georgia" w:hAnsi="Georgia"/>
          <w:sz w:val="22"/>
          <w:szCs w:val="22"/>
        </w:rPr>
        <w:t xml:space="preserve"> Palumbo and colleagues' analysis of digital eye strain in head-mounted displays specifically found that a majority of users interrupt extended sessions due to discomfort, underscoring that the strain is real even where the radiative hazard is not.</w:t>
      </w:r>
      <w:r>
        <w:rPr>
          <w:rFonts w:ascii="Georgia" w:cs="Georgia" w:eastAsia="Georgia" w:hAnsi="Georgia"/>
          <w:sz w:val="22"/>
          <w:szCs w:val="22"/>
          <w:vertAlign w:val="superscript"/>
        </w:rPr>
        <w:t xml:space="preserve"> [E9]</w:t>
      </w:r>
    </w:p>
    <w:p>
      <w:pPr>
        <w:spacing w:after="160" w:line="320"/>
        <w:jc w:val="both"/>
      </w:pPr>
      <w:r>
        <w:rPr>
          <w:rFonts w:ascii="Georgia" w:cs="Georgia" w:eastAsia="Georgia" w:hAnsi="Georgia"/>
          <w:sz w:val="22"/>
          <w:szCs w:val="22"/>
        </w:rPr>
        <w:t xml:space="preserve">Here smart glasses present a genuine ergonomic advantage over the smartphone. Because the display or the visual field sits at eye level, the device encourages a neutral, forward-looking head posture rather than the sustained downward neck flexion and near-focus of phone use. For a screenless device such as the second-generation Ray-Ban Meta, there is no near-focus demand at all; the wearer's eyes focus on the world as they normally would while the AI operates through audio. The strain profile of an audio-and-camera smart glass is therefore substantially gentler than that of the smartphone it partially replaces.</w:t>
      </w:r>
    </w:p>
    <w:p>
      <w:pPr>
        <w:pStyle w:val="Heading2"/>
      </w:pPr>
      <w:r>
        <w:t xml:space="preserve">4.4 Contact-Lens Compatibility</w:t>
      </w:r>
    </w:p>
    <w:p>
      <w:pPr>
        <w:spacing w:after="160" w:line="320"/>
        <w:jc w:val="both"/>
      </w:pPr>
      <w:r>
        <w:rPr>
          <w:rFonts w:ascii="Georgia" w:cs="Georgia" w:eastAsia="Georgia" w:hAnsi="Georgia"/>
          <w:sz w:val="22"/>
          <w:szCs w:val="22"/>
        </w:rPr>
        <w:t xml:space="preserve">Smart glasses are fully compatible with contact-lens wear, a point of direct practical relevance to this paper's author and to a large fraction of prospective users. Because contact lenses correct refractive error at the corneal surface, they do not interfere with the optical path of a smart-glasses display, which presents its image at a virtual distance of one to three meters. Wearers of wearable-display models simply set any dioptric adjustment to zero; wearers of screenless models such as the Wayfarer need make no adjustment at all. The one behavioral caveat follows from the blink-rate reduction discussed above: because reduced blinking accelerates contact-lens dehydration, wearers engaged in extended AI-interaction sessions should keep rewetting drops accessible, exactly as they would during any prolonged visual task.</w:t>
      </w:r>
      <w:r>
        <w:rPr>
          <w:rFonts w:ascii="Georgia" w:cs="Georgia" w:eastAsia="Georgia" w:hAnsi="Georgia"/>
          <w:sz w:val="22"/>
          <w:szCs w:val="22"/>
          <w:vertAlign w:val="superscript"/>
        </w:rPr>
        <w:t xml:space="preserve"> [E8]</w:t>
      </w:r>
    </w:p>
    <w:p>
      <w:pPr>
        <w:spacing w:after="160" w:line="320"/>
        <w:jc w:val="both"/>
      </w:pPr>
      <w:r>
        <w:rPr>
          <w:rFonts w:ascii="Georgia" w:cs="Georgia" w:eastAsia="Georgia" w:hAnsi="Georgia"/>
          <w:sz w:val="22"/>
          <w:szCs w:val="22"/>
        </w:rPr>
        <w:t xml:space="preserve">A small observational study of logistics workers using smart glasses found no group-level change in visual acuity but reported elevated odds of subjective near-vision deterioration among workers over forty, alongside short-term discomfort rather than lasting damage.</w:t>
      </w:r>
      <w:r>
        <w:rPr>
          <w:rFonts w:ascii="Georgia" w:cs="Georgia" w:eastAsia="Georgia" w:hAnsi="Georgia"/>
          <w:sz w:val="22"/>
          <w:szCs w:val="22"/>
          <w:vertAlign w:val="superscript"/>
        </w:rPr>
        <w:t xml:space="preserve"> [E12]</w:t>
      </w:r>
      <w:r>
        <w:rPr>
          <w:rFonts w:ascii="Georgia" w:cs="Georgia" w:eastAsia="Georgia" w:hAnsi="Georgia"/>
          <w:sz w:val="22"/>
          <w:szCs w:val="22"/>
        </w:rPr>
        <w:t xml:space="preserve"> The evidence base specific to smart glasses and contact-lens interaction remains thin in scale and duration — a genuine gap rather than a reassuring null result — and this paper found no major peer-reviewed study published in the narrow window of April through July 2026 that changes the picture. The prudent synthesis is that ordinary contact-lens hygiene, the twenty-twenty-twenty rule for any sustained near-display use, and attention to ambient humidity together address the realistic risks.</w:t>
      </w:r>
    </w:p>
    <w:p>
      <w:pPr>
        <w:pBdr>
          <w:top w:val="single" w:color="CCCCCC" w:sz="4" w:space="6"/>
          <w:bottom w:val="single" w:color="CCCCCC" w:sz="4" w:space="6"/>
          <w:left w:val="single" w:color="CCCCCC" w:sz="4" w:space="6"/>
          <w:right w:val="single" w:color="CCCCCC" w:sz="4" w:space="6"/>
        </w:pBdr>
        <w:shd w:fill="E8F0FE" w:val="clear"/>
        <w:spacing w:after="160" w:before="120" w:line="300"/>
        <w:ind w:left="200" w:right="200"/>
      </w:pPr>
      <w:r>
        <w:rPr>
          <w:rFonts w:ascii="Calibri" w:cs="Calibri" w:eastAsia="Calibri" w:hAnsi="Calibri"/>
          <w:b/>
          <w:bCs/>
          <w:color w:val="1E1E2E"/>
          <w:sz w:val="20"/>
          <w:szCs w:val="20"/>
        </w:rPr>
        <w:t xml:space="preserve">PRACTICAL GUIDANCE FOR CONTACT-LENS WEARERS  </w:t>
      </w:r>
      <w:r>
        <w:rPr>
          <w:rFonts w:ascii="Calibri" w:cs="Calibri" w:eastAsia="Calibri" w:hAnsi="Calibri"/>
          <w:color w:val="1E1E2E"/>
          <w:sz w:val="20"/>
          <w:szCs w:val="20"/>
        </w:rPr>
        <w:t xml:space="preserve">Wear contacts exactly as usual; set any display diopter dial to zero. Keep rewetting drops within reach for long AI-interaction sessions, since focused use reduces blink rate. Apply the 20-20-20 rule (every 20 minutes, view something ~6 meters away for 20 seconds) for any extended display viewing. Photochromic Transitions lenses add outdoor UV protection with no documented downside.</w:t>
      </w:r>
    </w:p>
    <w:p>
      <w:r>
        <w:br w:type="page"/>
      </w:r>
    </w:p>
    <w:p>
      <w:pPr>
        <w:pStyle w:val="Heading1"/>
      </w:pPr>
      <w:r>
        <w:t xml:space="preserve">5. Privacy, Social Acceptance, and the Facial-Recognition Frontier</w:t>
      </w:r>
    </w:p>
    <w:p>
      <w:pPr>
        <w:spacing w:after="160" w:line="320"/>
        <w:jc w:val="both"/>
      </w:pPr>
      <w:r>
        <w:rPr>
          <w:rFonts w:ascii="Georgia" w:cs="Georgia" w:eastAsia="Georgia" w:hAnsi="Georgia"/>
          <w:sz w:val="22"/>
          <w:szCs w:val="22"/>
        </w:rPr>
        <w:t xml:space="preserve">The social dimension of smart glasses — especially camera-equipped models — remains the category's most significant non-technical barrier and its most serious ethical fault line. This section reviews the human-computer-interaction literature on wearer and bystander experience, then examines the specific 2026 controversy over on-device facial recognition, which represents the sharpest form the privacy question has yet taken.</w:t>
      </w:r>
    </w:p>
    <w:p>
      <w:pPr>
        <w:pStyle w:val="Heading2"/>
      </w:pPr>
      <w:r>
        <w:t xml:space="preserve">5.1 Wearer and Bystander Perspectives</w:t>
      </w:r>
    </w:p>
    <w:p>
      <w:pPr>
        <w:spacing w:after="160" w:line="320"/>
        <w:jc w:val="both"/>
      </w:pPr>
      <w:r>
        <w:rPr>
          <w:rFonts w:ascii="Georgia" w:cs="Georgia" w:eastAsia="Georgia" w:hAnsi="Georgia"/>
          <w:sz w:val="22"/>
          <w:szCs w:val="22"/>
        </w:rPr>
        <w:t xml:space="preserve">Bhardwaj and colleagues' 2024 CHI paper found that wearers themselves experience privacy tension, frequently self-censoring recording behavior in social settings and developing informal protocols — announcing recording, removing the glasses in intimate spaces — to manage bystander comfort.</w:t>
      </w:r>
      <w:r>
        <w:rPr>
          <w:rFonts w:ascii="Georgia" w:cs="Georgia" w:eastAsia="Georgia" w:hAnsi="Georgia"/>
          <w:sz w:val="22"/>
          <w:szCs w:val="22"/>
          <w:vertAlign w:val="superscript"/>
        </w:rPr>
        <w:t xml:space="preserve"> [F1]</w:t>
      </w:r>
      <w:r>
        <w:rPr>
          <w:rFonts w:ascii="Georgia" w:cs="Georgia" w:eastAsia="Georgia" w:hAnsi="Georgia"/>
          <w:sz w:val="22"/>
          <w:szCs w:val="22"/>
        </w:rPr>
        <w:t xml:space="preserve"> This echoes Koelle and colleagues' earlier finding that a bystander's primary concern is not the technology as such but the perceived power asymmetry: the wearer can record without visible effort, while the bystander cannot readily determine whether recording is occurring.</w:t>
      </w:r>
      <w:r>
        <w:rPr>
          <w:rFonts w:ascii="Georgia" w:cs="Georgia" w:eastAsia="Georgia" w:hAnsi="Georgia"/>
          <w:sz w:val="22"/>
          <w:szCs w:val="22"/>
          <w:vertAlign w:val="superscript"/>
        </w:rPr>
        <w:t xml:space="preserve"> [F2]</w:t>
      </w:r>
      <w:r>
        <w:rPr>
          <w:rFonts w:ascii="Georgia" w:cs="Georgia" w:eastAsia="Georgia" w:hAnsi="Georgia"/>
          <w:sz w:val="22"/>
          <w:szCs w:val="22"/>
        </w:rPr>
        <w:t xml:space="preserve"> Denning and colleagues' in-situ study and Hoyle and colleagues' work on lifelogging cameras both document the same asymmetry from the bystander side.</w:t>
      </w:r>
      <w:r>
        <w:rPr>
          <w:rFonts w:ascii="Georgia" w:cs="Georgia" w:eastAsia="Georgia" w:hAnsi="Georgia"/>
          <w:sz w:val="22"/>
          <w:szCs w:val="22"/>
          <w:vertAlign w:val="superscript"/>
        </w:rPr>
        <w:t xml:space="preserve"> [F4]</w:t>
      </w:r>
      <w:r>
        <w:rPr>
          <w:rFonts w:ascii="Georgia" w:cs="Georgia" w:eastAsia="Georgia" w:hAnsi="Georgia"/>
          <w:sz w:val="22"/>
          <w:szCs w:val="22"/>
          <w:vertAlign w:val="superscript"/>
        </w:rPr>
        <w:t xml:space="preserve"> [F5]</w:t>
      </w:r>
    </w:p>
    <w:p>
      <w:pPr>
        <w:spacing w:after="160" w:line="320"/>
        <w:jc w:val="both"/>
      </w:pPr>
      <w:r>
        <w:rPr>
          <w:rFonts w:ascii="Georgia" w:cs="Georgia" w:eastAsia="Georgia" w:hAnsi="Georgia"/>
          <w:sz w:val="22"/>
          <w:szCs w:val="22"/>
        </w:rPr>
        <w:t xml:space="preserve">A recurring HCI proposal is to redesign the recording indicator so that bystanders can reliably perceive it. Koelle and colleagues' study of privacy-notice design for body-worn cameras found that a small LED is insufficient, and that social legitimacy depends on indicators bystanders can actually see at conversational distance.</w:t>
      </w:r>
      <w:r>
        <w:rPr>
          <w:rFonts w:ascii="Georgia" w:cs="Georgia" w:eastAsia="Georgia" w:hAnsi="Georgia"/>
          <w:sz w:val="22"/>
          <w:szCs w:val="22"/>
          <w:vertAlign w:val="superscript"/>
        </w:rPr>
        <w:t xml:space="preserve"> [F6]</w:t>
      </w:r>
      <w:r>
        <w:rPr>
          <w:rFonts w:ascii="Georgia" w:cs="Georgia" w:eastAsia="Georgia" w:hAnsi="Georgia"/>
          <w:sz w:val="22"/>
          <w:szCs w:val="22"/>
        </w:rPr>
        <w:t xml:space="preserve"> Meta's second-generation glasses use exactly such a small LED, and contemporary analysis specific to the Ray-Ban Meta generation — including 2026 CHI work mapping wearer-bystander tensions — finds that the indicator is widely perceived as inadequate, often invisible at conversational range or in bright light.</w:t>
      </w:r>
      <w:r>
        <w:rPr>
          <w:rFonts w:ascii="Georgia" w:cs="Georgia" w:eastAsia="Georgia" w:hAnsi="Georgia"/>
          <w:sz w:val="22"/>
          <w:szCs w:val="22"/>
          <w:vertAlign w:val="superscript"/>
        </w:rPr>
        <w:t xml:space="preserve"> [F9]</w:t>
      </w:r>
      <w:r>
        <w:rPr>
          <w:rFonts w:ascii="Georgia" w:cs="Georgia" w:eastAsia="Georgia" w:hAnsi="Georgia"/>
          <w:sz w:val="22"/>
          <w:szCs w:val="22"/>
        </w:rPr>
        <w:t xml:space="preserve"> Steil and colleagues' PrivacEye system demonstrated a technical alternative: using on-device eye tracking to detect when a wearer attends to sensitive content and automatically degrade the camera feed, showing that privacy-preserving capture is feasible in principle.</w:t>
      </w:r>
      <w:r>
        <w:rPr>
          <w:rFonts w:ascii="Georgia" w:cs="Georgia" w:eastAsia="Georgia" w:hAnsi="Georgia"/>
          <w:sz w:val="22"/>
          <w:szCs w:val="22"/>
          <w:vertAlign w:val="superscript"/>
        </w:rPr>
        <w:t xml:space="preserve"> [F3]</w:t>
      </w:r>
    </w:p>
    <w:p>
      <w:pPr>
        <w:pStyle w:val="Heading2"/>
      </w:pPr>
      <w:r>
        <w:t xml:space="preserve">5.2 The Facial-Recognition Controversy of 2026</w:t>
      </w:r>
    </w:p>
    <w:p>
      <w:pPr>
        <w:spacing w:after="160" w:line="320"/>
        <w:jc w:val="both"/>
      </w:pPr>
      <w:r>
        <w:rPr>
          <w:rFonts w:ascii="Georgia" w:cs="Georgia" w:eastAsia="Georgia" w:hAnsi="Georgia"/>
          <w:sz w:val="22"/>
          <w:szCs w:val="22"/>
        </w:rPr>
        <w:t xml:space="preserve">The privacy question took its sharpest form yet in 2026. In June, investigative reporting revealed that dormant facial-recognition code had been found on tens of millions of Meta devices, and that Meta had removed a version of the capability under pressure from a coalition of more than seventy civil-rights organizations.</w:t>
      </w:r>
      <w:r>
        <w:rPr>
          <w:rFonts w:ascii="Georgia" w:cs="Georgia" w:eastAsia="Georgia" w:hAnsi="Georgia"/>
          <w:sz w:val="22"/>
          <w:szCs w:val="22"/>
          <w:vertAlign w:val="superscript"/>
        </w:rPr>
        <w:t xml:space="preserve"> [F13]</w:t>
      </w:r>
      <w:r>
        <w:rPr>
          <w:rFonts w:ascii="Georgia" w:cs="Georgia" w:eastAsia="Georgia" w:hAnsi="Georgia"/>
          <w:sz w:val="22"/>
          <w:szCs w:val="22"/>
        </w:rPr>
        <w:t xml:space="preserve"> The concern is qualitatively different from recording. A camera that records is a documented, decades-old privacy problem; a wearable that silently identifies strangers by name in real time, potentially linking them to public records or social-media profiles, represents a categorical escalation — the transformation of every social encounter into a database query. The prospect that a future “Name Tag” feature could overlay identifying information on non-consenting bystanders is the precise nightmare that privacy scholars have warned of since the Glass era, now technically imminent rather than hypothetical.</w:t>
      </w:r>
    </w:p>
    <w:p>
      <w:pPr>
        <w:spacing w:after="160" w:line="320"/>
        <w:jc w:val="both"/>
      </w:pPr>
      <w:r>
        <w:rPr>
          <w:rFonts w:ascii="Georgia" w:cs="Georgia" w:eastAsia="Georgia" w:hAnsi="Georgia"/>
          <w:sz w:val="22"/>
          <w:szCs w:val="22"/>
        </w:rPr>
        <w:t xml:space="preserve">This controversy sharpens, rather than resolves, the case for local-first architectures that this paper develops in Sections 7 and 8. A locally-processed perception loop does not by itself prevent facial recognition — a determined builder could run a face-matching model locally — but it changes the institutional incentives. Cloud-based recognition at platform scale creates a centralized identification infrastructure owned by a single company and subject to a single set of commercial and governmental pressures; locally-processed perception keeps the capability, and the data, dispersed and under individual control. The distinction does not dissolve the ethical problem, but it relocates the locus of power, and that relocation is the strongest normative argument for the local-first paradigm.</w:t>
      </w:r>
    </w:p>
    <w:p>
      <w:pPr>
        <w:pBdr>
          <w:top w:val="single" w:color="CCCCCC" w:sz="4" w:space="6"/>
          <w:bottom w:val="single" w:color="CCCCCC" w:sz="4" w:space="6"/>
          <w:left w:val="single" w:color="CCCCCC" w:sz="4" w:space="6"/>
          <w:right w:val="single" w:color="CCCCCC" w:sz="4" w:space="6"/>
        </w:pBdr>
        <w:shd w:fill="FCE8E8" w:val="clear"/>
        <w:spacing w:after="160" w:before="120" w:line="300"/>
        <w:ind w:left="200" w:right="200"/>
      </w:pPr>
      <w:r>
        <w:rPr>
          <w:rFonts w:ascii="Calibri" w:cs="Calibri" w:eastAsia="Calibri" w:hAnsi="Calibri"/>
          <w:b/>
          <w:bCs/>
          <w:color w:val="1E1E2E"/>
          <w:sz w:val="20"/>
          <w:szCs w:val="20"/>
        </w:rPr>
        <w:t xml:space="preserve">ETHICAL POSITION  </w:t>
      </w:r>
      <w:r>
        <w:rPr>
          <w:rFonts w:ascii="Calibri" w:cs="Calibri" w:eastAsia="Calibri" w:hAnsi="Calibri"/>
          <w:color w:val="1E1E2E"/>
          <w:sz w:val="20"/>
          <w:szCs w:val="20"/>
        </w:rPr>
        <w:t xml:space="preserve">This paper treats real-time identification of non-consenting bystanders as a bright ethical line. The local-first architecture it advocates is not a license to build private facial recognition; it is an argument against centralized identification infrastructure. Builders should treat bystander identification as out of scope regardless of where the computation runs.</w:t>
      </w:r>
    </w:p>
    <w:p>
      <w:pPr>
        <w:pStyle w:val="Heading2"/>
      </w:pPr>
      <w:r>
        <w:t xml:space="preserve">5.3 The Trajectory of Social Acceptance</w:t>
      </w:r>
    </w:p>
    <w:p>
      <w:pPr>
        <w:spacing w:after="160" w:line="320"/>
        <w:jc w:val="both"/>
      </w:pPr>
      <w:r>
        <w:rPr>
          <w:rFonts w:ascii="Georgia" w:cs="Georgia" w:eastAsia="Georgia" w:hAnsi="Georgia"/>
          <w:sz w:val="22"/>
          <w:szCs w:val="22"/>
        </w:rPr>
        <w:t xml:space="preserve">Rauschnabel and colleagues' program of research on smart-glasses adoption provides the theoretical frame for how acceptance evolves, identifying the interplay of perceived usefulness, social conspicuousness, and privacy concern as the primary drivers of the decision to adopt or reject.</w:t>
      </w:r>
      <w:r>
        <w:rPr>
          <w:rFonts w:ascii="Georgia" w:cs="Georgia" w:eastAsia="Georgia" w:hAnsi="Georgia"/>
          <w:sz w:val="22"/>
          <w:szCs w:val="22"/>
          <w:vertAlign w:val="superscript"/>
        </w:rPr>
        <w:t xml:space="preserve"> [I7]</w:t>
      </w:r>
      <w:r>
        <w:rPr>
          <w:rFonts w:ascii="Georgia" w:cs="Georgia" w:eastAsia="Georgia" w:hAnsi="Georgia"/>
          <w:sz w:val="22"/>
          <w:szCs w:val="22"/>
          <w:vertAlign w:val="superscript"/>
        </w:rPr>
        <w:t xml:space="preserve"> [I8]</w:t>
      </w:r>
      <w:r>
        <w:rPr>
          <w:rFonts w:ascii="Georgia" w:cs="Georgia" w:eastAsia="Georgia" w:hAnsi="Georgia"/>
          <w:sz w:val="22"/>
          <w:szCs w:val="22"/>
          <w:vertAlign w:val="superscript"/>
        </w:rPr>
        <w:t xml:space="preserve"> [I9]</w:t>
      </w:r>
      <w:r>
        <w:rPr>
          <w:rFonts w:ascii="Georgia" w:cs="Georgia" w:eastAsia="Georgia" w:hAnsi="Georgia"/>
          <w:sz w:val="22"/>
          <w:szCs w:val="22"/>
        </w:rPr>
        <w:t xml:space="preserve"> Kaviani and colleagues' 2024 study of social perceptions in Australia found that acceptance rises significantly when wearers proactively disclose the device's capabilities and when the glasses serve an obvious assistive function such as navigation or translation.</w:t>
      </w:r>
      <w:r>
        <w:rPr>
          <w:rFonts w:ascii="Georgia" w:cs="Georgia" w:eastAsia="Georgia" w:hAnsi="Georgia"/>
          <w:sz w:val="22"/>
          <w:szCs w:val="22"/>
          <w:vertAlign w:val="superscript"/>
        </w:rPr>
        <w:t xml:space="preserve"> [F11]</w:t>
      </w:r>
      <w:r>
        <w:rPr>
          <w:rFonts w:ascii="Georgia" w:cs="Georgia" w:eastAsia="Georgia" w:hAnsi="Georgia"/>
          <w:sz w:val="22"/>
          <w:szCs w:val="22"/>
        </w:rPr>
        <w:t xml:space="preserve"> The mass-market success of the Ray-Ban Meta line suggests that Meta's aesthetic-normality strategy has substantially defused the conspicuousness objection that killed Glass — but the facial-recognition controversy demonstrates that the privacy objection, far from being resolved, is entering a more serious phase. Social acceptance of the form factor and social acceptance of the underlying capability are diverging, and the second question is now the harder one.</w:t>
      </w:r>
    </w:p>
    <w:p>
      <w:r>
        <w:br w:type="page"/>
      </w:r>
    </w:p>
    <w:p>
      <w:pPr>
        <w:pStyle w:val="Heading1"/>
      </w:pPr>
      <w:r>
        <w:t xml:space="preserve">6. The July 2026 Competitive Landscape</w:t>
      </w:r>
    </w:p>
    <w:p>
      <w:pPr>
        <w:spacing w:after="160" w:line="320"/>
        <w:jc w:val="both"/>
      </w:pPr>
      <w:r>
        <w:rPr>
          <w:rFonts w:ascii="Georgia" w:cs="Georgia" w:eastAsia="Georgia" w:hAnsi="Georgia"/>
          <w:sz w:val="22"/>
          <w:szCs w:val="22"/>
        </w:rPr>
        <w:t xml:space="preserve">This section presents the verified state of the market as of July 2026, distinguishing shipping products from announced roadmaps and both from leak-based speculation. The category divides into three functional tiers: screenless AI glasses that combine camera, audio, and an assistant; information-display glasses that add a small heads-up display; and wearable-display glasses that present a large virtual screen for media and productivity. The tiers serve different purposes and, importantly, satisfy different subsets of any given buyer's requirements.</w:t>
      </w:r>
    </w:p>
    <w:p>
      <w:pPr>
        <w:pStyle w:val="Heading2"/>
      </w:pPr>
      <w:r>
        <w:t xml:space="preserve">6.1 Tier One: Screenless AI Glasses</w:t>
      </w:r>
    </w:p>
    <w:p>
      <w:pPr>
        <w:spacing w:after="160" w:line="320"/>
        <w:jc w:val="both"/>
      </w:pPr>
      <w:r>
        <w:rPr>
          <w:rFonts w:ascii="Georgia" w:cs="Georgia" w:eastAsia="Georgia" w:hAnsi="Georgia"/>
          <w:sz w:val="22"/>
          <w:szCs w:val="22"/>
        </w:rPr>
        <w:t xml:space="preserve">This is the volume tier and the one most relevant to everyday, socially-discreet wear. Meta dominates it. The Ray-Ban Meta Wayfarer, Headliner, and Skyler frames anchor the range from roughly 379 dollars, with a Transitions photochromic option at roughly 459 dollars; the twelve-megapixel camera, 3K video, five-microphone array, and open-ear speakers define the category's baseline.</w:t>
      </w:r>
      <w:r>
        <w:rPr>
          <w:rFonts w:ascii="Georgia" w:cs="Georgia" w:eastAsia="Georgia" w:hAnsi="Georgia"/>
          <w:sz w:val="22"/>
          <w:szCs w:val="22"/>
          <w:vertAlign w:val="superscript"/>
        </w:rPr>
        <w:t xml:space="preserve"> [6.1]</w:t>
      </w:r>
      <w:r>
        <w:rPr>
          <w:rFonts w:ascii="Georgia" w:cs="Georgia" w:eastAsia="Georgia" w:hAnsi="Georgia"/>
          <w:sz w:val="22"/>
          <w:szCs w:val="22"/>
        </w:rPr>
        <w:t xml:space="preserve"> On 23 June 2026 Meta extended the line with a lower-priced own-brand range — the Adventurer and Fury at roughly 299 dollars and a Kylie-Jenner collaboration at roughly 399 dollars — sharing the second-generation sensor hardware while adding a faster processor and the closed-weight Muse Spark assistant.</w:t>
      </w:r>
      <w:r>
        <w:rPr>
          <w:rFonts w:ascii="Georgia" w:cs="Georgia" w:eastAsia="Georgia" w:hAnsi="Georgia"/>
          <w:sz w:val="22"/>
          <w:szCs w:val="22"/>
          <w:vertAlign w:val="superscript"/>
        </w:rPr>
        <w:t xml:space="preserve"> [6.2]</w:t>
      </w:r>
      <w:r>
        <w:rPr>
          <w:rFonts w:ascii="Georgia" w:cs="Georgia" w:eastAsia="Georgia" w:hAnsi="Georgia"/>
          <w:sz w:val="22"/>
          <w:szCs w:val="22"/>
        </w:rPr>
        <w:t xml:space="preserve"> The principal alternative is the Rokid Glasses Style at roughly 299 dollars, notable for being among the lightest in the category at thirty-eight and a half grams, offering roughly twelve hours of battery, a Sony camera sensor, and — unlike Meta's closed assistant — access to multiple AI back ends.</w:t>
      </w:r>
      <w:r>
        <w:rPr>
          <w:rFonts w:ascii="Georgia" w:cs="Georgia" w:eastAsia="Georgia" w:hAnsi="Georgia"/>
          <w:sz w:val="22"/>
          <w:szCs w:val="22"/>
          <w:vertAlign w:val="superscript"/>
        </w:rPr>
        <w:t xml:space="preserve"> [6.7]</w:t>
      </w:r>
    </w:p>
    <w:p>
      <w:pPr>
        <w:pStyle w:val="Heading2"/>
      </w:pPr>
      <w:r>
        <w:t xml:space="preserve">6.2 Tier Two: Information-Display Glasses</w:t>
      </w:r>
    </w:p>
    <w:p>
      <w:pPr>
        <w:spacing w:after="160" w:line="320"/>
        <w:jc w:val="both"/>
      </w:pPr>
      <w:r>
        <w:rPr>
          <w:rFonts w:ascii="Georgia" w:cs="Georgia" w:eastAsia="Georgia" w:hAnsi="Georgia"/>
          <w:sz w:val="22"/>
          <w:szCs w:val="22"/>
        </w:rPr>
        <w:t xml:space="preserve">This tier adds a small heads-up display for notifications, navigation, captions, and glanceable assistant output while remaining relatively normal in appearance. The Meta Ray-Ban Display at roughly 799 dollars is the flagship, pairing a monocular six-hundred-by-six-hundred-pixel waveguide display with a wrist-worn electromyographic Neural Band; it remained supply-constrained and largely US-only through mid-2026 as Meta delayed international expansion.</w:t>
      </w:r>
      <w:r>
        <w:rPr>
          <w:rFonts w:ascii="Georgia" w:cs="Georgia" w:eastAsia="Georgia" w:hAnsi="Georgia"/>
          <w:sz w:val="22"/>
          <w:szCs w:val="22"/>
          <w:vertAlign w:val="superscript"/>
        </w:rPr>
        <w:t xml:space="preserve"> [6.3]</w:t>
      </w:r>
      <w:r>
        <w:rPr>
          <w:rFonts w:ascii="Georgia" w:cs="Georgia" w:eastAsia="Georgia" w:hAnsi="Georgia"/>
          <w:sz w:val="22"/>
          <w:szCs w:val="22"/>
        </w:rPr>
        <w:t xml:space="preserve"> The Even Realities G2 at roughly 599 dollars takes the opposite design philosophy: a deliberately camera-free, speaker-free device with a monochrome green micro-LED display, thirty-five-gram frames, and roughly two-day battery, prioritizing privacy and discretion over capture.</w:t>
      </w:r>
      <w:r>
        <w:rPr>
          <w:rFonts w:ascii="Georgia" w:cs="Georgia" w:eastAsia="Georgia" w:hAnsi="Georgia"/>
          <w:sz w:val="22"/>
          <w:szCs w:val="22"/>
          <w:vertAlign w:val="superscript"/>
        </w:rPr>
        <w:t xml:space="preserve"> [6.10]</w:t>
      </w:r>
      <w:r>
        <w:rPr>
          <w:rFonts w:ascii="Georgia" w:cs="Georgia" w:eastAsia="Georgia" w:hAnsi="Georgia"/>
          <w:sz w:val="22"/>
          <w:szCs w:val="22"/>
        </w:rPr>
        <w:t xml:space="preserve"> The absence of a camera makes the G2 socially frictionless in exactly the way the Ray-Ban Meta is not, at the cost of the visual AI that a camera enables — a clean illustration of the capability-versus-acceptance tradeoff.</w:t>
      </w:r>
    </w:p>
    <w:p>
      <w:pPr>
        <w:pStyle w:val="Heading2"/>
      </w:pPr>
      <w:r>
        <w:t xml:space="preserve">6.3 Tier Three: Wearable-Display Glasses</w:t>
      </w:r>
    </w:p>
    <w:p>
      <w:pPr>
        <w:spacing w:after="160" w:line="320"/>
        <w:jc w:val="both"/>
      </w:pPr>
      <w:r>
        <w:rPr>
          <w:rFonts w:ascii="Georgia" w:cs="Georgia" w:eastAsia="Georgia" w:hAnsi="Georgia"/>
          <w:sz w:val="22"/>
          <w:szCs w:val="22"/>
        </w:rPr>
        <w:t xml:space="preserve">This tier presents a large virtual screen for media, productivity, and gaming, at the cost of an obviously technological appearance that fails the social-discretion test. The Viture Beast, launched in April 2026 at roughly 549 dollars, drew wide critical acclaim for its dual Sony micro-OLED panels, one-hundred-seventy-four-inch virtual screen, and one-hundred-twenty-hertz refresh.</w:t>
      </w:r>
      <w:r>
        <w:rPr>
          <w:rFonts w:ascii="Georgia" w:cs="Georgia" w:eastAsia="Georgia" w:hAnsi="Georgia"/>
          <w:sz w:val="22"/>
          <w:szCs w:val="22"/>
          <w:vertAlign w:val="superscript"/>
        </w:rPr>
        <w:t xml:space="preserve"> [6.9]</w:t>
      </w:r>
      <w:r>
        <w:rPr>
          <w:rFonts w:ascii="Georgia" w:cs="Georgia" w:eastAsia="Georgia" w:hAnsi="Georgia"/>
          <w:sz w:val="22"/>
          <w:szCs w:val="22"/>
        </w:rPr>
        <w:t xml:space="preserve"> The Xreal One Pro at roughly 599 dollars and the gaming-oriented ROG Xreal R1 with its two-hundred-forty-hertz panel occupy the same tier.</w:t>
      </w:r>
      <w:r>
        <w:rPr>
          <w:rFonts w:ascii="Georgia" w:cs="Georgia" w:eastAsia="Georgia" w:hAnsi="Georgia"/>
          <w:sz w:val="22"/>
          <w:szCs w:val="22"/>
          <w:vertAlign w:val="superscript"/>
        </w:rPr>
        <w:t xml:space="preserve"> [6.11]</w:t>
      </w:r>
      <w:r>
        <w:rPr>
          <w:rFonts w:ascii="Georgia" w:cs="Georgia" w:eastAsia="Georgia" w:hAnsi="Georgia"/>
          <w:sz w:val="22"/>
          <w:szCs w:val="22"/>
        </w:rPr>
        <w:t xml:space="preserve"> These are excellent devices for private big-screen viewing but are supplements to, not substitutes for, an everyday screenless AI glass. A buyer optimizing for daily wear and a buyer optimizing for a portable cinema are shopping in different tiers.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200"/>
        <w:gridCol w:w="1560"/>
        <w:gridCol w:w="1200"/>
        <w:gridCol w:w="20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Product</w:t>
            </w:r>
          </w:p>
        </w:tc>
        <w:tc>
          <w:tcPr>
            <w:tcW w:type="dxa" w:w="7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Tier</w:t>
            </w:r>
          </w:p>
        </w:tc>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Price (USD)</w:t>
            </w:r>
          </w:p>
        </w:tc>
        <w:tc>
          <w:tcPr>
            <w:tcW w:type="dxa" w:w="15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Display</w:t>
            </w:r>
          </w:p>
        </w:tc>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Camera</w:t>
            </w:r>
          </w:p>
        </w:tc>
        <w:tc>
          <w:tcPr>
            <w:tcW w:type="dxa" w:w="2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Ray-Ban Meta Wayfarer Gen 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~379–459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12MP / 3K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Everyday discreet wear</w:t>
            </w:r>
          </w:p>
        </w:tc>
      </w:tr>
      <w:tr>
        <w:tc>
          <w:tcPr>
            <w:tcW w:type="dxa" w:w="2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Meta Glasses (Adventurer/Fury)</w:t>
            </w:r>
          </w:p>
        </w:tc>
        <w:tc>
          <w:tcPr>
            <w:tcW w:type="dxa" w:w="7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~299</w:t>
            </w:r>
          </w:p>
        </w:tc>
        <w:tc>
          <w:tcPr>
            <w:tcW w:type="dxa" w:w="15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None</w:t>
            </w:r>
          </w:p>
        </w:tc>
        <w:tc>
          <w:tcPr>
            <w:tcW w:type="dxa" w:w="1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12MP / 3K</w:t>
            </w:r>
          </w:p>
        </w:tc>
        <w:tc>
          <w:tcPr>
            <w:tcW w:type="dxa" w:w="20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Value everyday wear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Rokid Glasses Style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12MP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Lightweight, open AI</w:t>
            </w:r>
          </w:p>
        </w:tc>
      </w:tr>
      <w:tr>
        <w:tc>
          <w:tcPr>
            <w:tcW w:type="dxa" w:w="2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Meta Ray-Ban Display</w:t>
            </w:r>
          </w:p>
        </w:tc>
        <w:tc>
          <w:tcPr>
            <w:tcW w:type="dxa" w:w="7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~799</w:t>
            </w:r>
          </w:p>
        </w:tc>
        <w:tc>
          <w:tcPr>
            <w:tcW w:type="dxa" w:w="15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Monocular 600×600</w:t>
            </w:r>
          </w:p>
        </w:tc>
        <w:tc>
          <w:tcPr>
            <w:tcW w:type="dxa" w:w="1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12MP</w:t>
            </w:r>
          </w:p>
        </w:tc>
        <w:tc>
          <w:tcPr>
            <w:tcW w:type="dxa" w:w="20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Glanceable HUD + capture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Even Realities G2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~599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Mono green μLED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Private, camera-free HUD</w:t>
            </w:r>
          </w:p>
        </w:tc>
      </w:tr>
      <w:tr>
        <w:tc>
          <w:tcPr>
            <w:tcW w:type="dxa" w:w="2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Viture Beast</w:t>
            </w:r>
          </w:p>
        </w:tc>
        <w:tc>
          <w:tcPr>
            <w:tcW w:type="dxa" w:w="7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3</w:t>
            </w:r>
          </w:p>
        </w:tc>
        <w:tc>
          <w:tcPr>
            <w:tcW w:type="dxa" w:w="1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~549</w:t>
            </w:r>
          </w:p>
        </w:tc>
        <w:tc>
          <w:tcPr>
            <w:tcW w:type="dxa" w:w="15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Dual μOLED 1200p</w:t>
            </w:r>
          </w:p>
        </w:tc>
        <w:tc>
          <w:tcPr>
            <w:tcW w:type="dxa" w:w="1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None</w:t>
            </w:r>
          </w:p>
        </w:tc>
        <w:tc>
          <w:tcPr>
            <w:tcW w:type="dxa" w:w="20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Portable big screen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Xreal One Pro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~599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Dual μOLED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Media / productivity</w:t>
            </w:r>
          </w:p>
        </w:tc>
      </w:tr>
    </w:tbl>
    <w:p>
      <w:pPr>
        <w:spacing w:after="160"/>
      </w:pPr>
    </w:p>
    <w:p>
      <w:pPr>
        <w:pStyle w:val="Heading2"/>
      </w:pPr>
      <w:r>
        <w:t xml:space="preserve">6.4 Near-Term Roadmaps and the Discipline of Not Overstating Them</w:t>
      </w:r>
    </w:p>
    <w:p>
      <w:pPr>
        <w:spacing w:after="160" w:line="320"/>
        <w:jc w:val="both"/>
      </w:pPr>
      <w:r>
        <w:rPr>
          <w:rFonts w:ascii="Georgia" w:cs="Georgia" w:eastAsia="Georgia" w:hAnsi="Georgia"/>
          <w:sz w:val="22"/>
          <w:szCs w:val="22"/>
        </w:rPr>
        <w:t xml:space="preserve">Several major entries loom, and intellectual honesty requires distinguishing what is confirmed from what is leaked. Google and Samsung have confirmed Android XR glasses for autumn 2026, previewed at Google I/O in May and expected in more detail at Samsung's July Unpacked event, in two variants — audio-only and display — with Gemini integration, Qualcomm silicon, and frames from Warby Parker and Gentle Monster; pricing is estimated by analysts at six hundred to nine hundred dollars but is not confirmed.</w:t>
      </w:r>
      <w:r>
        <w:rPr>
          <w:rFonts w:ascii="Georgia" w:cs="Georgia" w:eastAsia="Georgia" w:hAnsi="Georgia"/>
          <w:sz w:val="22"/>
          <w:szCs w:val="22"/>
          <w:vertAlign w:val="superscript"/>
        </w:rPr>
        <w:t xml:space="preserve"> [6.5]</w:t>
      </w:r>
      <w:r>
        <w:rPr>
          <w:rFonts w:ascii="Georgia" w:cs="Georgia" w:eastAsia="Georgia" w:hAnsi="Georgia"/>
          <w:sz w:val="22"/>
          <w:szCs w:val="22"/>
        </w:rPr>
        <w:t xml:space="preserve"> Apple's first AI glasses, codenamed N50, slipped in reporting from late 2026 to late 2027, with an in-lens display deferred further to the “Vision Air” generation around 2028 or 2029.</w:t>
      </w:r>
      <w:r>
        <w:rPr>
          <w:rFonts w:ascii="Georgia" w:cs="Georgia" w:eastAsia="Georgia" w:hAnsi="Georgia"/>
          <w:sz w:val="22"/>
          <w:szCs w:val="22"/>
          <w:vertAlign w:val="superscript"/>
        </w:rPr>
        <w:t xml:space="preserve"> [6.6]</w:t>
      </w:r>
    </w:p>
    <w:p>
      <w:pPr>
        <w:spacing w:after="160" w:line="320"/>
        <w:jc w:val="both"/>
      </w:pPr>
      <w:r>
        <w:rPr>
          <w:rFonts w:ascii="Georgia" w:cs="Georgia" w:eastAsia="Georgia" w:hAnsi="Georgia"/>
          <w:sz w:val="22"/>
          <w:szCs w:val="22"/>
        </w:rPr>
        <w:t xml:space="preserve">Meta's own third generation, associated with the internal codenames Aperol and Bellini, is widely expected at Meta Connect on 23 and 24 September 2026, likely with a newer Qualcomm chip, thicker frames for larger batteries, and — most relevant to always-on AI use — longer live-assistant sessions that would relax the roughly thirty-minute ceiling of the current generation.</w:t>
      </w:r>
      <w:r>
        <w:rPr>
          <w:rFonts w:ascii="Georgia" w:cs="Georgia" w:eastAsia="Georgia" w:hAnsi="Georgia"/>
          <w:sz w:val="22"/>
          <w:szCs w:val="22"/>
          <w:vertAlign w:val="superscript"/>
        </w:rPr>
        <w:t xml:space="preserve"> [6.12]</w:t>
      </w:r>
      <w:r>
        <w:rPr>
          <w:rFonts w:ascii="Georgia" w:cs="Georgia" w:eastAsia="Georgia" w:hAnsi="Georgia"/>
          <w:sz w:val="22"/>
          <w:szCs w:val="22"/>
        </w:rPr>
        <w:t xml:space="preserve"> It is essential to state that these third-generation details derive almost entirely from leaks and rendered mock-ups rather than confirmation by Meta, and that at least one FCC filing was briefly misattributed to the third generation when it in fact described second-generation prescription hardware. The first edition of this paper repeated market speculation with more confidence than the sourcing warranted; this edition treats unconfirmed roadmap items as exactly that.</w:t>
      </w:r>
    </w:p>
    <w:p>
      <w:pPr>
        <w:pBdr>
          <w:top w:val="single" w:color="CCCCCC" w:sz="4" w:space="6"/>
          <w:bottom w:val="single" w:color="CCCCCC" w:sz="4" w:space="6"/>
          <w:left w:val="single" w:color="CCCCCC" w:sz="4" w:space="6"/>
          <w:right w:val="single" w:color="CCCCCC" w:sz="4" w:space="6"/>
        </w:pBdr>
        <w:shd w:fill="FEF6E0" w:val="clear"/>
        <w:spacing w:after="160" w:before="120" w:line="300"/>
        <w:ind w:left="200" w:right="200"/>
      </w:pPr>
      <w:r>
        <w:rPr>
          <w:rFonts w:ascii="Calibri" w:cs="Calibri" w:eastAsia="Calibri" w:hAnsi="Calibri"/>
          <w:b/>
          <w:bCs/>
          <w:color w:val="1E1E2E"/>
          <w:sz w:val="20"/>
          <w:szCs w:val="20"/>
        </w:rPr>
        <w:t xml:space="preserve">BUY-TIMING SYNTHESIS (JULY 2026)  </w:t>
      </w:r>
      <w:r>
        <w:rPr>
          <w:rFonts w:ascii="Calibri" w:cs="Calibri" w:eastAsia="Calibri" w:hAnsi="Calibri"/>
          <w:color w:val="1E1E2E"/>
          <w:sz w:val="20"/>
          <w:szCs w:val="20"/>
        </w:rPr>
        <w:t xml:space="preserve">For everyday discreet wear with a camera for local AI, the second-generation Ray-Ban Meta remains the strongest shipping choice. A buyer who can wait until after Meta Connect (23–24 September 2026) should do so, because the third generation is expected to relax the ~30-minute live-AI session limit that most constrains always-on use. The ~299-dollar Meta Glasses line is the value pick if its developer-SDK support is confirmed. None of the announced competitors ship before autumn.</w:t>
      </w:r>
    </w:p>
    <w:p>
      <w:pPr>
        <w:pStyle w:val="Heading2"/>
      </w:pPr>
      <w:r>
        <w:t xml:space="preserve">6.5 Adoption Dynamics and the Shape of the Transition</w:t>
      </w:r>
    </w:p>
    <w:p>
      <w:pPr>
        <w:spacing w:after="160" w:line="320"/>
        <w:jc w:val="both"/>
      </w:pPr>
      <w:r>
        <w:rPr>
          <w:rFonts w:ascii="Georgia" w:cs="Georgia" w:eastAsia="Georgia" w:hAnsi="Georgia"/>
          <w:sz w:val="22"/>
          <w:szCs w:val="22"/>
        </w:rPr>
        <w:t xml:space="preserve">The market data in the preceding subsections describes what is selling; the adoption literature explains why, and it clarifies which of the looming entrants are likely to matter. Rauschnabel and colleagues' technology-acceptance research identifies perceived usefulness and perceived social conspicuousness as the dominant, and often opposing, drivers of the adoption decision — a device can be useful enough to want and conspicuous enough to reject, and the balance between these determines uptake.</w:t>
      </w:r>
      <w:r>
        <w:rPr>
          <w:rFonts w:ascii="Georgia" w:cs="Georgia" w:eastAsia="Georgia" w:hAnsi="Georgia"/>
          <w:sz w:val="22"/>
          <w:szCs w:val="22"/>
          <w:vertAlign w:val="superscript"/>
        </w:rPr>
        <w:t xml:space="preserve"> [I7]</w:t>
      </w:r>
      <w:r>
        <w:rPr>
          <w:rFonts w:ascii="Georgia" w:cs="Georgia" w:eastAsia="Georgia" w:hAnsi="Georgia"/>
          <w:sz w:val="22"/>
          <w:szCs w:val="22"/>
          <w:vertAlign w:val="superscript"/>
        </w:rPr>
        <w:t xml:space="preserve"> [I8]</w:t>
      </w:r>
      <w:r>
        <w:rPr>
          <w:rFonts w:ascii="Georgia" w:cs="Georgia" w:eastAsia="Georgia" w:hAnsi="Georgia"/>
          <w:sz w:val="22"/>
          <w:szCs w:val="22"/>
        </w:rPr>
        <w:t xml:space="preserve"> This framework explains Meta's success with unusual precision: by driving conspicuousness toward zero through the Ray-Ban form factor while steadily increasing usefulness through AI updates, Meta moved the product across the threshold at which usefulness dominates. It also predicts the likely trajectory of the autumn 2026 entrants: Google and Samsung's Android XR glasses will compete on usefulness through Gemini integration, but their adoption will hinge on whether the Warby Parker and Gentle Monster partnerships drive conspicuousness as low as Meta's Ray-Ban and Oakley partnerships have.</w:t>
      </w:r>
      <w:r>
        <w:rPr>
          <w:rFonts w:ascii="Georgia" w:cs="Georgia" w:eastAsia="Georgia" w:hAnsi="Georgia"/>
          <w:sz w:val="22"/>
          <w:szCs w:val="22"/>
          <w:vertAlign w:val="superscript"/>
        </w:rPr>
        <w:t xml:space="preserve"> [6.5]</w:t>
      </w:r>
    </w:p>
    <w:p>
      <w:pPr>
        <w:spacing w:after="160" w:line="320"/>
        <w:jc w:val="both"/>
      </w:pPr>
      <w:r>
        <w:rPr>
          <w:rFonts w:ascii="Georgia" w:cs="Georgia" w:eastAsia="Georgia" w:hAnsi="Georgia"/>
          <w:sz w:val="22"/>
          <w:szCs w:val="22"/>
        </w:rPr>
        <w:t xml:space="preserve">Zuidhof and colleagues' work on smart-glasses acceptance in healthcare adds a second dimension relevant to the local-first thesis: in professional and sensitive contexts, data-handling assurances materially affect acceptance, with users and institutions more willing to adopt when they trust that captured data remains under appropriate control.</w:t>
      </w:r>
      <w:r>
        <w:rPr>
          <w:rFonts w:ascii="Georgia" w:cs="Georgia" w:eastAsia="Georgia" w:hAnsi="Georgia"/>
          <w:sz w:val="22"/>
          <w:szCs w:val="22"/>
          <w:vertAlign w:val="superscript"/>
        </w:rPr>
        <w:t xml:space="preserve"> [I10]</w:t>
      </w:r>
      <w:r>
        <w:rPr>
          <w:rFonts w:ascii="Georgia" w:cs="Georgia" w:eastAsia="Georgia" w:hAnsi="Georgia"/>
          <w:sz w:val="22"/>
          <w:szCs w:val="22"/>
          <w:vertAlign w:val="superscript"/>
        </w:rPr>
        <w:t xml:space="preserve"> [I11]</w:t>
      </w:r>
      <w:r>
        <w:rPr>
          <w:rFonts w:ascii="Georgia" w:cs="Georgia" w:eastAsia="Georgia" w:hAnsi="Georgia"/>
          <w:sz w:val="22"/>
          <w:szCs w:val="22"/>
        </w:rPr>
        <w:t xml:space="preserve"> This is the adoption-theoretic case for local processing stated in the market's own terms: a device that can credibly promise that perception data never leaves the user's control removes a specific, measured barrier to adoption in exactly the contexts — healthcare, enterprise, legal, personal — where the barrier is highest. The local-first architecture is thus not only an ethical stance but a market position, and as the facial-recognition controversy raises the salience of data control, that market position is likely to strengthen.</w:t>
      </w:r>
    </w:p>
    <w:p>
      <w:pPr>
        <w:spacing w:after="160" w:line="320"/>
        <w:jc w:val="both"/>
      </w:pPr>
      <w:r>
        <w:rPr>
          <w:rFonts w:ascii="Georgia" w:cs="Georgia" w:eastAsia="Georgia" w:hAnsi="Georgia"/>
          <w:sz w:val="22"/>
          <w:szCs w:val="22"/>
        </w:rPr>
        <w:t xml:space="preserve">The shape of the coming transition therefore appears to be neither a single winner-take-all platform nor a fragmented stalemate, but a segmentation: a dominant mass-market tier defined by social normality and cloud convenience, and a smaller but durable local-first tier defined by data control and openness, served by the open-source ecosystem this paper has documented. The two tiers are not in direct competition so much as addressed to different priorities, and the same physical hardware — a pair of Meta glasses — can serve either depending on where its owner chooses to route the intelligence. That the choice rests with the owner, rather than being fixed by the manufacturer, is the quiet but consequential achievement of the open-source tooling.</w:t>
      </w:r>
    </w:p>
    <w:p>
      <w:r>
        <w:br w:type="page"/>
      </w:r>
    </w:p>
    <w:p>
      <w:pPr>
        <w:pStyle w:val="Heading1"/>
      </w:pPr>
      <w:r>
        <w:t xml:space="preserve">7. Local AI Integration: Architecture and Verified Tooling</w:t>
      </w:r>
    </w:p>
    <w:p>
      <w:pPr>
        <w:spacing w:after="160" w:line="320"/>
        <w:jc w:val="both"/>
      </w:pPr>
      <w:r>
        <w:rPr>
          <w:rFonts w:ascii="Georgia" w:cs="Georgia" w:eastAsia="Georgia" w:hAnsi="Georgia"/>
          <w:sz w:val="22"/>
          <w:szCs w:val="22"/>
        </w:rPr>
        <w:t xml:space="preserve">This section and the next constitute the paper's core technical contribution: a verified account of how a consumer can integrate smart glasses with locally-run artificial intelligence, keeping perception data on hardware the user controls. This account is deliberately conservative about what exists and what works. Because this domain is dominated by fast-moving open-source projects and by large-language-model outputs that frequently overstate capabilities, every component below has been checked against primary sources, and the boundaries between the verified, the vendor-reported, and the aspirational are marked explicitly.</w:t>
      </w:r>
    </w:p>
    <w:p>
      <w:pPr>
        <w:pStyle w:val="Heading2"/>
      </w:pPr>
      <w:r>
        <w:t xml:space="preserve">7.1 The OpenClaw Agent Framework</w:t>
      </w:r>
    </w:p>
    <w:p>
      <w:pPr>
        <w:spacing w:after="160" w:line="320"/>
        <w:jc w:val="both"/>
      </w:pPr>
      <w:r>
        <w:rPr>
          <w:rFonts w:ascii="Georgia" w:cs="Georgia" w:eastAsia="Georgia" w:hAnsi="Georgia"/>
          <w:sz w:val="22"/>
          <w:szCs w:val="22"/>
        </w:rPr>
        <w:t xml:space="preserve">OpenClaw is an open-source, local-first agentic framework that orchestrates large-language-model reasoning and real-world tool execution. Its development history is itself instructive about the difficulty of verification. Public git history, examined by independent analysts in 2026, records a sequence of renames — from an initial “Warelay” through intermediate names to “Moltbot” in late January 2026 and finally to “OpenClaw” at the end of that month — driven by a trademark request and by cryptocurrency-scam impersonation.</w:t>
      </w:r>
      <w:r>
        <w:rPr>
          <w:rFonts w:ascii="Georgia" w:cs="Georgia" w:eastAsia="Georgia" w:hAnsi="Georgia"/>
          <w:sz w:val="22"/>
          <w:szCs w:val="22"/>
          <w:vertAlign w:val="superscript"/>
        </w:rPr>
        <w:t xml:space="preserve"> [7.3]</w:t>
      </w:r>
      <w:r>
        <w:rPr>
          <w:rFonts w:ascii="Georgia" w:cs="Georgia" w:eastAsia="Georgia" w:hAnsi="Georgia"/>
          <w:sz w:val="22"/>
          <w:szCs w:val="22"/>
        </w:rPr>
        <w:t xml:space="preserve"> The framework is model-agnostic, supporting cloud models from multiple vendors as well as local inference through Ollama; it exposes a gateway on a fixed local port; and it structures capabilities as modular skill definitions.</w:t>
      </w:r>
    </w:p>
    <w:p>
      <w:pPr>
        <w:spacing w:after="160" w:line="320"/>
        <w:jc w:val="both"/>
      </w:pPr>
      <w:r>
        <w:rPr>
          <w:rFonts w:ascii="Georgia" w:cs="Georgia" w:eastAsia="Georgia" w:hAnsi="Georgia"/>
          <w:sz w:val="22"/>
          <w:szCs w:val="22"/>
        </w:rPr>
        <w:t xml:space="preserve">A specific correction is warranted here, because it illustrates this paper's method. The first edition asserted that OpenClaw had on the order of three hundred forty-two thousand repository stars “as of April 2026.” That figure is not accurate for that date. Primary sources place the project at roughly thirty thousand stars in April 2026, growing to the mid-hundreds of thousands only by the middle of the year; the precise number moves daily and is best stated as a range.</w:t>
      </w:r>
      <w:r>
        <w:rPr>
          <w:rFonts w:ascii="Georgia" w:cs="Georgia" w:eastAsia="Georgia" w:hAnsi="Georgia"/>
          <w:sz w:val="22"/>
          <w:szCs w:val="22"/>
          <w:vertAlign w:val="superscript"/>
        </w:rPr>
        <w:t xml:space="preserve"> [7.1]</w:t>
      </w:r>
      <w:r>
        <w:rPr>
          <w:rFonts w:ascii="Georgia" w:cs="Georgia" w:eastAsia="Georgia" w:hAnsi="Georgia"/>
          <w:sz w:val="22"/>
          <w:szCs w:val="22"/>
        </w:rPr>
        <w:t xml:space="preserve"> The discrepancy appears to have arisen from a snapshot figure being attached to the wrong date. In July 2026 an OpenClaw Foundation, a registered non-profit, was announced to steward the project's governance, with backing from several technology firms and universities.</w:t>
      </w:r>
      <w:r>
        <w:rPr>
          <w:rFonts w:ascii="Georgia" w:cs="Georgia" w:eastAsia="Georgia" w:hAnsi="Georgia"/>
          <w:sz w:val="22"/>
          <w:szCs w:val="22"/>
          <w:vertAlign w:val="superscript"/>
        </w:rPr>
        <w:t xml:space="preserve"> [7.2]</w:t>
      </w:r>
      <w:r>
        <w:rPr>
          <w:rFonts w:ascii="Georgia" w:cs="Georgia" w:eastAsia="Georgia" w:hAnsi="Georgia"/>
          <w:sz w:val="22"/>
          <w:szCs w:val="22"/>
        </w:rPr>
        <w:t xml:space="preserve"> The framework is real, actively developed, and widely used; the specific numeric claim in the first edition was wrong, and correcting it is more useful to the reader than defending it.</w:t>
      </w:r>
    </w:p>
    <w:p>
      <w:pPr>
        <w:pBdr>
          <w:top w:val="single" w:color="CCCCCC" w:sz="4" w:space="6"/>
          <w:bottom w:val="single" w:color="CCCCCC" w:sz="4" w:space="6"/>
          <w:left w:val="single" w:color="CCCCCC" w:sz="4" w:space="6"/>
          <w:right w:val="single" w:color="CCCCCC" w:sz="4" w:space="6"/>
        </w:pBdr>
        <w:shd w:fill="FEF6E0" w:val="clear"/>
        <w:spacing w:after="160" w:before="120" w:line="300"/>
        <w:ind w:left="200" w:right="200"/>
      </w:pPr>
      <w:r>
        <w:rPr>
          <w:rFonts w:ascii="Calibri" w:cs="Calibri" w:eastAsia="Calibri" w:hAnsi="Calibri"/>
          <w:b/>
          <w:bCs/>
          <w:color w:val="1E1E2E"/>
          <w:sz w:val="20"/>
          <w:szCs w:val="20"/>
        </w:rPr>
        <w:t xml:space="preserve">VERIFICATION NOTE  </w:t>
      </w:r>
      <w:r>
        <w:rPr>
          <w:rFonts w:ascii="Calibri" w:cs="Calibri" w:eastAsia="Calibri" w:hAnsi="Calibri"/>
          <w:color w:val="1E1E2E"/>
          <w:sz w:val="20"/>
          <w:szCs w:val="20"/>
        </w:rPr>
        <w:t xml:space="preserve">OpenClaw star count: ~30,000 (April 2026) growing to ~350,000+ (mid-2026), best stated as a range since it changes daily. The first edition's “342,000 in April 2026” was mis-dated. Skill-count figures reported by directories (thousands to ~17,000) vary widely and are unreliable. These caveats are the paper practicing its own thesis about verification.</w:t>
      </w:r>
    </w:p>
    <w:p>
      <w:pPr>
        <w:pStyle w:val="Heading2"/>
      </w:pPr>
      <w:r>
        <w:t xml:space="preserve">7.2 VisionClaw: The Glasses-to-Agent Bridge</w:t>
      </w:r>
    </w:p>
    <w:p>
      <w:pPr>
        <w:spacing w:after="160" w:line="320"/>
        <w:jc w:val="both"/>
      </w:pPr>
      <w:r>
        <w:rPr>
          <w:rFonts w:ascii="Georgia" w:cs="Georgia" w:eastAsia="Georgia" w:hAnsi="Georgia"/>
          <w:sz w:val="22"/>
          <w:szCs w:val="22"/>
        </w:rPr>
        <w:t xml:space="preserve">VisionClaw is the open-source bridge that connects Meta smart glasses to the OpenClaw framework. It is genuine research software, associated with a 2026 academic preprint on always-on AI agents delivered through smart glasses, and maintained in public repositories with a community of forks and contributors.</w:t>
      </w:r>
      <w:r>
        <w:rPr>
          <w:rFonts w:ascii="Georgia" w:cs="Georgia" w:eastAsia="Georgia" w:hAnsi="Georgia"/>
          <w:sz w:val="22"/>
          <w:szCs w:val="22"/>
          <w:vertAlign w:val="superscript"/>
        </w:rPr>
        <w:t xml:space="preserve"> [7.4]</w:t>
      </w:r>
      <w:r>
        <w:rPr>
          <w:rFonts w:ascii="Georgia" w:cs="Georgia" w:eastAsia="Georgia" w:hAnsi="Georgia"/>
          <w:sz w:val="22"/>
          <w:szCs w:val="22"/>
        </w:rPr>
        <w:t xml:space="preserve"> Its architecture is specific and worth stating precisely, because the details determine what is and is not possible. The glasses stream first-person camera frames and audio to a companion application on the paired phone via Meta's Device Access Toolkit. The application throttles the camera stream to roughly one frame per second, compresses each frame, and forwards frames and audio to a multimodal cloud model over a WebSocket connection, returning synthesized audio to the glasses; tool calls are routed through the OpenClaw gateway to its library of skills.</w:t>
      </w:r>
      <w:r>
        <w:rPr>
          <w:rFonts w:ascii="Georgia" w:cs="Georgia" w:eastAsia="Georgia" w:hAnsi="Georgia"/>
          <w:sz w:val="22"/>
          <w:szCs w:val="22"/>
          <w:vertAlign w:val="superscript"/>
        </w:rPr>
        <w:t xml:space="preserve"> [7.4]</w:t>
      </w:r>
    </w:p>
    <w:p>
      <w:pPr>
        <w:spacing w:after="160" w:line="320"/>
        <w:jc w:val="both"/>
      </w:pPr>
      <w:r>
        <w:rPr>
          <w:rFonts w:ascii="Georgia" w:cs="Georgia" w:eastAsia="Georgia" w:hAnsi="Georgia"/>
          <w:sz w:val="22"/>
          <w:szCs w:val="22"/>
        </w:rPr>
        <w:t xml:space="preserve">The critical architectural fact — the one that most constrains the local-first ambition — is that the glasses connect only to the phone, over Bluetooth. There is no direct network path from the glasses to a home server. Every byte of perception data must pass through the phone application first, which then relays it onward across the local network. This is a hardware constraint of the Meta platform, not a software limitation, and it shapes the entire architecture of Section 8. A second important fact is that VisionClaw's low-latency voice interaction depends, in its default configuration, on a specific cloud model's native-audio capability; achieving a fully-local loop requires replacing that component, which the project does not do out of the box. Meta itself has published an official cookbook demonstrating the glasses-plus-OpenClaw pattern, which signals that this architecture is now semi-sanctioned rather than a pure hack.</w:t>
      </w:r>
      <w:r>
        <w:rPr>
          <w:rFonts w:ascii="Georgia" w:cs="Georgia" w:eastAsia="Georgia" w:hAnsi="Georgia"/>
          <w:sz w:val="22"/>
          <w:szCs w:val="22"/>
          <w:vertAlign w:val="superscript"/>
        </w:rPr>
        <w:t xml:space="preserve"> [7.5]</w:t>
      </w:r>
    </w:p>
    <w:p>
      <w:pPr>
        <w:pStyle w:val="Heading2"/>
      </w:pPr>
      <w:r>
        <w:t xml:space="preserve">7.3 The Meta Wearables Device Access Toolkit</w:t>
      </w:r>
    </w:p>
    <w:p>
      <w:pPr>
        <w:spacing w:after="160" w:line="320"/>
        <w:jc w:val="both"/>
      </w:pPr>
      <w:r>
        <w:rPr>
          <w:rFonts w:ascii="Georgia" w:cs="Georgia" w:eastAsia="Georgia" w:hAnsi="Georgia"/>
          <w:sz w:val="22"/>
          <w:szCs w:val="22"/>
        </w:rPr>
        <w:t xml:space="preserve">Meta's Wearables Device Access Toolkit is the sanctioned interface to the glasses' sensors, and its deliberate limits define the design space. As of July 2026 it remains in developer preview. It exposes first-person camera video at up to seven-hundred-twenty-pixel resolution and thirty frames per second over Bluetooth, still-photo capture, and access to the microphone array and open-ear speakers through standard Bluetooth profiles.</w:t>
      </w:r>
      <w:r>
        <w:rPr>
          <w:rFonts w:ascii="Georgia" w:cs="Georgia" w:eastAsia="Georgia" w:hAnsi="Georgia"/>
          <w:sz w:val="22"/>
          <w:szCs w:val="22"/>
          <w:vertAlign w:val="superscript"/>
        </w:rPr>
        <w:t xml:space="preserve"> [7.6]</w:t>
      </w:r>
      <w:r>
        <w:rPr>
          <w:rFonts w:ascii="Georgia" w:cs="Georgia" w:eastAsia="Georgia" w:hAnsi="Georgia"/>
          <w:sz w:val="22"/>
          <w:szCs w:val="22"/>
        </w:rPr>
        <w:t xml:space="preserve"> It provides a mock-device module so developers can test without hardware. Critically, it does not expose the “Hey Meta” wake phrase, and it deliberately provides no on-glasses compute: all intelligence runs on the phone or beyond. The toolkit permits both local and cloud processing of the sensor data, which is what makes a local-first architecture possible at all. Meta has stated an intention to support its entire portfolio of glasses through the toolkit, though as of this writing the certification status of the newest own-brand line and the anticipated third generation is not separately documented — a gap a prospective builder must verify before committing to specific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300"/>
        <w:gridCol w:w="2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Component</w:t>
            </w:r>
          </w:p>
        </w:tc>
        <w:tc>
          <w:tcPr>
            <w:tcW w:type="dxa" w:w="21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Status (July 2026)</w:t>
            </w:r>
          </w:p>
        </w:tc>
        <w:tc>
          <w:tcPr>
            <w:tcW w:type="dxa" w:w="23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Role</w:t>
            </w:r>
          </w:p>
        </w:tc>
        <w:tc>
          <w:tcPr>
            <w:tcW w:type="dxa" w:w="25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Local-First Implication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OpenClaw framework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Verified, ~350k+ stars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Agent orchestration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Runs local via Ollama</w:t>
            </w:r>
          </w:p>
        </w:tc>
      </w:tr>
      <w:tr>
        <w:tc>
          <w:tcPr>
            <w:tcW w:type="dxa" w:w="24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VisionClaw bridge</w:t>
            </w:r>
          </w:p>
        </w:tc>
        <w:tc>
          <w:tcPr>
            <w:tcW w:type="dxa" w:w="21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Verified, active repo</w:t>
            </w:r>
          </w:p>
        </w:tc>
        <w:tc>
          <w:tcPr>
            <w:tcW w:type="dxa" w:w="23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Glasses → agent relay</w:t>
            </w:r>
          </w:p>
        </w:tc>
        <w:tc>
          <w:tcPr>
            <w:tcW w:type="dxa" w:w="25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Cloud voice by default; must be swapped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Meta DAT SDK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Developer preview</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Sensor access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Bluetooth-only; phone must relay</w:t>
            </w:r>
          </w:p>
        </w:tc>
      </w:tr>
      <w:tr>
        <w:tc>
          <w:tcPr>
            <w:tcW w:type="dxa" w:w="24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Muse Spark (Meta AI)</w:t>
            </w:r>
          </w:p>
        </w:tc>
        <w:tc>
          <w:tcPr>
            <w:tcW w:type="dxa" w:w="21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Shipping, closed-weight</w:t>
            </w:r>
          </w:p>
        </w:tc>
        <w:tc>
          <w:tcPr>
            <w:tcW w:type="dxa" w:w="23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Default assistant</w:t>
            </w:r>
          </w:p>
        </w:tc>
        <w:tc>
          <w:tcPr>
            <w:tcW w:type="dxa" w:w="25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Cloud; bypass for local</w:t>
            </w:r>
          </w:p>
        </w:tc>
      </w:tr>
    </w:tbl>
    <w:p>
      <w:pPr>
        <w:spacing w:after="160"/>
      </w:pPr>
    </w:p>
    <w:p>
      <w:pPr>
        <w:spacing w:after="160" w:line="320"/>
        <w:jc w:val="both"/>
      </w:pPr>
      <w:r>
        <w:rPr>
          <w:rFonts w:ascii="Georgia" w:cs="Georgia" w:eastAsia="Georgia" w:hAnsi="Georgia"/>
          <w:sz w:val="22"/>
          <w:szCs w:val="22"/>
        </w:rPr>
        <w:t xml:space="preserve">The synthesis of this section is that the sanctioned path to the glasses is real, semi-official, and usable, but that it stops at raw sensors and, in its reference implementation, routes intelligence to the cloud. Turning that into a private, local system is an engineering project rather than a configuration toggle — the subject of Section 8.</w:t>
      </w:r>
    </w:p>
    <w:p>
      <w:r>
        <w:br w:type="page"/>
      </w:r>
    </w:p>
    <w:p>
      <w:pPr>
        <w:pStyle w:val="Heading1"/>
      </w:pPr>
      <w:r>
        <w:t xml:space="preserve">8. Engineering a Fully-Local Perception Loop</w:t>
      </w:r>
    </w:p>
    <w:p>
      <w:pPr>
        <w:spacing w:after="160" w:line="320"/>
        <w:jc w:val="both"/>
      </w:pPr>
      <w:r>
        <w:rPr>
          <w:rFonts w:ascii="Georgia" w:cs="Georgia" w:eastAsia="Georgia" w:hAnsi="Georgia"/>
          <w:sz w:val="22"/>
          <w:szCs w:val="22"/>
        </w:rPr>
        <w:t xml:space="preserve">This section documents the concrete engineering of a smart-glasses AI loop that makes no cloud API calls, and it does so with explicit attention to the performance ceilings imposed by consumer hardware. The reference platform is an AMD Ryzen AI 9 HX 370 system with integrated Radeon 890M graphics and thirty-two gigabytes of shared memory — a capable but architecturally awkward target that illustrates the real constraints an enthusiast faces.</w:t>
      </w:r>
    </w:p>
    <w:p>
      <w:pPr>
        <w:pStyle w:val="Heading2"/>
      </w:pPr>
      <w:r>
        <w:t xml:space="preserve">8.1 The Loop and Its Substitutions</w:t>
      </w:r>
    </w:p>
    <w:p>
      <w:pPr>
        <w:spacing w:after="160" w:line="320"/>
        <w:jc w:val="both"/>
      </w:pPr>
      <w:r>
        <w:rPr>
          <w:rFonts w:ascii="Georgia" w:cs="Georgia" w:eastAsia="Georgia" w:hAnsi="Georgia"/>
          <w:sz w:val="22"/>
          <w:szCs w:val="22"/>
        </w:rPr>
        <w:t xml:space="preserve">A fully-local loop replaces the cloud components of the default VisionClaw architecture with three on-device stages: speech recognition to convert the wearer's spoken input to text, a vision-language model to interpret the camera frame together with the text, and speech synthesis to voice the response back through the glasses. The glasses and the Device Access Toolkit remain unchanged — they still relay raw sensors through the phone — but every act of intelligence now occurs on the user's own machine, reached across the local network. The phone becomes a dumb relay; the home machine becomes the brain.</w:t>
      </w:r>
    </w:p>
    <w:p>
      <w:pPr>
        <w:pStyle w:val="Heading2"/>
      </w:pPr>
      <w:r>
        <w:t xml:space="preserve">8.2 Local Vision-Language Models</w:t>
      </w:r>
    </w:p>
    <w:p>
      <w:pPr>
        <w:spacing w:after="160" w:line="320"/>
        <w:jc w:val="both"/>
      </w:pPr>
      <w:r>
        <w:rPr>
          <w:rFonts w:ascii="Georgia" w:cs="Georgia" w:eastAsia="Georgia" w:hAnsi="Georgia"/>
          <w:sz w:val="22"/>
          <w:szCs w:val="22"/>
        </w:rPr>
        <w:t xml:space="preserve">The vision stage is the most demanding. As of July 2026 the strongest practical local choice for general use is a seven-billion-parameter vision-language model such as Qwen2.5-VL, which offers markedly better optical-character recognition and chart understanding than earlier LLaVA-class models at a comparable size, requiring on the order of six gigabytes of memory; an eleven-billion-parameter Llama 3.2 Vision model is a stronger but heavier alternative.</w:t>
      </w:r>
      <w:r>
        <w:rPr>
          <w:rFonts w:ascii="Georgia" w:cs="Georgia" w:eastAsia="Georgia" w:hAnsi="Georgia"/>
          <w:sz w:val="22"/>
          <w:szCs w:val="22"/>
          <w:vertAlign w:val="superscript"/>
        </w:rPr>
        <w:t xml:space="preserve"> [8.1]</w:t>
      </w:r>
      <w:r>
        <w:rPr>
          <w:rFonts w:ascii="Georgia" w:cs="Georgia" w:eastAsia="Georgia" w:hAnsi="Georgia"/>
          <w:sz w:val="22"/>
          <w:szCs w:val="22"/>
        </w:rPr>
        <w:t xml:space="preserve"> For low-memory or higher-frame-rate scenarios, smaller models such as a roughly two-billion-parameter Moondream or a three-billion-parameter Qwen variant trade capability for speed. A practical caveat drawn from the current tooling: certain newer vision models are not yet wired correctly into the most common local runtime and must be run through alternative runtimes, a reminder that “local vision model” is a moving target requiring per-model verification rather than a settled capability.</w:t>
      </w:r>
      <w:r>
        <w:rPr>
          <w:rFonts w:ascii="Georgia" w:cs="Georgia" w:eastAsia="Georgia" w:hAnsi="Georgia"/>
          <w:sz w:val="22"/>
          <w:szCs w:val="22"/>
          <w:vertAlign w:val="superscript"/>
        </w:rPr>
        <w:t xml:space="preserve"> [8.1]</w:t>
      </w:r>
    </w:p>
    <w:p>
      <w:pPr>
        <w:pStyle w:val="Heading2"/>
      </w:pPr>
      <w:r>
        <w:t xml:space="preserve">8.3 The AMD Hardware Reality</w:t>
      </w:r>
    </w:p>
    <w:p>
      <w:pPr>
        <w:spacing w:after="160" w:line="320"/>
        <w:jc w:val="both"/>
      </w:pPr>
      <w:r>
        <w:rPr>
          <w:rFonts w:ascii="Georgia" w:cs="Georgia" w:eastAsia="Georgia" w:hAnsi="Georgia"/>
          <w:sz w:val="22"/>
          <w:szCs w:val="22"/>
        </w:rPr>
        <w:t xml:space="preserve">The reference platform illustrates a widespread and under-appreciated constraint. On this AMD system, the practical accelerator for local inference is the integrated Radeon graphics accessed through the Vulkan back end; the vendor's ROCm compute stack does not support this particular integrated processor on Windows, and — most consequentially — the much-touted neural processing unit on “Ryzen AI” silicon cannot be used by the common local runtime at all, a limitation tracked in a long-standing and still-open issue in that runtime's repository.</w:t>
      </w:r>
      <w:r>
        <w:rPr>
          <w:rFonts w:ascii="Georgia" w:cs="Georgia" w:eastAsia="Georgia" w:hAnsi="Georgia"/>
          <w:sz w:val="22"/>
          <w:szCs w:val="22"/>
          <w:vertAlign w:val="superscript"/>
        </w:rPr>
        <w:t xml:space="preserve"> [8.2]</w:t>
      </w:r>
      <w:r>
        <w:rPr>
          <w:rFonts w:ascii="Georgia" w:cs="Georgia" w:eastAsia="Georgia" w:hAnsi="Georgia"/>
          <w:sz w:val="22"/>
          <w:szCs w:val="22"/>
        </w:rPr>
        <w:t xml:space="preserve"> The only route to the neural processing unit is a separate vendor server stack, which co-runs the graphics and neural units and can improve time-to-first-token. In practice this means an enthusiast on this class of hardware should target the integrated graphics through Vulkan, favor vision models in the three-to-seven-billion-parameter range for anything approaching real-time interaction, and understand that the “AI” branding of the silicon does not translate into usable acceleration for this workload through mainstream tools. The gap between the marketing and the measured reality on this exact point is a small but telling example of the paper's broader verification thesis.</w:t>
      </w:r>
    </w:p>
    <w:p>
      <w:pPr>
        <w:pBdr>
          <w:top w:val="single" w:color="CCCCCC" w:sz="4" w:space="6"/>
          <w:bottom w:val="single" w:color="CCCCCC" w:sz="4" w:space="6"/>
          <w:left w:val="single" w:color="CCCCCC" w:sz="4" w:space="6"/>
          <w:right w:val="single" w:color="CCCCCC" w:sz="4" w:space="6"/>
        </w:pBdr>
        <w:shd w:fill="FCE8E8" w:val="clear"/>
        <w:spacing w:after="160" w:before="120" w:line="300"/>
        <w:ind w:left="200" w:right="200"/>
      </w:pPr>
      <w:r>
        <w:rPr>
          <w:rFonts w:ascii="Calibri" w:cs="Calibri" w:eastAsia="Calibri" w:hAnsi="Calibri"/>
          <w:b/>
          <w:bCs/>
          <w:color w:val="1E1E2E"/>
          <w:sz w:val="20"/>
          <w:szCs w:val="20"/>
        </w:rPr>
        <w:t xml:space="preserve">HARDWARE CANDOR  </w:t>
      </w:r>
      <w:r>
        <w:rPr>
          <w:rFonts w:ascii="Calibri" w:cs="Calibri" w:eastAsia="Calibri" w:hAnsi="Calibri"/>
          <w:color w:val="1E1E2E"/>
          <w:sz w:val="20"/>
          <w:szCs w:val="20"/>
        </w:rPr>
        <w:t xml:space="preserve">On the AMD Ryzen AI 9 HX 370, the XDNA neural processing unit is effectively unusable by the mainstream local runtime today. The usable accelerator is the Radeon 890M via Vulkan, which caps real-time-capable vision models at roughly 3–7 billion parameters on this shared-memory platform. The “Ryzen AI” name does not, at present, deliver acceleration for this workload through common tools.</w:t>
      </w:r>
    </w:p>
    <w:p>
      <w:pPr>
        <w:pStyle w:val="Heading2"/>
      </w:pPr>
      <w:r>
        <w:t xml:space="preserve">8.4 Speech Recognition and Synthesis</w:t>
      </w:r>
    </w:p>
    <w:p>
      <w:pPr>
        <w:spacing w:after="160" w:line="320"/>
        <w:jc w:val="both"/>
      </w:pPr>
      <w:r>
        <w:rPr>
          <w:rFonts w:ascii="Georgia" w:cs="Georgia" w:eastAsia="Georgia" w:hAnsi="Georgia"/>
          <w:sz w:val="22"/>
          <w:szCs w:val="22"/>
        </w:rPr>
        <w:t xml:space="preserve">The speech stages are more tractable than the vision stage. For speech recognition, a C-plus-plus implementation of the Whisper model family is the strongest choice for edge and AMD hardware, offering real-time transcription with a Vulkan back end and small-model, integer-quantized configurations that achieve sub-second latency when combined with voice-activity detection.</w:t>
      </w:r>
      <w:r>
        <w:rPr>
          <w:rFonts w:ascii="Georgia" w:cs="Georgia" w:eastAsia="Georgia" w:hAnsi="Georgia"/>
          <w:sz w:val="22"/>
          <w:szCs w:val="22"/>
          <w:vertAlign w:val="superscript"/>
        </w:rPr>
        <w:t xml:space="preserve"> [8.3]</w:t>
      </w:r>
      <w:r>
        <w:rPr>
          <w:rFonts w:ascii="Georgia" w:cs="Georgia" w:eastAsia="Georgia" w:hAnsi="Georgia"/>
          <w:sz w:val="22"/>
          <w:szCs w:val="22"/>
        </w:rPr>
        <w:t xml:space="preserve"> For speech synthesis, a compact eighty-two-million-parameter neural model released under a permissive license has emerged as the current quality leader for local use, delivering natural, low-latency voice on modest hardware; an older, widely-used synthesis engine was archived in late 2025 and, while still functional, is no longer the recommended default for new builds.</w:t>
      </w:r>
      <w:r>
        <w:rPr>
          <w:rFonts w:ascii="Georgia" w:cs="Georgia" w:eastAsia="Georgia" w:hAnsi="Georgia"/>
          <w:sz w:val="22"/>
          <w:szCs w:val="22"/>
          <w:vertAlign w:val="superscript"/>
        </w:rPr>
        <w:t xml:space="preserve"> [8.4]</w:t>
      </w:r>
      <w:r>
        <w:rPr>
          <w:rFonts w:ascii="Georgia" w:cs="Georgia" w:eastAsia="Georgia" w:hAnsi="Georgia"/>
          <w:sz w:val="22"/>
          <w:szCs w:val="22"/>
        </w:rPr>
        <w:t xml:space="preserve"> Together these stages make the non-vision portions of a local loop genuinely practical today.</w:t>
      </w:r>
    </w:p>
    <w:p>
      <w:pPr>
        <w:pStyle w:val="Heading2"/>
      </w:pPr>
      <w:r>
        <w:t xml:space="preserve">8.5 Working Reference Implementations</w:t>
      </w:r>
    </w:p>
    <w:p>
      <w:pPr>
        <w:spacing w:after="160" w:line="320"/>
        <w:jc w:val="both"/>
      </w:pPr>
      <w:r>
        <w:rPr>
          <w:rFonts w:ascii="Georgia" w:cs="Georgia" w:eastAsia="Georgia" w:hAnsi="Georgia"/>
          <w:sz w:val="22"/>
          <w:szCs w:val="22"/>
        </w:rPr>
        <w:t xml:space="preserve">Crucially, fully-local smart-glasses loops are not merely theoretical; several open-source projects demonstrate them end to end, and studying them saves an enthusiast the most engineering effort. A sensing-computing split architecture published as a 2026 preprint drives a real-time visual-assistance loop entirely without cloud calls, pairing an inexpensive camera module with a local multimodal model and local speech components.</w:t>
      </w:r>
      <w:r>
        <w:rPr>
          <w:rFonts w:ascii="Georgia" w:cs="Georgia" w:eastAsia="Georgia" w:hAnsi="Georgia"/>
          <w:sz w:val="22"/>
          <w:szCs w:val="22"/>
          <w:vertAlign w:val="superscript"/>
        </w:rPr>
        <w:t xml:space="preserve"> [8.5]</w:t>
      </w:r>
      <w:r>
        <w:rPr>
          <w:rFonts w:ascii="Georgia" w:cs="Georgia" w:eastAsia="Georgia" w:hAnsi="Georgia"/>
          <w:sz w:val="22"/>
          <w:szCs w:val="22"/>
        </w:rPr>
        <w:t xml:space="preserve"> An iOS application for Meta glasses demonstrates on-device vision using Apple's machine-learning framework together with a local synthesis model, advertising private, offline, zero-API-cost operation. A separate application for Meta glasses offers a fully-offline voice mode routed to local, OpenAI-compatible model endpoints. These projects collectively establish that the fully-local loop is achievable with current consumer hardware and current open-source software; the remaining work for any individual builder is integration and tuning rather than fundamental invention.</w:t>
      </w:r>
    </w:p>
    <w:p>
      <w:pPr>
        <w:spacing w:after="160" w:line="320"/>
        <w:jc w:val="both"/>
      </w:pPr>
      <w:r>
        <w:rPr>
          <w:rFonts w:ascii="Georgia" w:cs="Georgia" w:eastAsia="Georgia" w:hAnsi="Georgia"/>
          <w:sz w:val="22"/>
          <w:szCs w:val="22"/>
        </w:rPr>
        <w:t xml:space="preserve">The honest assessment is that a fully-local loop today will feel more turn-based and higher-latency than the seamless duplex voice interaction a cloud model provides, principally because of the vision-stage cost on shared-memory consumer hardware. This is a real and present limitation, not a detail to be glossed. But the trajectory is favorable: local models grow more efficient, and hardware acceleration for the neural units on consumer silicon is an actively-developed frontier. The private, cloud-independent smart-glasses co-pilot is not a fantasy; it is a buildable system with known, improving limitations.</w:t>
      </w:r>
    </w:p>
    <w:p>
      <w:pPr>
        <w:pStyle w:val="Heading2"/>
      </w:pPr>
      <w:r>
        <w:t xml:space="preserve">8.6 The Human-Computer Interaction of an Always-On Co-Pilot</w:t>
      </w:r>
    </w:p>
    <w:p>
      <w:pPr>
        <w:spacing w:after="160" w:line="320"/>
        <w:jc w:val="both"/>
      </w:pPr>
      <w:r>
        <w:rPr>
          <w:rFonts w:ascii="Georgia" w:cs="Georgia" w:eastAsia="Georgia" w:hAnsi="Georgia"/>
          <w:sz w:val="22"/>
          <w:szCs w:val="22"/>
        </w:rPr>
        <w:t xml:space="preserve">Building a local perception loop is a systems problem, but using one well is a human-computer-interaction problem, and the HCI literature offers concrete guidance that a builder ignores at their peril. The foundational tension, articulated in Mann's original framing of wearable computing, is that the device must be unmonopolizing — it must not demand the attention that it is meant to augment.</w:t>
      </w:r>
      <w:r>
        <w:rPr>
          <w:rFonts w:ascii="Georgia" w:cs="Georgia" w:eastAsia="Georgia" w:hAnsi="Georgia"/>
          <w:sz w:val="22"/>
          <w:szCs w:val="22"/>
          <w:vertAlign w:val="superscript"/>
        </w:rPr>
        <w:t xml:space="preserve"> [4]</w:t>
      </w:r>
      <w:r>
        <w:rPr>
          <w:rFonts w:ascii="Georgia" w:cs="Georgia" w:eastAsia="Georgia" w:hAnsi="Georgia"/>
          <w:sz w:val="22"/>
          <w:szCs w:val="22"/>
        </w:rPr>
        <w:t xml:space="preserve"> This constraint is more binding for a glasses-based agent than for any prior form factor, because the wearer's eyes and ears are the primary channel through which they engage the physical and social world. An agent that interrupts, that speaks too often, or that requires visual attention to a display at the wrong moment does not augment cognition; it fractures it.</w:t>
      </w:r>
    </w:p>
    <w:p>
      <w:pPr>
        <w:spacing w:after="160" w:line="320"/>
        <w:jc w:val="both"/>
      </w:pPr>
      <w:r>
        <w:rPr>
          <w:rFonts w:ascii="Georgia" w:cs="Georgia" w:eastAsia="Georgia" w:hAnsi="Georgia"/>
          <w:sz w:val="22"/>
          <w:szCs w:val="22"/>
        </w:rPr>
        <w:t xml:space="preserve">Rzayev and colleagues' study of reading on smart glasses while walking quantifies one dimension of this problem, showing that text position and presentation mode materially affect both comprehension and walking performance, and that a poorly-placed heads-up display degrades both simultaneously.</w:t>
      </w:r>
      <w:r>
        <w:rPr>
          <w:rFonts w:ascii="Georgia" w:cs="Georgia" w:eastAsia="Georgia" w:hAnsi="Georgia"/>
          <w:sz w:val="22"/>
          <w:szCs w:val="22"/>
          <w:vertAlign w:val="superscript"/>
        </w:rPr>
        <w:t xml:space="preserve"> [G2]</w:t>
      </w:r>
      <w:r>
        <w:rPr>
          <w:rFonts w:ascii="Georgia" w:cs="Georgia" w:eastAsia="Georgia" w:hAnsi="Georgia"/>
          <w:sz w:val="22"/>
          <w:szCs w:val="22"/>
        </w:rPr>
        <w:t xml:space="preserve"> Grubert and colleagues' work on the cognitive cost of AR displays demonstrates that even a lightly-loaded display imposes a measurable attentional tax.</w:t>
      </w:r>
      <w:r>
        <w:rPr>
          <w:rFonts w:ascii="Georgia" w:cs="Georgia" w:eastAsia="Georgia" w:hAnsi="Georgia"/>
          <w:sz w:val="22"/>
          <w:szCs w:val="22"/>
          <w:vertAlign w:val="superscript"/>
        </w:rPr>
        <w:t xml:space="preserve"> [G6]</w:t>
      </w:r>
      <w:r>
        <w:rPr>
          <w:rFonts w:ascii="Georgia" w:cs="Georgia" w:eastAsia="Georgia" w:hAnsi="Georgia"/>
          <w:sz w:val="22"/>
          <w:szCs w:val="22"/>
        </w:rPr>
        <w:t xml:space="preserve"> For a screenless device such as the second-generation Ray-Ban Meta, the interaction burden shifts entirely to the audio channel, which has its own constraints: synthesized speech is serial and slow relative to a glance, and a verbose agent quickly becomes an irritant. The design implication, supported across this literature, is that an always-on co-pilot should default to silence, respond concisely when addressed, and reserve proactive interruption for genuinely high-value events. This is not merely a matter of taste; it is the difference between a device that augments attention and one that competes for it.</w:t>
      </w:r>
    </w:p>
    <w:p>
      <w:pPr>
        <w:spacing w:after="160" w:line="320"/>
        <w:jc w:val="both"/>
      </w:pPr>
      <w:r>
        <w:rPr>
          <w:rFonts w:ascii="Georgia" w:cs="Georgia" w:eastAsia="Georgia" w:hAnsi="Georgia"/>
          <w:sz w:val="22"/>
          <w:szCs w:val="22"/>
        </w:rPr>
        <w:t xml:space="preserve">Recent work specific to AI-on-glasses sharpens the guidance. Cai and colleagues' AiGet system explores how an AI agent can surface relevant knowledge from the wearer's visual environment without overwhelming them, framing the core challenge as one of timing and relevance rather than raw capability.</w:t>
      </w:r>
      <w:r>
        <w:rPr>
          <w:rFonts w:ascii="Georgia" w:cs="Georgia" w:eastAsia="Georgia" w:hAnsi="Georgia"/>
          <w:sz w:val="22"/>
          <w:szCs w:val="22"/>
          <w:vertAlign w:val="superscript"/>
        </w:rPr>
        <w:t xml:space="preserve"> [G9]</w:t>
      </w:r>
      <w:r>
        <w:rPr>
          <w:rFonts w:ascii="Georgia" w:cs="Georgia" w:eastAsia="Georgia" w:hAnsi="Georgia"/>
          <w:sz w:val="22"/>
          <w:szCs w:val="22"/>
        </w:rPr>
        <w:t xml:space="preserve"> Mahmood and colleagues' 2026 study of conversational successes and breakdowns in everyday smart-glasses use — directly relevant to the VisionClaw-style voice loop — catalogues the failure modes that erode trust: misrecognized commands, responses to the wrong context, and latency that breaks conversational flow.</w:t>
      </w:r>
      <w:r>
        <w:rPr>
          <w:rFonts w:ascii="Georgia" w:cs="Georgia" w:eastAsia="Georgia" w:hAnsi="Georgia"/>
          <w:sz w:val="22"/>
          <w:szCs w:val="22"/>
          <w:vertAlign w:val="superscript"/>
        </w:rPr>
        <w:t xml:space="preserve"> [G10]</w:t>
      </w:r>
      <w:r>
        <w:rPr>
          <w:rFonts w:ascii="Georgia" w:cs="Georgia" w:eastAsia="Georgia" w:hAnsi="Georgia"/>
          <w:sz w:val="22"/>
          <w:szCs w:val="22"/>
        </w:rPr>
        <w:t xml:space="preserve"> The VisionClaw preprint's own reported figures reflect this: the system's note-taking function succeeded only a little over half the time in one evaluation, principally because the one-frame-per-second camera stream struggles with small objects and text at a distance.</w:t>
      </w:r>
      <w:r>
        <w:rPr>
          <w:rFonts w:ascii="Georgia" w:cs="Georgia" w:eastAsia="Georgia" w:hAnsi="Georgia"/>
          <w:sz w:val="22"/>
          <w:szCs w:val="22"/>
          <w:vertAlign w:val="superscript"/>
        </w:rPr>
        <w:t xml:space="preserve"> [7.4]</w:t>
      </w:r>
      <w:r>
        <w:rPr>
          <w:rFonts w:ascii="Georgia" w:cs="Georgia" w:eastAsia="Georgia" w:hAnsi="Georgia"/>
          <w:sz w:val="22"/>
          <w:szCs w:val="22"/>
        </w:rPr>
        <w:t xml:space="preserve"> A builder should internalize that the interaction quality of a local co-pilot is bounded not only by model capability but by the perceptual bottleneck of the sensor pipeline and by the discipline of the interaction design layered on top of it.</w:t>
      </w:r>
    </w:p>
    <w:p>
      <w:pPr>
        <w:pBdr>
          <w:top w:val="single" w:color="CCCCCC" w:sz="4" w:space="6"/>
          <w:bottom w:val="single" w:color="CCCCCC" w:sz="4" w:space="6"/>
          <w:left w:val="single" w:color="CCCCCC" w:sz="4" w:space="6"/>
          <w:right w:val="single" w:color="CCCCCC" w:sz="4" w:space="6"/>
        </w:pBdr>
        <w:shd w:fill="E8F0FE" w:val="clear"/>
        <w:spacing w:after="160" w:before="120" w:line="300"/>
        <w:ind w:left="200" w:right="200"/>
      </w:pPr>
      <w:r>
        <w:rPr>
          <w:rFonts w:ascii="Calibri" w:cs="Calibri" w:eastAsia="Calibri" w:hAnsi="Calibri"/>
          <w:b/>
          <w:bCs/>
          <w:color w:val="1E1E2E"/>
          <w:sz w:val="20"/>
          <w:szCs w:val="20"/>
        </w:rPr>
        <w:t xml:space="preserve">DESIGN PRINCIPLE  </w:t>
      </w:r>
      <w:r>
        <w:rPr>
          <w:rFonts w:ascii="Calibri" w:cs="Calibri" w:eastAsia="Calibri" w:hAnsi="Calibri"/>
          <w:color w:val="1E1E2E"/>
          <w:sz w:val="20"/>
          <w:szCs w:val="20"/>
        </w:rPr>
        <w:t xml:space="preserve">An always-on glasses agent should default to silence, answer concisely when addressed, and interrupt only for high-value events. The HCI evidence is consistent: the binding constraint is attention, not capability. A verbose or poorly-timed agent fractures the very cognition it is meant to augment.</w:t>
      </w:r>
    </w:p>
    <w:p>
      <w:pPr>
        <w:pStyle w:val="Heading2"/>
      </w:pPr>
      <w:r>
        <w:t xml:space="preserve">8.7 Agentic Orchestration and the Multi-Device Mesh</w:t>
      </w:r>
    </w:p>
    <w:p>
      <w:pPr>
        <w:spacing w:after="160" w:line="320"/>
        <w:jc w:val="both"/>
      </w:pPr>
      <w:r>
        <w:rPr>
          <w:rFonts w:ascii="Georgia" w:cs="Georgia" w:eastAsia="Georgia" w:hAnsi="Georgia"/>
          <w:sz w:val="22"/>
          <w:szCs w:val="22"/>
        </w:rPr>
        <w:t xml:space="preserve">The full ambition of a local-first smart-glasses deployment is not a single device talking to a single model, but a mesh of agents sharing one local intelligence layer. In the reference architecture that motivates this paper, the glasses are one node among several — a ground robot, an aerial drone, and a central compute hub — all reaching the same locally-hosted models through a common gateway. This topology raises design questions that the single-device literature does not address, and it is worth setting them out precisely because they generalize to any serious local-agent deployment.</w:t>
      </w:r>
    </w:p>
    <w:p>
      <w:pPr>
        <w:spacing w:after="160" w:line="320"/>
        <w:jc w:val="both"/>
      </w:pPr>
      <w:r>
        <w:rPr>
          <w:rFonts w:ascii="Georgia" w:cs="Georgia" w:eastAsia="Georgia" w:hAnsi="Georgia"/>
          <w:sz w:val="22"/>
          <w:szCs w:val="22"/>
        </w:rPr>
        <w:t xml:space="preserve">The first question is resource arbitration. A shared-memory consumer machine can hold only so many model parameters resident at once; when multiple agents request inference simultaneously, the system must arbitrate. The natural design assigns priority by proximity to the human: the glasses, as the human-facing node carrying immediate personal context, take precedence over autonomous peripherals that can tolerate latency. This is not merely an engineering convenience but an expression of the humanistic-intelligence principle — the system's scarce attention should track the human's attention.</w:t>
      </w:r>
      <w:r>
        <w:rPr>
          <w:rFonts w:ascii="Georgia" w:cs="Georgia" w:eastAsia="Georgia" w:hAnsi="Georgia"/>
          <w:sz w:val="22"/>
          <w:szCs w:val="22"/>
          <w:vertAlign w:val="superscript"/>
        </w:rPr>
        <w:t xml:space="preserve"> [4]</w:t>
      </w:r>
      <w:r>
        <w:rPr>
          <w:rFonts w:ascii="Georgia" w:cs="Georgia" w:eastAsia="Georgia" w:hAnsi="Georgia"/>
          <w:sz w:val="22"/>
          <w:szCs w:val="22"/>
          <w:vertAlign w:val="superscript"/>
        </w:rPr>
        <w:t xml:space="preserve"> [6]</w:t>
      </w:r>
    </w:p>
    <w:p>
      <w:pPr>
        <w:spacing w:after="160" w:line="320"/>
        <w:jc w:val="both"/>
      </w:pPr>
      <w:r>
        <w:rPr>
          <w:rFonts w:ascii="Georgia" w:cs="Georgia" w:eastAsia="Georgia" w:hAnsi="Georgia"/>
          <w:sz w:val="22"/>
          <w:szCs w:val="22"/>
        </w:rPr>
        <w:t xml:space="preserve">The second question is the division of intelligence across the mesh. Some perception must occur at the edge — a drone's obstacle avoidance cannot wait on a round trip to a home server — while higher reasoning benefits from the larger models the hub can host. This mirrors the sensing-computing split that recent local-multimodal research has formalized, in which a lightweight sensing node captures data and a more capable computing node interprets it.</w:t>
      </w:r>
      <w:r>
        <w:rPr>
          <w:rFonts w:ascii="Georgia" w:cs="Georgia" w:eastAsia="Georgia" w:hAnsi="Georgia"/>
          <w:sz w:val="22"/>
          <w:szCs w:val="22"/>
          <w:vertAlign w:val="superscript"/>
        </w:rPr>
        <w:t xml:space="preserve"> [8.5]</w:t>
      </w:r>
      <w:r>
        <w:rPr>
          <w:rFonts w:ascii="Georgia" w:cs="Georgia" w:eastAsia="Georgia" w:hAnsi="Georgia"/>
          <w:sz w:val="22"/>
          <w:szCs w:val="22"/>
        </w:rPr>
        <w:t xml:space="preserve"> For the glasses specifically, the Device Access Toolkit forces exactly this split by design: the glasses sense, the phone relays, and the hub reasons. The architecture a builder arrives at for the glasses is therefore the same architecture that generalizes to the whole mesh, which is a fortunate convergence rather than a coincidence — both are driven by the same underlying constraint that perception is cheap to capture and expensive to interpret.</w:t>
      </w:r>
    </w:p>
    <w:p>
      <w:pPr>
        <w:spacing w:after="160" w:line="320"/>
        <w:jc w:val="both"/>
      </w:pPr>
      <w:r>
        <w:rPr>
          <w:rFonts w:ascii="Georgia" w:cs="Georgia" w:eastAsia="Georgia" w:hAnsi="Georgia"/>
          <w:sz w:val="22"/>
          <w:szCs w:val="22"/>
        </w:rPr>
        <w:t xml:space="preserve">The third question is orchestration tooling, and here the honest assessment is that the field is young and volatile. The OpenClaw framework provides a gateway and a skill abstraction adequate for routing commands among agents, but the broader ecosystem of agent frameworks is churning rapidly, with frequent breaking changes, security incidents involving malicious community-contributed skills, and an unsettled set of conventions for inter-agent communication.</w:t>
      </w:r>
      <w:r>
        <w:rPr>
          <w:rFonts w:ascii="Georgia" w:cs="Georgia" w:eastAsia="Georgia" w:hAnsi="Georgia"/>
          <w:sz w:val="22"/>
          <w:szCs w:val="22"/>
          <w:vertAlign w:val="superscript"/>
        </w:rPr>
        <w:t xml:space="preserve"> [7.1]</w:t>
      </w:r>
      <w:r>
        <w:rPr>
          <w:rFonts w:ascii="Georgia" w:cs="Georgia" w:eastAsia="Georgia" w:hAnsi="Georgia"/>
          <w:sz w:val="22"/>
          <w:szCs w:val="22"/>
          <w:vertAlign w:val="superscript"/>
        </w:rPr>
        <w:t xml:space="preserve"> [7.3]</w:t>
      </w:r>
      <w:r>
        <w:rPr>
          <w:rFonts w:ascii="Georgia" w:cs="Georgia" w:eastAsia="Georgia" w:hAnsi="Georgia"/>
          <w:sz w:val="22"/>
          <w:szCs w:val="22"/>
        </w:rPr>
        <w:t xml:space="preserve"> A builder should treat the orchestration layer as the least stable part of the stack, isolate it behind clear interfaces, and avoid deep dependence on any single framework's idiosyncrasies. The models and the sensor pipeline are comparatively stable; the agent-orchestration layer is where the ground is still moving, and architecting for its replaceability is simple prudence.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100"/>
        <w:gridCol w:w="2160"/>
      </w:tblGrid>
      <w:tr>
        <w:trPr>
          <w:tblHeader/>
        </w:trPr>
        <w:tc>
          <w:tcPr>
            <w:tcW w:type="dxa" w:w="29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Mesh Layer</w:t>
            </w:r>
          </w:p>
        </w:tc>
        <w:tc>
          <w:tcPr>
            <w:tcW w:type="dxa" w:w="2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Where It Runs</w:t>
            </w:r>
          </w:p>
        </w:tc>
        <w:tc>
          <w:tcPr>
            <w:tcW w:type="dxa" w:w="21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Latency Tolerance</w:t>
            </w:r>
          </w:p>
        </w:tc>
        <w:tc>
          <w:tcPr>
            <w:tcW w:type="dxa" w:w="21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Stability</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Sensor capture (glasses, drone cams)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Edge device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Real-time required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Stable (hardware SDK)</w:t>
            </w:r>
          </w:p>
        </w:tc>
      </w:tr>
      <w:tr>
        <w:tc>
          <w:tcPr>
            <w:tcW w:type="dxa" w:w="29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Sensor relay</w:t>
            </w:r>
          </w:p>
        </w:tc>
        <w:tc>
          <w:tcPr>
            <w:tcW w:type="dxa" w:w="2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Phone / companion</w:t>
            </w:r>
          </w:p>
        </w:tc>
        <w:tc>
          <w:tcPr>
            <w:tcW w:type="dxa" w:w="21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Low latency</w:t>
            </w:r>
          </w:p>
        </w:tc>
        <w:tc>
          <w:tcPr>
            <w:tcW w:type="dxa" w:w="21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Stable</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Vision-language reasoning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Local hub (Ollama)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Seconds acceptable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Stable, improving</w:t>
            </w:r>
          </w:p>
        </w:tc>
      </w:tr>
      <w:tr>
        <w:tc>
          <w:tcPr>
            <w:tcW w:type="dxa" w:w="29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Speech recognition / synthesis</w:t>
            </w:r>
          </w:p>
        </w:tc>
        <w:tc>
          <w:tcPr>
            <w:tcW w:type="dxa" w:w="22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Local hub</w:t>
            </w:r>
          </w:p>
        </w:tc>
        <w:tc>
          <w:tcPr>
            <w:tcW w:type="dxa" w:w="21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Sub-second target</w:t>
            </w:r>
          </w:p>
        </w:tc>
        <w:tc>
          <w:tcPr>
            <w:tcW w:type="dxa" w:w="21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Stable</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Agent orchestration / skills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Local hub gateway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Varies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Volatile — isolate it</w:t>
            </w:r>
          </w:p>
        </w:tc>
      </w:tr>
    </w:tbl>
    <w:p>
      <w:pPr>
        <w:spacing w:after="160"/>
      </w:pPr>
    </w:p>
    <w:p>
      <w:r>
        <w:br w:type="page"/>
      </w:r>
    </w:p>
    <w:p>
      <w:pPr>
        <w:pStyle w:val="Heading1"/>
      </w:pPr>
      <w:r>
        <w:t xml:space="preserve">9. Limitations, Open Problems, and Ethics</w:t>
      </w:r>
    </w:p>
    <w:p>
      <w:pPr>
        <w:spacing w:after="160" w:line="320"/>
        <w:jc w:val="both"/>
      </w:pPr>
      <w:r>
        <w:rPr>
          <w:rFonts w:ascii="Georgia" w:cs="Georgia" w:eastAsia="Georgia" w:hAnsi="Georgia"/>
          <w:b/>
          <w:bCs/>
          <w:sz w:val="22"/>
          <w:szCs w:val="22"/>
        </w:rPr>
        <w:t xml:space="preserve">Battery and session limits. </w:t>
      </w:r>
      <w:r>
        <w:rPr>
          <w:rFonts w:ascii="Georgia" w:cs="Georgia" w:eastAsia="Georgia" w:hAnsi="Georgia"/>
          <w:sz w:val="22"/>
          <w:szCs w:val="22"/>
        </w:rPr>
        <w:t xml:space="preserve">The most immediate practical limitation of always-on AI on current glasses is the roughly thirty-minute ceiling on continuous live-assistant use imposed by battery and thermal constraints, a ceiling the anticipated third generation is expected to relax but has not yet. Continuous camera streaming through the Device Access Toolkit draws meaningfully more power than ordinary use, shortening runtime further.</w:t>
      </w:r>
    </w:p>
    <w:p>
      <w:pPr>
        <w:spacing w:after="160" w:line="320"/>
        <w:jc w:val="both"/>
      </w:pPr>
      <w:r>
        <w:rPr>
          <w:rFonts w:ascii="Georgia" w:cs="Georgia" w:eastAsia="Georgia" w:hAnsi="Georgia"/>
          <w:b/>
          <w:bCs/>
          <w:sz w:val="22"/>
          <w:szCs w:val="22"/>
        </w:rPr>
        <w:t xml:space="preserve">The vision-latency gap. </w:t>
      </w:r>
      <w:r>
        <w:rPr>
          <w:rFonts w:ascii="Georgia" w:cs="Georgia" w:eastAsia="Georgia" w:hAnsi="Georgia"/>
          <w:sz w:val="22"/>
          <w:szCs w:val="22"/>
        </w:rPr>
        <w:t xml:space="preserve">On consumer shared-memory hardware, local vision-language inference remains slow enough that a fully-local loop feels turn-based rather than conversational. Closing this gap depends on continued model-efficiency gains and on hardware-acceleration support that, for AMD neural units in particular, does not yet exist in mainstream tooling.</w:t>
      </w:r>
    </w:p>
    <w:p>
      <w:pPr>
        <w:spacing w:after="160" w:line="320"/>
        <w:jc w:val="both"/>
      </w:pPr>
      <w:r>
        <w:rPr>
          <w:rFonts w:ascii="Georgia" w:cs="Georgia" w:eastAsia="Georgia" w:hAnsi="Georgia"/>
          <w:b/>
          <w:bCs/>
          <w:sz w:val="22"/>
          <w:szCs w:val="22"/>
        </w:rPr>
        <w:t xml:space="preserve">Verification as an ongoing hazard. </w:t>
      </w:r>
      <w:r>
        <w:rPr>
          <w:rFonts w:ascii="Georgia" w:cs="Georgia" w:eastAsia="Georgia" w:hAnsi="Georgia"/>
          <w:sz w:val="22"/>
          <w:szCs w:val="22"/>
        </w:rPr>
        <w:t xml:space="preserve">This paper has repeatedly had to correct claims that circulated with unwarranted confidence, including in its own first edition and in contemporaneous machine-generated text. The broader lesson generalizes: in a fast-moving field saturated with promotional and machine-generated content, specific figures and product claims should be treated as hypotheses until checked against primary sources. This is not a rhetorical flourish; it is a practical research methodology that materially changed the content of this edition.</w:t>
      </w:r>
    </w:p>
    <w:p>
      <w:pPr>
        <w:spacing w:after="160" w:line="320"/>
        <w:jc w:val="both"/>
      </w:pPr>
      <w:r>
        <w:rPr>
          <w:rFonts w:ascii="Georgia" w:cs="Georgia" w:eastAsia="Georgia" w:hAnsi="Georgia"/>
          <w:b/>
          <w:bCs/>
          <w:sz w:val="22"/>
          <w:szCs w:val="22"/>
        </w:rPr>
        <w:t xml:space="preserve">The facial-recognition line. </w:t>
      </w:r>
      <w:r>
        <w:rPr>
          <w:rFonts w:ascii="Georgia" w:cs="Georgia" w:eastAsia="Georgia" w:hAnsi="Georgia"/>
          <w:sz w:val="22"/>
          <w:szCs w:val="22"/>
        </w:rPr>
        <w:t xml:space="preserve">The single sharpest ethical problem in the field is the prospect of real-time identification of non-consenting bystanders, which the 2026 controversy over dormant on-device recognition code made concrete. The local-first architecture this paper advocates relocates the locus of identification power away from centralized platforms, but it does not by itself prevent misuse. Builders bear an independent ethical obligation to treat bystander identification as out of scope regardless of where computation runs.</w:t>
      </w:r>
    </w:p>
    <w:p>
      <w:pPr>
        <w:pStyle w:val="Heading1"/>
      </w:pPr>
      <w:r>
        <w:t xml:space="preserve">10. Conclusion</w:t>
      </w:r>
    </w:p>
    <w:p>
      <w:pPr>
        <w:spacing w:after="160" w:line="320"/>
        <w:jc w:val="both"/>
      </w:pPr>
      <w:r>
        <w:rPr>
          <w:rFonts w:ascii="Georgia" w:cs="Georgia" w:eastAsia="Georgia" w:hAnsi="Georgia"/>
          <w:sz w:val="22"/>
          <w:szCs w:val="22"/>
        </w:rPr>
        <w:t xml:space="preserve">Smart glasses have completed a remarkable journey from Ivan Sutherland's ceiling-mounted apparatus to frames indistinguishable from ordinary eyewear. The convergence of waveguide optics, micro-LED and micro-OLED microdisplays, efficient local AI, and decades of human-computer-interaction research has produced a product category that is no longer speculative. With shipments in the millions, double-digit market growth, and every major technology company preparing entries, the category has crossed decisively from novelty into mainstream consumer electronics — and it did so by learning the Google Glass lesson that social acceptance precedes capability.</w:t>
      </w:r>
    </w:p>
    <w:p>
      <w:pPr>
        <w:spacing w:after="160" w:line="320"/>
        <w:jc w:val="both"/>
      </w:pPr>
      <w:r>
        <w:rPr>
          <w:rFonts w:ascii="Georgia" w:cs="Georgia" w:eastAsia="Georgia" w:hAnsi="Georgia"/>
          <w:sz w:val="22"/>
          <w:szCs w:val="22"/>
        </w:rPr>
        <w:t xml:space="preserve">The remaining challenges are substantial but tractable. Display technology must progress from monocular twenty-degree heads-up displays to binocular wide-field augmented reality with full color and sunlight readability, which awaits advances in micro-LED manufacturing and waveguide efficiency. Eye-health concerns, contrary to popular anxiety, are dominated not by blue light — for which the best evidence shows no consumer-device harm — but by the ergonomics of prolonged use and, in display models, the vergence-accommodation conflict, both of which are manageable. Privacy norms must evolve alongside a technology whose facial-recognition frontier represents a categorical escalation over the recording concerns of the Glass era.</w:t>
      </w:r>
    </w:p>
    <w:p>
      <w:pPr>
        <w:spacing w:after="160" w:line="320"/>
        <w:jc w:val="both"/>
      </w:pPr>
      <w:r>
        <w:rPr>
          <w:rFonts w:ascii="Georgia" w:cs="Georgia" w:eastAsia="Georgia" w:hAnsi="Georgia"/>
          <w:sz w:val="22"/>
          <w:szCs w:val="22"/>
        </w:rPr>
        <w:t xml:space="preserve">The paper's central thesis is that the decisive question has shifted from what smart glasses can display to where their intelligence runs. The open-source community has demonstrated — in shipping code, not merely in principle — that smart glasses need not be tethered to corporate cloud infrastructure, and that a private, locally-processed perception loop is buildable today on consumer hardware with known and improving limitations. As local models grow more efficient and hardware acceleration matures, the vision of a genuinely personal, genuinely private AI co-pilot worn on the face moves from aspiration toward engineering reality. Whether smart glasses become the successor to the smartphone or a durable complement to it, the technology has arrived, the local-first alternative is real, and the questions that remain are questions of degree, of ethics, and of execution rather than of fundamental possibility.</w:t>
      </w:r>
    </w:p>
    <w:p>
      <w:pPr>
        <w:spacing w:before="240"/>
        <w:jc w:val="center"/>
      </w:pPr>
      <w:r>
        <w:rPr>
          <w:rFonts w:ascii="Georgia" w:cs="Georgia" w:eastAsia="Georgia" w:hAnsi="Georgia"/>
          <w:i/>
          <w:iCs/>
          <w:sz w:val="22"/>
          <w:szCs w:val="22"/>
        </w:rPr>
        <w:t xml:space="preserve">Patience pays.</w:t>
      </w:r>
    </w:p>
    <w:p>
      <w:r>
        <w:br w:type="page"/>
      </w:r>
    </w:p>
    <w:p>
      <w:pPr>
        <w:pStyle w:val="Heading1"/>
      </w:pPr>
      <w:r>
        <w:t xml:space="preserve">Appendix A. Methodology and Verification Protocol</w:t>
      </w:r>
    </w:p>
    <w:p>
      <w:pPr>
        <w:spacing w:after="160" w:line="320"/>
        <w:jc w:val="both"/>
      </w:pPr>
      <w:r>
        <w:rPr>
          <w:rFonts w:ascii="Georgia" w:cs="Georgia" w:eastAsia="Georgia" w:hAnsi="Georgia"/>
          <w:sz w:val="22"/>
          <w:szCs w:val="22"/>
        </w:rPr>
        <w:t xml:space="preserve">This appendix documents the method by which the present edition was researched and verified, both for transparency and because the method is substantively connected to the paper's argument about the difficulty of establishing ground truth in a fast-moving field. The first edition of this paper, completed in April 2026, drew on a body of one hundred nineteen sources across peer-reviewed journals, conference proceedings, industry reports, and open-source repositories. In preparing the second edition, every claim bearing on rapidly-changing matters — product specifications, prices, availability, framework capabilities, repository statistics, and clinical consensus — was re-examined against primary sources retrieved in July 2026.</w:t>
      </w:r>
    </w:p>
    <w:p>
      <w:pPr>
        <w:spacing w:after="160" w:line="320"/>
        <w:jc w:val="both"/>
      </w:pPr>
      <w:r>
        <w:rPr>
          <w:rFonts w:ascii="Georgia" w:cs="Georgia" w:eastAsia="Georgia" w:hAnsi="Georgia"/>
          <w:b/>
          <w:bCs/>
          <w:sz w:val="22"/>
          <w:szCs w:val="22"/>
        </w:rPr>
        <w:t xml:space="preserve">Source tiering. </w:t>
      </w:r>
      <w:r>
        <w:rPr>
          <w:rFonts w:ascii="Georgia" w:cs="Georgia" w:eastAsia="Georgia" w:hAnsi="Georgia"/>
          <w:sz w:val="22"/>
          <w:szCs w:val="22"/>
        </w:rPr>
        <w:t xml:space="preserve">Sources were assigned to one of three tiers of reliability, and claims were qualified accordingly. The first tier comprises peer-reviewed publications and official primary documentation — journal articles, conference papers, manufacturer specification pages, and official developer documentation — which were treated as authoritative for their respective claims. The second tier comprises reputable secondary reporting — established technology-press outlets with editorial standards — which was treated as reliable for events and product details but cross-checked where possible. The third tier comprises vendor self-reporting, promotional material, leaks, and machine-generated summaries, which were treated as hypotheses requiring corroboration and were explicitly labeled as unverified wherever they could not be corroborated.</w:t>
      </w:r>
    </w:p>
    <w:p>
      <w:pPr>
        <w:spacing w:after="160" w:line="320"/>
        <w:jc w:val="both"/>
      </w:pPr>
      <w:r>
        <w:rPr>
          <w:rFonts w:ascii="Georgia" w:cs="Georgia" w:eastAsia="Georgia" w:hAnsi="Georgia"/>
          <w:b/>
          <w:bCs/>
          <w:sz w:val="22"/>
          <w:szCs w:val="22"/>
        </w:rPr>
        <w:t xml:space="preserve">Corrections applied. </w:t>
      </w:r>
      <w:r>
        <w:rPr>
          <w:rFonts w:ascii="Georgia" w:cs="Georgia" w:eastAsia="Georgia" w:hAnsi="Georgia"/>
          <w:sz w:val="22"/>
          <w:szCs w:val="22"/>
        </w:rPr>
        <w:t xml:space="preserve">The verification process produced several material corrections to the first edition. The most consequential concerned the reported repository-star count of the OpenClaw framework, which the first edition placed at approximately three hundred forty-two thousand as of April 2026; primary sources established that the April figure was closer to thirty thousand, with the higher figure reflecting a mid-2026 snapshot, and the claim was corrected and reframed as a range. A second correction concerned a purported purpose-built smart-glasses product associated with the OpenClaw ecosystem, which could not be verified against any primary source and was determined to be a reseller rebrand of unrelated hardware; it was removed. A third set of corrections concerned product-roadmap items — particularly regarding Meta's anticipated third generation and Apple's timeline — which the first edition stated with more confidence than the leak-based sourcing warranted, and which this edition explicitly labels as unconfirmed.</w:t>
      </w:r>
    </w:p>
    <w:p>
      <w:pPr>
        <w:spacing w:after="160" w:line="320"/>
        <w:jc w:val="both"/>
      </w:pPr>
      <w:r>
        <w:rPr>
          <w:rFonts w:ascii="Georgia" w:cs="Georgia" w:eastAsia="Georgia" w:hAnsi="Georgia"/>
          <w:b/>
          <w:bCs/>
          <w:sz w:val="22"/>
          <w:szCs w:val="22"/>
        </w:rPr>
        <w:t xml:space="preserve">A note on machine-generated content. </w:t>
      </w:r>
      <w:r>
        <w:rPr>
          <w:rFonts w:ascii="Georgia" w:cs="Georgia" w:eastAsia="Georgia" w:hAnsi="Georgia"/>
          <w:sz w:val="22"/>
          <w:szCs w:val="22"/>
        </w:rPr>
        <w:t xml:space="preserve">During preparation, portions of the source landscape included machine-generated text — large-language-model outputs summarizing the field. Such outputs proved a recurring source of confident but incorrect claims, including inflated statistics and references to products that do not exist. This experience directly informs the paper's methodological thesis: that in a domain now saturated with machine-generated content, the discipline of tracing each specific claim to a primary source is not optional rigor but a basic requirement for accuracy. The corrections enumerated above would not have been caught by internal consistency checks alone; they required external verification against primary sources.</w:t>
      </w:r>
    </w:p>
    <w:p>
      <w:pPr>
        <w:pBdr>
          <w:top w:val="single" w:color="CCCCCC" w:sz="4" w:space="6"/>
          <w:bottom w:val="single" w:color="CCCCCC" w:sz="4" w:space="6"/>
          <w:left w:val="single" w:color="CCCCCC" w:sz="4" w:space="6"/>
          <w:right w:val="single" w:color="CCCCCC" w:sz="4" w:space="6"/>
        </w:pBdr>
        <w:shd w:fill="EEF2F8" w:val="clear"/>
        <w:spacing w:after="160" w:before="120" w:line="300"/>
        <w:ind w:left="200" w:right="200"/>
      </w:pPr>
      <w:r>
        <w:rPr>
          <w:rFonts w:ascii="Calibri" w:cs="Calibri" w:eastAsia="Calibri" w:hAnsi="Calibri"/>
          <w:b/>
          <w:bCs/>
          <w:color w:val="1E1E2E"/>
          <w:sz w:val="20"/>
          <w:szCs w:val="20"/>
        </w:rPr>
        <w:t xml:space="preserve">REPRODUCIBILITY NOTE  </w:t>
      </w:r>
      <w:r>
        <w:rPr>
          <w:rFonts w:ascii="Calibri" w:cs="Calibri" w:eastAsia="Calibri" w:hAnsi="Calibri"/>
          <w:color w:val="1E1E2E"/>
          <w:sz w:val="20"/>
          <w:szCs w:val="20"/>
        </w:rPr>
        <w:t xml:space="preserve">All product prices, specifications, and availability statements in this edition reflect primary sources retrieved in July 2026 and are inherently time-bound. Readers consulting this paper at a later date should re-verify any load-bearing figure, particularly repository statistics, product prices, and roadmap items, all of which change on timescales shorter than the interval between this paper's editions.</w:t>
      </w:r>
    </w:p>
    <w:p>
      <w:r>
        <w:br w:type="page"/>
      </w:r>
    </w:p>
    <w:p>
      <w:pPr>
        <w:pStyle w:val="Heading1"/>
      </w:pPr>
      <w:r>
        <w:t xml:space="preserve">Appendix B. Glossary of Technical Terms</w:t>
      </w:r>
    </w:p>
    <w:p>
      <w:pPr>
        <w:spacing w:after="160" w:line="320"/>
        <w:jc w:val="both"/>
      </w:pPr>
      <w:r>
        <w:rPr>
          <w:rFonts w:ascii="Georgia" w:cs="Georgia" w:eastAsia="Georgia" w:hAnsi="Georgia"/>
          <w:i/>
          <w:iCs/>
          <w:sz w:val="22"/>
          <w:szCs w:val="22"/>
        </w:rPr>
        <w:t xml:space="preserve">Definitions are provided for the specialized terms used throughout this paper, intended for readers approaching the subject from outside its several contributing disciplines.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Term</w:t>
            </w:r>
          </w:p>
        </w:tc>
        <w:tc>
          <w:tcPr>
            <w:tcW w:type="dxa" w:w="6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Augmented Reality (AR)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Per Azuma's definition, a system that combines real and virtual content, is interactive in real time, and registers virtual content in three dimensions relative to the physical world.</w:t>
            </w:r>
          </w:p>
        </w:tc>
      </w:tr>
      <w:tr>
        <w:tc>
          <w:tcPr>
            <w:tcW w:type="dxa" w:w="26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Head-Mounted Display (HMD)</w:t>
            </w:r>
          </w:p>
        </w:tc>
        <w:tc>
          <w:tcPr>
            <w:tcW w:type="dxa" w:w="67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 display worn on the head that presents imagery to one or both eyes; the broad category encompassing everything from Sutherland's 1968 apparatus to modern AR glasses.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Waveguide combiner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 thin optical element that transports light from a small image source to the eye via total internal reflection, extracting it toward the pupil while remaining transparent to the physical world.</w:t>
            </w:r>
          </w:p>
        </w:tc>
      </w:tr>
      <w:tr>
        <w:tc>
          <w:tcPr>
            <w:tcW w:type="dxa" w:w="26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Diffractive waveguide</w:t>
            </w:r>
          </w:p>
        </w:tc>
        <w:tc>
          <w:tcPr>
            <w:tcW w:type="dxa" w:w="67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 waveguide using surface-relief or volume-holographic gratings to couple light in and out; compact but prone to chromatic (rainbow) artifacts.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Micro-OLED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Organic light-emitting-diode microdisplay on a silicon backplane; self-emissive, high-contrast, mature; used in wearable-display glasses.</w:t>
            </w:r>
          </w:p>
        </w:tc>
      </w:tr>
      <w:tr>
        <w:tc>
          <w:tcPr>
            <w:tcW w:type="dxa" w:w="26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Micro-LED</w:t>
            </w:r>
          </w:p>
        </w:tc>
        <w:tc>
          <w:tcPr>
            <w:tcW w:type="dxa" w:w="67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Inorganic (gallium-nitride) emitter microdisplay; brighter and longer-lived than micro-OLED but difficult to manufacture in full color at AR pixel densities.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Vergence-accommodation conflict (VAC)</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The visual-system stress caused when a near-eye display fixes the focal distance of an image while its apparent depth varies, decoupling two normally-linked ocular responses.</w:t>
            </w:r>
          </w:p>
        </w:tc>
      </w:tr>
      <w:tr>
        <w:tc>
          <w:tcPr>
            <w:tcW w:type="dxa" w:w="26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Field of view (FOV)</w:t>
            </w:r>
          </w:p>
        </w:tc>
        <w:tc>
          <w:tcPr>
            <w:tcW w:type="dxa" w:w="67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The angular extent of the observable image, measured in degrees; larger FOV is more immersive but harder to achieve at brightness and in a thin combiner.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Eyebox</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The volume within which the eye can move and still see the complete displayed image; a small eyebox makes a display position-sensitive.</w:t>
            </w:r>
          </w:p>
        </w:tc>
      </w:tr>
      <w:tr>
        <w:tc>
          <w:tcPr>
            <w:tcW w:type="dxa" w:w="26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Vision-language model (VLM)</w:t>
            </w:r>
          </w:p>
        </w:tc>
        <w:tc>
          <w:tcPr>
            <w:tcW w:type="dxa" w:w="67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 neural model that jointly processes images and text, enabling a system to answer questions about what a camera sees; the perception core of a local smart-glasses loop.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Ollama</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An open-source runtime for serving large language and vision-language models locally on consumer hardware.</w:t>
            </w:r>
          </w:p>
        </w:tc>
      </w:tr>
      <w:tr>
        <w:tc>
          <w:tcPr>
            <w:tcW w:type="dxa" w:w="26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Vulkan</w:t>
            </w:r>
          </w:p>
        </w:tc>
        <w:tc>
          <w:tcPr>
            <w:tcW w:type="dxa" w:w="67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 cross-platform graphics and compute API; on the reference AMD hardware, the practical back end for local model inference on the integrated GPU.</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XDNA NPU</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AMD's neural processing unit on “Ryzen AI” silicon; as of July 2026 not usable by the mainstream local runtime for this workload.</w:t>
            </w:r>
          </w:p>
        </w:tc>
      </w:tr>
      <w:tr>
        <w:tc>
          <w:tcPr>
            <w:tcW w:type="dxa" w:w="26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Device Access Toolkit (DAT)</w:t>
            </w:r>
          </w:p>
        </w:tc>
        <w:tc>
          <w:tcPr>
            <w:tcW w:type="dxa" w:w="67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Meta's sanctioned developer interface to its smart-glasses sensors, exposing camera, microphone, and speaker over Bluetooth with no on-glasses compute.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OpenClaw</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An open-source, local-first agent framework that orchestrates model reasoning and tool execution through a gateway and modular skills.</w:t>
            </w:r>
          </w:p>
        </w:tc>
      </w:tr>
      <w:tr>
        <w:tc>
          <w:tcPr>
            <w:tcW w:type="dxa" w:w="26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VisionClaw</w:t>
            </w:r>
          </w:p>
        </w:tc>
        <w:tc>
          <w:tcPr>
            <w:tcW w:type="dxa" w:w="67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An open-source bridge connecting Meta smart glasses to the OpenClaw framework, relaying camera frames and audio via the Device Access Toolkit.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Speech-to-text (STT)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Automatic transcription of spoken audio into text; realized locally via implementations of the Whisper model family.</w:t>
            </w:r>
          </w:p>
        </w:tc>
      </w:tr>
      <w:tr>
        <w:tc>
          <w:tcPr>
            <w:tcW w:type="dxa" w:w="260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Text-to-speech (TTS)</w:t>
            </w:r>
          </w:p>
        </w:tc>
        <w:tc>
          <w:tcPr>
            <w:tcW w:type="dxa" w:w="6760"/>
            <w:tcBorders>
              <w:top w:val="single" w:color="CCCCCC" w:sz="1"/>
              <w:left w:val="single" w:color="CCCCCC" w:sz="1"/>
              <w:bottom w:val="single" w:color="CCCCCC" w:sz="1"/>
              <w:right w:val="single" w:color="CCCCCC" w:sz="1"/>
            </w:tcBorders>
            <w:shd w:fill="F0F3F9"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Synthesis of spoken audio from text; realized locally via compact neural models such as the 82-million-parameter Kokoro model.</w:t>
            </w:r>
          </w:p>
        </w:tc>
      </w:tr>
    </w:tbl>
    <w:p>
      <w:pPr>
        <w:spacing w:after="200"/>
      </w:pPr>
    </w:p>
    <w:p>
      <w:pPr>
        <w:spacing w:after="160" w:line="320"/>
        <w:jc w:val="center"/>
      </w:pPr>
      <w:r>
        <w:rPr>
          <w:rFonts w:ascii="Georgia" w:cs="Georgia" w:eastAsia="Georgia" w:hAnsi="Georgia"/>
          <w:i/>
          <w:iCs/>
          <w:sz w:val="22"/>
          <w:szCs w:val="22"/>
        </w:rPr>
        <w:t xml:space="preserve">End of document. Second edition, July 2026. Patience pays.</w:t>
      </w:r>
    </w:p>
    <w:p>
      <w:r>
        <w:br w:type="page"/>
      </w:r>
    </w:p>
    <w:p>
      <w:pPr>
        <w:pStyle w:val="Heading1"/>
      </w:pPr>
      <w:r>
        <w:t xml:space="preserve">References</w:t>
      </w:r>
    </w:p>
    <w:p>
      <w:pPr>
        <w:spacing w:after="160" w:line="320"/>
        <w:jc w:val="both"/>
      </w:pPr>
      <w:r>
        <w:rPr>
          <w:rFonts w:ascii="Georgia" w:cs="Georgia" w:eastAsia="Georgia" w:hAnsi="Georgia"/>
          <w:i/>
          <w:iCs/>
          <w:sz w:val="22"/>
          <w:szCs w:val="22"/>
        </w:rPr>
        <w:t xml:space="preserve">122 sources across ten categories. Category codes: A = History; B = Display Technology; C = Optical Engineering; D = Future Technology; E = Eye Health; F = Privacy &amp; Social; G = Human-Computer Interaction; H = AI Integration; I = Market Analysis; 6–8 = Verified July 2026 primary sources for market, frameworks, and local pipeline.</w:t>
      </w:r>
    </w:p>
    <w:p>
      <w:pPr>
        <w:pStyle w:val="Heading2"/>
      </w:pPr>
      <w:r>
        <w:t xml:space="preserve">Category A — History of Head-Mounted Displays and Wearable Computing</w:t>
      </w:r>
    </w:p>
    <w:p>
      <w:pPr>
        <w:spacing w:after="100" w:line="276"/>
        <w:ind w:left="500" w:hanging="500"/>
      </w:pPr>
      <w:r>
        <w:rPr>
          <w:rFonts w:ascii="Georgia" w:cs="Georgia" w:eastAsia="Georgia" w:hAnsi="Georgia"/>
          <w:b/>
          <w:bCs/>
          <w:sz w:val="18"/>
          <w:szCs w:val="18"/>
        </w:rPr>
        <w:t xml:space="preserve">[1] </w:t>
      </w:r>
      <w:r>
        <w:rPr>
          <w:rFonts w:ascii="Georgia" w:cs="Georgia" w:eastAsia="Georgia" w:hAnsi="Georgia"/>
          <w:sz w:val="18"/>
          <w:szCs w:val="18"/>
        </w:rPr>
        <w:t xml:space="preserve">Sutherland, I.E. (1968). “A head-mounted three dimensional display.” Proceedings of the AFIPS Fall Joint Computer Conference, Part I, 757–764. ACM.</w:t>
      </w:r>
    </w:p>
    <w:p>
      <w:pPr>
        <w:spacing w:after="100" w:line="276"/>
        <w:ind w:left="500" w:hanging="500"/>
      </w:pPr>
      <w:r>
        <w:rPr>
          <w:rFonts w:ascii="Georgia" w:cs="Georgia" w:eastAsia="Georgia" w:hAnsi="Georgia"/>
          <w:b/>
          <w:bCs/>
          <w:sz w:val="18"/>
          <w:szCs w:val="18"/>
        </w:rPr>
        <w:t xml:space="preserve">[2] </w:t>
      </w:r>
      <w:r>
        <w:rPr>
          <w:rFonts w:ascii="Georgia" w:cs="Georgia" w:eastAsia="Georgia" w:hAnsi="Georgia"/>
          <w:sz w:val="18"/>
          <w:szCs w:val="18"/>
        </w:rPr>
        <w:t xml:space="preserve">Azuma, R.T. (1997). “A Survey of Augmented Reality.” Presence: Teleoperators and Virtual Environments, 6(4), 355–385. DOI: 10.1162/pres.1997.6.4.355</w:t>
      </w:r>
    </w:p>
    <w:p>
      <w:pPr>
        <w:spacing w:after="100" w:line="276"/>
        <w:ind w:left="500" w:hanging="500"/>
      </w:pPr>
      <w:r>
        <w:rPr>
          <w:rFonts w:ascii="Georgia" w:cs="Georgia" w:eastAsia="Georgia" w:hAnsi="Georgia"/>
          <w:b/>
          <w:bCs/>
          <w:sz w:val="18"/>
          <w:szCs w:val="18"/>
        </w:rPr>
        <w:t xml:space="preserve">[3] </w:t>
      </w:r>
      <w:r>
        <w:rPr>
          <w:rFonts w:ascii="Georgia" w:cs="Georgia" w:eastAsia="Georgia" w:hAnsi="Georgia"/>
          <w:sz w:val="18"/>
          <w:szCs w:val="18"/>
        </w:rPr>
        <w:t xml:space="preserve">Rolland, J.P. &amp; Hua, H. (2005). “Head-Mounted Display Systems.” Encyclopedia of Optical Engineering.</w:t>
      </w:r>
    </w:p>
    <w:p>
      <w:pPr>
        <w:spacing w:after="100" w:line="276"/>
        <w:ind w:left="500" w:hanging="500"/>
      </w:pPr>
      <w:r>
        <w:rPr>
          <w:rFonts w:ascii="Georgia" w:cs="Georgia" w:eastAsia="Georgia" w:hAnsi="Georgia"/>
          <w:b/>
          <w:bCs/>
          <w:sz w:val="18"/>
          <w:szCs w:val="18"/>
        </w:rPr>
        <w:t xml:space="preserve">[4] </w:t>
      </w:r>
      <w:r>
        <w:rPr>
          <w:rFonts w:ascii="Georgia" w:cs="Georgia" w:eastAsia="Georgia" w:hAnsi="Georgia"/>
          <w:sz w:val="18"/>
          <w:szCs w:val="18"/>
        </w:rPr>
        <w:t xml:space="preserve">Mann, S. (1997). “Wearable Computing: A First Step Toward Personal Imaging.” IEEE Computer, 30(2), 25–32.</w:t>
      </w:r>
    </w:p>
    <w:p>
      <w:pPr>
        <w:spacing w:after="100" w:line="276"/>
        <w:ind w:left="500" w:hanging="500"/>
      </w:pPr>
      <w:r>
        <w:rPr>
          <w:rFonts w:ascii="Georgia" w:cs="Georgia" w:eastAsia="Georgia" w:hAnsi="Georgia"/>
          <w:b/>
          <w:bCs/>
          <w:sz w:val="18"/>
          <w:szCs w:val="18"/>
        </w:rPr>
        <w:t xml:space="preserve">[5] </w:t>
      </w:r>
      <w:r>
        <w:rPr>
          <w:rFonts w:ascii="Georgia" w:cs="Georgia" w:eastAsia="Georgia" w:hAnsi="Georgia"/>
          <w:sz w:val="18"/>
          <w:szCs w:val="18"/>
        </w:rPr>
        <w:t xml:space="preserve">Mann, S. (2013). “Steve Mann: My Augmediated Life.” IEEE Spectrum, March 2013.</w:t>
      </w:r>
    </w:p>
    <w:p>
      <w:pPr>
        <w:spacing w:after="100" w:line="276"/>
        <w:ind w:left="500" w:hanging="500"/>
      </w:pPr>
      <w:r>
        <w:rPr>
          <w:rFonts w:ascii="Georgia" w:cs="Georgia" w:eastAsia="Georgia" w:hAnsi="Georgia"/>
          <w:b/>
          <w:bCs/>
          <w:sz w:val="18"/>
          <w:szCs w:val="18"/>
        </w:rPr>
        <w:t xml:space="preserve">[6] </w:t>
      </w:r>
      <w:r>
        <w:rPr>
          <w:rFonts w:ascii="Georgia" w:cs="Georgia" w:eastAsia="Georgia" w:hAnsi="Georgia"/>
          <w:sz w:val="18"/>
          <w:szCs w:val="18"/>
        </w:rPr>
        <w:t xml:space="preserve">Mann, S. (2001). “Wearable Computing: Toward Humanistic Intelligence.” IEEE Intelligent Systems, 16(3), 10–15.</w:t>
      </w:r>
    </w:p>
    <w:p>
      <w:pPr>
        <w:spacing w:after="100" w:line="276"/>
        <w:ind w:left="500" w:hanging="500"/>
      </w:pPr>
      <w:r>
        <w:rPr>
          <w:rFonts w:ascii="Georgia" w:cs="Georgia" w:eastAsia="Georgia" w:hAnsi="Georgia"/>
          <w:b/>
          <w:bCs/>
          <w:sz w:val="18"/>
          <w:szCs w:val="18"/>
        </w:rPr>
        <w:t xml:space="preserve">[7] </w:t>
      </w:r>
      <w:r>
        <w:rPr>
          <w:rFonts w:ascii="Georgia" w:cs="Georgia" w:eastAsia="Georgia" w:hAnsi="Georgia"/>
          <w:sz w:val="18"/>
          <w:szCs w:val="18"/>
        </w:rPr>
        <w:t xml:space="preserve">Kruijff, E., Swan, J.E., &amp; Feiner, S. (2021). “Towards Indistinguishable Augmented Reality: A Survey on Optical See-Through Head-Mounted Displays.” ACM Computing Surveys, 54(6). DOI: 10.1145/3453157</w:t>
      </w:r>
    </w:p>
    <w:p>
      <w:pPr>
        <w:spacing w:after="100" w:line="276"/>
        <w:ind w:left="500" w:hanging="500"/>
      </w:pPr>
      <w:r>
        <w:rPr>
          <w:rFonts w:ascii="Georgia" w:cs="Georgia" w:eastAsia="Georgia" w:hAnsi="Georgia"/>
          <w:b/>
          <w:bCs/>
          <w:sz w:val="18"/>
          <w:szCs w:val="18"/>
        </w:rPr>
        <w:t xml:space="preserve">[8] </w:t>
      </w:r>
      <w:r>
        <w:rPr>
          <w:rFonts w:ascii="Georgia" w:cs="Georgia" w:eastAsia="Georgia" w:hAnsi="Georgia"/>
          <w:sz w:val="18"/>
          <w:szCs w:val="18"/>
        </w:rPr>
        <w:t xml:space="preserve">Rolland, J.P. (2000). “The past, present, and future of head-mounted display designs.” Proceedings of SPIE.</w:t>
      </w:r>
    </w:p>
    <w:p>
      <w:pPr>
        <w:spacing w:after="100" w:line="276"/>
        <w:ind w:left="500" w:hanging="500"/>
      </w:pPr>
      <w:r>
        <w:rPr>
          <w:rFonts w:ascii="Georgia" w:cs="Georgia" w:eastAsia="Georgia" w:hAnsi="Georgia"/>
          <w:b/>
          <w:bCs/>
          <w:sz w:val="18"/>
          <w:szCs w:val="18"/>
        </w:rPr>
        <w:t xml:space="preserve">[9] </w:t>
      </w:r>
      <w:r>
        <w:rPr>
          <w:rFonts w:ascii="Georgia" w:cs="Georgia" w:eastAsia="Georgia" w:hAnsi="Georgia"/>
          <w:sz w:val="18"/>
          <w:szCs w:val="18"/>
        </w:rPr>
        <w:t xml:space="preserve">LiKamWa, R., et al. (2014). “Draining our glass: an energy and heat characterization of Google Glass.” APSys ’14, Article 10. DOI: 10.1145/2637166.2637230</w:t>
      </w:r>
    </w:p>
    <w:p>
      <w:pPr>
        <w:spacing w:after="100" w:line="276"/>
        <w:ind w:left="500" w:hanging="500"/>
      </w:pPr>
      <w:r>
        <w:rPr>
          <w:rFonts w:ascii="Georgia" w:cs="Georgia" w:eastAsia="Georgia" w:hAnsi="Georgia"/>
          <w:b/>
          <w:bCs/>
          <w:sz w:val="18"/>
          <w:szCs w:val="18"/>
        </w:rPr>
        <w:t xml:space="preserve">[10] </w:t>
      </w:r>
      <w:r>
        <w:rPr>
          <w:rFonts w:ascii="Georgia" w:cs="Georgia" w:eastAsia="Georgia" w:hAnsi="Georgia"/>
          <w:sz w:val="18"/>
          <w:szCs w:val="18"/>
        </w:rPr>
        <w:t xml:space="preserve">Lin, G., et al. (2021). “Comparing Order Picking Guidance with Microsoft HoloLens, Magic Leap, Google Glass XE and Paper.” HotMobile ’21, 133–139. ACM.</w:t>
      </w:r>
    </w:p>
    <w:p>
      <w:pPr>
        <w:spacing w:after="100" w:line="276"/>
        <w:ind w:left="500" w:hanging="500"/>
      </w:pPr>
      <w:r>
        <w:rPr>
          <w:rFonts w:ascii="Georgia" w:cs="Georgia" w:eastAsia="Georgia" w:hAnsi="Georgia"/>
          <w:b/>
          <w:bCs/>
          <w:sz w:val="18"/>
          <w:szCs w:val="18"/>
        </w:rPr>
        <w:t xml:space="preserve">[11] </w:t>
      </w:r>
      <w:r>
        <w:rPr>
          <w:rFonts w:ascii="Georgia" w:cs="Georgia" w:eastAsia="Georgia" w:hAnsi="Georgia"/>
          <w:sz w:val="18"/>
          <w:szCs w:val="18"/>
        </w:rPr>
        <w:t xml:space="preserve">Various (2022). “Microsoft HoloLens 2 in Medical and Healthcare Context.” Sensors, 22. PMC9611914.</w:t>
      </w:r>
    </w:p>
    <w:p>
      <w:pPr>
        <w:spacing w:after="100" w:line="276"/>
        <w:ind w:left="500" w:hanging="500"/>
      </w:pPr>
      <w:r>
        <w:rPr>
          <w:rFonts w:ascii="Georgia" w:cs="Georgia" w:eastAsia="Georgia" w:hAnsi="Georgia"/>
          <w:b/>
          <w:bCs/>
          <w:sz w:val="18"/>
          <w:szCs w:val="18"/>
        </w:rPr>
        <w:t xml:space="preserve">[12] </w:t>
      </w:r>
      <w:r>
        <w:rPr>
          <w:rFonts w:ascii="Georgia" w:cs="Georgia" w:eastAsia="Georgia" w:hAnsi="Georgia"/>
          <w:sz w:val="18"/>
          <w:szCs w:val="18"/>
        </w:rPr>
        <w:t xml:space="preserve">Carnevale, A., et al. (2023). “Magic Leap 1 versus Microsoft HoloLens 2 for Visualization of 3D Content from Radiological Images.” Sensors, 23(6), 3040.</w:t>
      </w:r>
    </w:p>
    <w:p>
      <w:pPr>
        <w:spacing w:after="100" w:line="276"/>
        <w:ind w:left="500" w:hanging="500"/>
      </w:pPr>
      <w:r>
        <w:rPr>
          <w:rFonts w:ascii="Georgia" w:cs="Georgia" w:eastAsia="Georgia" w:hAnsi="Georgia"/>
          <w:b/>
          <w:bCs/>
          <w:sz w:val="18"/>
          <w:szCs w:val="18"/>
        </w:rPr>
        <w:t xml:space="preserve">[13] </w:t>
      </w:r>
      <w:r>
        <w:rPr>
          <w:rFonts w:ascii="Georgia" w:cs="Georgia" w:eastAsia="Georgia" w:hAnsi="Georgia"/>
          <w:sz w:val="18"/>
          <w:szCs w:val="18"/>
        </w:rPr>
        <w:t xml:space="preserve">Various (2021). “Google Glass-Supported Cooperative Training for Health Professionals.” Journal of Personalized Medicine. PMC8216757.</w:t>
      </w:r>
    </w:p>
    <w:p>
      <w:pPr>
        <w:spacing w:after="100" w:line="276"/>
        <w:ind w:left="500" w:hanging="500"/>
      </w:pPr>
      <w:r>
        <w:rPr>
          <w:rFonts w:ascii="Georgia" w:cs="Georgia" w:eastAsia="Georgia" w:hAnsi="Georgia"/>
          <w:b/>
          <w:bCs/>
          <w:sz w:val="18"/>
          <w:szCs w:val="18"/>
        </w:rPr>
        <w:t xml:space="preserve">[14] </w:t>
      </w:r>
      <w:r>
        <w:rPr>
          <w:rFonts w:ascii="Georgia" w:cs="Georgia" w:eastAsia="Georgia" w:hAnsi="Georgia"/>
          <w:sz w:val="18"/>
          <w:szCs w:val="18"/>
        </w:rPr>
        <w:t xml:space="preserve">Peddie, J. (2023). Augmented Reality: Where We Will All Live, 2nd edn. Springer.</w:t>
      </w:r>
    </w:p>
    <w:p>
      <w:pPr>
        <w:pStyle w:val="Heading2"/>
      </w:pPr>
      <w:r>
        <w:t xml:space="preserve">Category B — AR Display Technology</w:t>
      </w:r>
    </w:p>
    <w:p>
      <w:pPr>
        <w:spacing w:after="100" w:line="276"/>
        <w:ind w:left="500" w:hanging="500"/>
      </w:pPr>
      <w:r>
        <w:rPr>
          <w:rFonts w:ascii="Georgia" w:cs="Georgia" w:eastAsia="Georgia" w:hAnsi="Georgia"/>
          <w:b/>
          <w:bCs/>
          <w:sz w:val="18"/>
          <w:szCs w:val="18"/>
        </w:rPr>
        <w:t xml:space="preserve">[B1] </w:t>
      </w:r>
      <w:r>
        <w:rPr>
          <w:rFonts w:ascii="Georgia" w:cs="Georgia" w:eastAsia="Georgia" w:hAnsi="Georgia"/>
          <w:sz w:val="18"/>
          <w:szCs w:val="18"/>
        </w:rPr>
        <w:t xml:space="preserve">Ding, Y.Q., et al. (2023). “Waveguide-based augmented reality displays: perspectives and challenges.” eLight, 3, 24. DOI: 10.1186/s43593-023-00057-z</w:t>
      </w:r>
    </w:p>
    <w:p>
      <w:pPr>
        <w:spacing w:after="100" w:line="276"/>
        <w:ind w:left="500" w:hanging="500"/>
      </w:pPr>
      <w:r>
        <w:rPr>
          <w:rFonts w:ascii="Georgia" w:cs="Georgia" w:eastAsia="Georgia" w:hAnsi="Georgia"/>
          <w:b/>
          <w:bCs/>
          <w:sz w:val="18"/>
          <w:szCs w:val="18"/>
        </w:rPr>
        <w:t xml:space="preserve">[B2] </w:t>
      </w:r>
      <w:r>
        <w:rPr>
          <w:rFonts w:ascii="Georgia" w:cs="Georgia" w:eastAsia="Georgia" w:hAnsi="Georgia"/>
          <w:sz w:val="18"/>
          <w:szCs w:val="18"/>
        </w:rPr>
        <w:t xml:space="preserve">Rolland, J.P. &amp; Goodsell, J. (2024). “Waveguide-based augmented reality displays: a highlight.” Light: Science and Applications, 13, 22.</w:t>
      </w:r>
    </w:p>
    <w:p>
      <w:pPr>
        <w:spacing w:after="100" w:line="276"/>
        <w:ind w:left="500" w:hanging="500"/>
      </w:pPr>
      <w:r>
        <w:rPr>
          <w:rFonts w:ascii="Georgia" w:cs="Georgia" w:eastAsia="Georgia" w:hAnsi="Georgia"/>
          <w:b/>
          <w:bCs/>
          <w:sz w:val="18"/>
          <w:szCs w:val="18"/>
        </w:rPr>
        <w:t xml:space="preserve">[B3] </w:t>
      </w:r>
      <w:r>
        <w:rPr>
          <w:rFonts w:ascii="Georgia" w:cs="Georgia" w:eastAsia="Georgia" w:hAnsi="Georgia"/>
          <w:sz w:val="18"/>
          <w:szCs w:val="18"/>
        </w:rPr>
        <w:t xml:space="preserve">Kress, B.C. &amp; Chatterjee, I. (2021). “Waveguide combiners for mixed reality headsets: a nanophotonics design perspective.” Nanophotonics, 10(1), 41–74. DOI: 10.1515/nanoph-2020-0410</w:t>
      </w:r>
    </w:p>
    <w:p>
      <w:pPr>
        <w:spacing w:after="100" w:line="276"/>
        <w:ind w:left="500" w:hanging="500"/>
      </w:pPr>
      <w:r>
        <w:rPr>
          <w:rFonts w:ascii="Georgia" w:cs="Georgia" w:eastAsia="Georgia" w:hAnsi="Georgia"/>
          <w:b/>
          <w:bCs/>
          <w:sz w:val="18"/>
          <w:szCs w:val="18"/>
        </w:rPr>
        <w:t xml:space="preserve">[B4] </w:t>
      </w:r>
      <w:r>
        <w:rPr>
          <w:rFonts w:ascii="Georgia" w:cs="Georgia" w:eastAsia="Georgia" w:hAnsi="Georgia"/>
          <w:sz w:val="18"/>
          <w:szCs w:val="18"/>
        </w:rPr>
        <w:t xml:space="preserve">Kress, B.C. &amp; Cummings, W.J. (2017). “Towards the Ultimate Mixed Reality Experience: HoloLens Display Architecture Choices.” SID Symposium Digest, 48. DOI: 10.1002/sdtp.11586</w:t>
      </w:r>
    </w:p>
    <w:p>
      <w:pPr>
        <w:spacing w:after="100" w:line="276"/>
        <w:ind w:left="500" w:hanging="500"/>
      </w:pPr>
      <w:r>
        <w:rPr>
          <w:rFonts w:ascii="Georgia" w:cs="Georgia" w:eastAsia="Georgia" w:hAnsi="Georgia"/>
          <w:b/>
          <w:bCs/>
          <w:sz w:val="18"/>
          <w:szCs w:val="18"/>
        </w:rPr>
        <w:t xml:space="preserve">[B5] </w:t>
      </w:r>
      <w:r>
        <w:rPr>
          <w:rFonts w:ascii="Georgia" w:cs="Georgia" w:eastAsia="Georgia" w:hAnsi="Georgia"/>
          <w:sz w:val="18"/>
          <w:szCs w:val="18"/>
        </w:rPr>
        <w:t xml:space="preserve">Various (2023). “Waveguide holography for 3D augmented reality glasses.” Nature Communications. DOI: 10.1038/s41467-023-44032-1</w:t>
      </w:r>
    </w:p>
    <w:p>
      <w:pPr>
        <w:spacing w:after="100" w:line="276"/>
        <w:ind w:left="500" w:hanging="500"/>
      </w:pPr>
      <w:r>
        <w:rPr>
          <w:rFonts w:ascii="Georgia" w:cs="Georgia" w:eastAsia="Georgia" w:hAnsi="Georgia"/>
          <w:b/>
          <w:bCs/>
          <w:sz w:val="18"/>
          <w:szCs w:val="18"/>
        </w:rPr>
        <w:t xml:space="preserve">[B6] </w:t>
      </w:r>
      <w:r>
        <w:rPr>
          <w:rFonts w:ascii="Georgia" w:cs="Georgia" w:eastAsia="Georgia" w:hAnsi="Georgia"/>
          <w:sz w:val="18"/>
          <w:szCs w:val="18"/>
        </w:rPr>
        <w:t xml:space="preserve">Various (2025). “An achromatic metasurface waveguide for augmented reality displays.” Light: Science and Applications. DOI: 10.1038/s41377-025-01761-w</w:t>
      </w:r>
    </w:p>
    <w:p>
      <w:pPr>
        <w:spacing w:after="100" w:line="276"/>
        <w:ind w:left="500" w:hanging="500"/>
      </w:pPr>
      <w:r>
        <w:rPr>
          <w:rFonts w:ascii="Georgia" w:cs="Georgia" w:eastAsia="Georgia" w:hAnsi="Georgia"/>
          <w:b/>
          <w:bCs/>
          <w:sz w:val="18"/>
          <w:szCs w:val="18"/>
        </w:rPr>
        <w:t xml:space="preserve">[B7] </w:t>
      </w:r>
      <w:r>
        <w:rPr>
          <w:rFonts w:ascii="Georgia" w:cs="Georgia" w:eastAsia="Georgia" w:hAnsi="Georgia"/>
          <w:sz w:val="18"/>
          <w:szCs w:val="18"/>
        </w:rPr>
        <w:t xml:space="preserve">Huang, Y., et al. (2020). “Mini-LED, Micro-LED and OLED displays: present status and future perspectives.” Light: Science and Applications, 9, 105.</w:t>
      </w:r>
    </w:p>
    <w:p>
      <w:pPr>
        <w:spacing w:after="100" w:line="276"/>
        <w:ind w:left="500" w:hanging="500"/>
      </w:pPr>
      <w:r>
        <w:rPr>
          <w:rFonts w:ascii="Georgia" w:cs="Georgia" w:eastAsia="Georgia" w:hAnsi="Georgia"/>
          <w:b/>
          <w:bCs/>
          <w:sz w:val="18"/>
          <w:szCs w:val="18"/>
        </w:rPr>
        <w:t xml:space="preserve">[B8] </w:t>
      </w:r>
      <w:r>
        <w:rPr>
          <w:rFonts w:ascii="Georgia" w:cs="Georgia" w:eastAsia="Georgia" w:hAnsi="Georgia"/>
          <w:sz w:val="18"/>
          <w:szCs w:val="18"/>
        </w:rPr>
        <w:t xml:space="preserve">Anwar, A.R., et al. (2022). “Recent Progress in Micro-LED-Based Display Technologies.” Laser and Photonics Reviews, 16, 2100427.</w:t>
      </w:r>
    </w:p>
    <w:p>
      <w:pPr>
        <w:spacing w:after="100" w:line="276"/>
        <w:ind w:left="500" w:hanging="500"/>
      </w:pPr>
      <w:r>
        <w:rPr>
          <w:rFonts w:ascii="Georgia" w:cs="Georgia" w:eastAsia="Georgia" w:hAnsi="Georgia"/>
          <w:b/>
          <w:bCs/>
          <w:sz w:val="18"/>
          <w:szCs w:val="18"/>
        </w:rPr>
        <w:t xml:space="preserve">[B9] </w:t>
      </w:r>
      <w:r>
        <w:rPr>
          <w:rFonts w:ascii="Georgia" w:cs="Georgia" w:eastAsia="Georgia" w:hAnsi="Georgia"/>
          <w:sz w:val="18"/>
          <w:szCs w:val="18"/>
        </w:rPr>
        <w:t xml:space="preserve">Various (2021). “Recent progress of OLED microdisplays for AR/VR.” Journal of Information Display. DOI: 10.1080/15980316.2021.1917461</w:t>
      </w:r>
    </w:p>
    <w:p>
      <w:pPr>
        <w:spacing w:after="100" w:line="276"/>
        <w:ind w:left="500" w:hanging="500"/>
      </w:pPr>
      <w:r>
        <w:rPr>
          <w:rFonts w:ascii="Georgia" w:cs="Georgia" w:eastAsia="Georgia" w:hAnsi="Georgia"/>
          <w:b/>
          <w:bCs/>
          <w:sz w:val="18"/>
          <w:szCs w:val="18"/>
        </w:rPr>
        <w:t xml:space="preserve">[B10] </w:t>
      </w:r>
      <w:r>
        <w:rPr>
          <w:rFonts w:ascii="Georgia" w:cs="Georgia" w:eastAsia="Georgia" w:hAnsi="Georgia"/>
          <w:sz w:val="18"/>
          <w:szCs w:val="18"/>
        </w:rPr>
        <w:t xml:space="preserve">Li, Q.M., et al. (2024). “MicroLED Displays for Augmented Reality Smart Glasses.” SID Symposium Digest, 55, 104–107.</w:t>
      </w:r>
    </w:p>
    <w:p>
      <w:pPr>
        <w:spacing w:after="100" w:line="276"/>
        <w:ind w:left="500" w:hanging="500"/>
      </w:pPr>
      <w:r>
        <w:rPr>
          <w:rFonts w:ascii="Georgia" w:cs="Georgia" w:eastAsia="Georgia" w:hAnsi="Georgia"/>
          <w:b/>
          <w:bCs/>
          <w:sz w:val="18"/>
          <w:szCs w:val="18"/>
        </w:rPr>
        <w:t xml:space="preserve">[B11] </w:t>
      </w:r>
      <w:r>
        <w:rPr>
          <w:rFonts w:ascii="Georgia" w:cs="Georgia" w:eastAsia="Georgia" w:hAnsi="Georgia"/>
          <w:sz w:val="18"/>
          <w:szCs w:val="18"/>
        </w:rPr>
        <w:t xml:space="preserve">Various (2025). “Future trends of display technology: micro-LEDs toward transparent, free-form, and near-eye displays.” Nature Reviews / Light. PMC12451013.</w:t>
      </w:r>
    </w:p>
    <w:p>
      <w:pPr>
        <w:spacing w:after="100" w:line="276"/>
        <w:ind w:left="500" w:hanging="500"/>
      </w:pPr>
      <w:r>
        <w:rPr>
          <w:rFonts w:ascii="Georgia" w:cs="Georgia" w:eastAsia="Georgia" w:hAnsi="Georgia"/>
          <w:b/>
          <w:bCs/>
          <w:sz w:val="18"/>
          <w:szCs w:val="18"/>
        </w:rPr>
        <w:t xml:space="preserve">[B12] </w:t>
      </w:r>
      <w:r>
        <w:rPr>
          <w:rFonts w:ascii="Georgia" w:cs="Georgia" w:eastAsia="Georgia" w:hAnsi="Georgia"/>
          <w:sz w:val="18"/>
          <w:szCs w:val="18"/>
        </w:rPr>
        <w:t xml:space="preserve">Steudel, S. (2019). “Microdisplays for Wearable Augmented Reality — OLED vs LED Based Systems.” SID Symposium Digest.</w:t>
      </w:r>
    </w:p>
    <w:p>
      <w:pPr>
        <w:spacing w:after="100" w:line="276"/>
        <w:ind w:left="500" w:hanging="500"/>
      </w:pPr>
      <w:r>
        <w:rPr>
          <w:rFonts w:ascii="Georgia" w:cs="Georgia" w:eastAsia="Georgia" w:hAnsi="Georgia"/>
          <w:b/>
          <w:bCs/>
          <w:sz w:val="18"/>
          <w:szCs w:val="18"/>
        </w:rPr>
        <w:t xml:space="preserve">[B13] </w:t>
      </w:r>
      <w:r>
        <w:rPr>
          <w:rFonts w:ascii="Georgia" w:cs="Georgia" w:eastAsia="Georgia" w:hAnsi="Georgia"/>
          <w:sz w:val="18"/>
          <w:szCs w:val="18"/>
        </w:rPr>
        <w:t xml:space="preserve">Mukawa, H., et al. (2008). “A full color eyewear display using holographic planar waveguides.” SID Symposium Digest, 39(1), 89–92.</w:t>
      </w:r>
    </w:p>
    <w:p>
      <w:pPr>
        <w:spacing w:after="100" w:line="276"/>
        <w:ind w:left="500" w:hanging="500"/>
      </w:pPr>
      <w:r>
        <w:rPr>
          <w:rFonts w:ascii="Georgia" w:cs="Georgia" w:eastAsia="Georgia" w:hAnsi="Georgia"/>
          <w:b/>
          <w:bCs/>
          <w:sz w:val="18"/>
          <w:szCs w:val="18"/>
        </w:rPr>
        <w:t xml:space="preserve">[B14] </w:t>
      </w:r>
      <w:r>
        <w:rPr>
          <w:rFonts w:ascii="Georgia" w:cs="Georgia" w:eastAsia="Georgia" w:hAnsi="Georgia"/>
          <w:sz w:val="18"/>
          <w:szCs w:val="18"/>
        </w:rPr>
        <w:t xml:space="preserve">Cheng, D., et al. (2014). “Design of an ultra-thin near-eye display with geometrical waveguide and freeform optics.” Optics Express, 22, 20705–20719.</w:t>
      </w:r>
    </w:p>
    <w:p>
      <w:pPr>
        <w:spacing w:after="100" w:line="276"/>
        <w:ind w:left="500" w:hanging="500"/>
      </w:pPr>
      <w:r>
        <w:rPr>
          <w:rFonts w:ascii="Georgia" w:cs="Georgia" w:eastAsia="Georgia" w:hAnsi="Georgia"/>
          <w:b/>
          <w:bCs/>
          <w:sz w:val="18"/>
          <w:szCs w:val="18"/>
        </w:rPr>
        <w:t xml:space="preserve">[B15] </w:t>
      </w:r>
      <w:r>
        <w:rPr>
          <w:rFonts w:ascii="Georgia" w:cs="Georgia" w:eastAsia="Georgia" w:hAnsi="Georgia"/>
          <w:sz w:val="18"/>
          <w:szCs w:val="18"/>
        </w:rPr>
        <w:t xml:space="preserve">Xu, M. &amp; Hua, H. (2019). “Methods of optimizing and evaluating geometrical lightguides for AR displays.” Optics Express, 27, 5523–5543.</w:t>
      </w:r>
    </w:p>
    <w:p>
      <w:pPr>
        <w:spacing w:after="100" w:line="276"/>
        <w:ind w:left="500" w:hanging="500"/>
      </w:pPr>
      <w:r>
        <w:rPr>
          <w:rFonts w:ascii="Georgia" w:cs="Georgia" w:eastAsia="Georgia" w:hAnsi="Georgia"/>
          <w:b/>
          <w:bCs/>
          <w:sz w:val="18"/>
          <w:szCs w:val="18"/>
        </w:rPr>
        <w:t xml:space="preserve">[B16] </w:t>
      </w:r>
      <w:r>
        <w:rPr>
          <w:rFonts w:ascii="Georgia" w:cs="Georgia" w:eastAsia="Georgia" w:hAnsi="Georgia"/>
          <w:sz w:val="18"/>
          <w:szCs w:val="18"/>
        </w:rPr>
        <w:t xml:space="preserve">Kress, B.C. (2020). Optical Architectures for Augmented-, Virtual-, and Mixed-Reality Headsets. SPIE Press. ISBN 9781510634336.</w:t>
      </w:r>
    </w:p>
    <w:p>
      <w:pPr>
        <w:spacing w:after="100" w:line="276"/>
        <w:ind w:left="500" w:hanging="500"/>
      </w:pPr>
      <w:r>
        <w:rPr>
          <w:rFonts w:ascii="Georgia" w:cs="Georgia" w:eastAsia="Georgia" w:hAnsi="Georgia"/>
          <w:b/>
          <w:bCs/>
          <w:sz w:val="18"/>
          <w:szCs w:val="18"/>
        </w:rPr>
        <w:t xml:space="preserve">[B17] </w:t>
      </w:r>
      <w:r>
        <w:rPr>
          <w:rFonts w:ascii="Georgia" w:cs="Georgia" w:eastAsia="Georgia" w:hAnsi="Georgia"/>
          <w:sz w:val="18"/>
          <w:szCs w:val="18"/>
        </w:rPr>
        <w:t xml:space="preserve">Kress, B.C. (2022). “Holographic optics in planar optical systems for next generation small form factor mixed reality headsets.” Light: Advanced Manufacturing, 3, 42.</w:t>
      </w:r>
    </w:p>
    <w:p>
      <w:pPr>
        <w:spacing w:after="100" w:line="276"/>
        <w:ind w:left="500" w:hanging="500"/>
      </w:pPr>
      <w:r>
        <w:rPr>
          <w:rFonts w:ascii="Georgia" w:cs="Georgia" w:eastAsia="Georgia" w:hAnsi="Georgia"/>
          <w:b/>
          <w:bCs/>
          <w:sz w:val="18"/>
          <w:szCs w:val="18"/>
        </w:rPr>
        <w:t xml:space="preserve">[B18] </w:t>
      </w:r>
      <w:r>
        <w:rPr>
          <w:rFonts w:ascii="Georgia" w:cs="Georgia" w:eastAsia="Georgia" w:hAnsi="Georgia"/>
          <w:sz w:val="18"/>
          <w:szCs w:val="18"/>
        </w:rPr>
        <w:t xml:space="preserve">Gopakumar, M., et al. (2024). “Full-colour 3D holographic augmented-reality displays with metasurface waveguides.” Nature, 629, 791–797.</w:t>
      </w:r>
    </w:p>
    <w:p>
      <w:pPr>
        <w:pStyle w:val="Heading2"/>
      </w:pPr>
      <w:r>
        <w:t xml:space="preserve">Category C — Optical Engineering</w:t>
      </w:r>
    </w:p>
    <w:p>
      <w:pPr>
        <w:spacing w:after="100" w:line="276"/>
        <w:ind w:left="500" w:hanging="500"/>
      </w:pPr>
      <w:r>
        <w:rPr>
          <w:rFonts w:ascii="Georgia" w:cs="Georgia" w:eastAsia="Georgia" w:hAnsi="Georgia"/>
          <w:b/>
          <w:bCs/>
          <w:sz w:val="18"/>
          <w:szCs w:val="18"/>
        </w:rPr>
        <w:t xml:space="preserve">[C1] </w:t>
      </w:r>
      <w:r>
        <w:rPr>
          <w:rFonts w:ascii="Georgia" w:cs="Georgia" w:eastAsia="Georgia" w:hAnsi="Georgia"/>
          <w:sz w:val="18"/>
          <w:szCs w:val="18"/>
        </w:rPr>
        <w:t xml:space="preserve">Chang, C., et al. (2020). “Toward the next-generation VR/AR optics: a review of holographic near-eye displays.” Optica, 7(11), 1563–1578. DOI: 10.1364/OPTICA.406004</w:t>
      </w:r>
    </w:p>
    <w:p>
      <w:pPr>
        <w:spacing w:after="100" w:line="276"/>
        <w:ind w:left="500" w:hanging="500"/>
      </w:pPr>
      <w:r>
        <w:rPr>
          <w:rFonts w:ascii="Georgia" w:cs="Georgia" w:eastAsia="Georgia" w:hAnsi="Georgia"/>
          <w:b/>
          <w:bCs/>
          <w:sz w:val="18"/>
          <w:szCs w:val="18"/>
        </w:rPr>
        <w:t xml:space="preserve">[C2] </w:t>
      </w:r>
      <w:r>
        <w:rPr>
          <w:rFonts w:ascii="Georgia" w:cs="Georgia" w:eastAsia="Georgia" w:hAnsi="Georgia"/>
          <w:sz w:val="18"/>
          <w:szCs w:val="18"/>
        </w:rPr>
        <w:t xml:space="preserve">Park, J.H. &amp; Lee, B. (2022). “Holographic techniques for augmented reality and virtual reality near-eye displays.” Light: Advanced Manufacturing, 3, 9.</w:t>
      </w:r>
    </w:p>
    <w:p>
      <w:pPr>
        <w:spacing w:after="100" w:line="276"/>
        <w:ind w:left="500" w:hanging="500"/>
      </w:pPr>
      <w:r>
        <w:rPr>
          <w:rFonts w:ascii="Georgia" w:cs="Georgia" w:eastAsia="Georgia" w:hAnsi="Georgia"/>
          <w:b/>
          <w:bCs/>
          <w:sz w:val="18"/>
          <w:szCs w:val="18"/>
        </w:rPr>
        <w:t xml:space="preserve">[C3] </w:t>
      </w:r>
      <w:r>
        <w:rPr>
          <w:rFonts w:ascii="Georgia" w:cs="Georgia" w:eastAsia="Georgia" w:hAnsi="Georgia"/>
          <w:sz w:val="18"/>
          <w:szCs w:val="18"/>
        </w:rPr>
        <w:t xml:space="preserve">Xiong, J., et al. (2021). “Augmented reality and virtual reality displays: emerging technologies and future perspectives.” Light: Science and Applications, 10, 216.</w:t>
      </w:r>
    </w:p>
    <w:p>
      <w:pPr>
        <w:spacing w:after="100" w:line="276"/>
        <w:ind w:left="500" w:hanging="500"/>
      </w:pPr>
      <w:r>
        <w:rPr>
          <w:rFonts w:ascii="Georgia" w:cs="Georgia" w:eastAsia="Georgia" w:hAnsi="Georgia"/>
          <w:b/>
          <w:bCs/>
          <w:sz w:val="18"/>
          <w:szCs w:val="18"/>
        </w:rPr>
        <w:t xml:space="preserve">[C4] </w:t>
      </w:r>
      <w:r>
        <w:rPr>
          <w:rFonts w:ascii="Georgia" w:cs="Georgia" w:eastAsia="Georgia" w:hAnsi="Georgia"/>
          <w:sz w:val="18"/>
          <w:szCs w:val="18"/>
        </w:rPr>
        <w:t xml:space="preserve">Various (2024). “Recent Applications of Optical Elements in AR and VR Displays: A Review.” ACS Applied Optical Materials. DOI: 10.1021/acsaom.4c00033</w:t>
      </w:r>
    </w:p>
    <w:p>
      <w:pPr>
        <w:spacing w:after="100" w:line="276"/>
        <w:ind w:left="500" w:hanging="500"/>
      </w:pPr>
      <w:r>
        <w:rPr>
          <w:rFonts w:ascii="Georgia" w:cs="Georgia" w:eastAsia="Georgia" w:hAnsi="Georgia"/>
          <w:b/>
          <w:bCs/>
          <w:sz w:val="18"/>
          <w:szCs w:val="18"/>
        </w:rPr>
        <w:t xml:space="preserve">[C5] </w:t>
      </w:r>
      <w:r>
        <w:rPr>
          <w:rFonts w:ascii="Georgia" w:cs="Georgia" w:eastAsia="Georgia" w:hAnsi="Georgia"/>
          <w:sz w:val="18"/>
          <w:szCs w:val="18"/>
        </w:rPr>
        <w:t xml:space="preserve">Huang, H. &amp; Hua, H. (2018). “High-performance integral-imaging-based light field augmented reality display using freeform optics.” Optics Express, 26(13), 17578–17590.</w:t>
      </w:r>
    </w:p>
    <w:p>
      <w:pPr>
        <w:spacing w:after="100" w:line="276"/>
        <w:ind w:left="500" w:hanging="500"/>
      </w:pPr>
      <w:r>
        <w:rPr>
          <w:rFonts w:ascii="Georgia" w:cs="Georgia" w:eastAsia="Georgia" w:hAnsi="Georgia"/>
          <w:b/>
          <w:bCs/>
          <w:sz w:val="18"/>
          <w:szCs w:val="18"/>
        </w:rPr>
        <w:t xml:space="preserve">[C6] </w:t>
      </w:r>
      <w:r>
        <w:rPr>
          <w:rFonts w:ascii="Georgia" w:cs="Georgia" w:eastAsia="Georgia" w:hAnsi="Georgia"/>
          <w:sz w:val="18"/>
          <w:szCs w:val="18"/>
        </w:rPr>
        <w:t xml:space="preserve">Wang, Y., et al. (2023). “Design of an off-axis near-eye AR display system based on a full-color freeform holographic optical element.” Optics Letters, 48(5), 1288–1291.</w:t>
      </w:r>
    </w:p>
    <w:p>
      <w:pPr>
        <w:spacing w:after="100" w:line="276"/>
        <w:ind w:left="500" w:hanging="500"/>
      </w:pPr>
      <w:r>
        <w:rPr>
          <w:rFonts w:ascii="Georgia" w:cs="Georgia" w:eastAsia="Georgia" w:hAnsi="Georgia"/>
          <w:b/>
          <w:bCs/>
          <w:sz w:val="18"/>
          <w:szCs w:val="18"/>
        </w:rPr>
        <w:t xml:space="preserve">[C7] </w:t>
      </w:r>
      <w:r>
        <w:rPr>
          <w:rFonts w:ascii="Georgia" w:cs="Georgia" w:eastAsia="Georgia" w:hAnsi="Georgia"/>
          <w:sz w:val="18"/>
          <w:szCs w:val="18"/>
        </w:rPr>
        <w:t xml:space="preserve">Nikolov, D.K., et al. (2021). “Metaform optics: Bridging nanophotonics and freeform optics.” Science Advances, 7(18).</w:t>
      </w:r>
    </w:p>
    <w:p>
      <w:pPr>
        <w:spacing w:after="100" w:line="276"/>
        <w:ind w:left="500" w:hanging="500"/>
      </w:pPr>
      <w:r>
        <w:rPr>
          <w:rFonts w:ascii="Georgia" w:cs="Georgia" w:eastAsia="Georgia" w:hAnsi="Georgia"/>
          <w:b/>
          <w:bCs/>
          <w:sz w:val="18"/>
          <w:szCs w:val="18"/>
        </w:rPr>
        <w:t xml:space="preserve">[C8] </w:t>
      </w:r>
      <w:r>
        <w:rPr>
          <w:rFonts w:ascii="Georgia" w:cs="Georgia" w:eastAsia="Georgia" w:hAnsi="Georgia"/>
          <w:sz w:val="18"/>
          <w:szCs w:val="18"/>
        </w:rPr>
        <w:t xml:space="preserve">Various (2022). “Challenges and Advancements for AR Optical See-Through Near-Eye Displays: A Review.” Frontiers in Virtual Reality, 3, 838237.</w:t>
      </w:r>
    </w:p>
    <w:p>
      <w:pPr>
        <w:spacing w:after="100" w:line="276"/>
        <w:ind w:left="500" w:hanging="500"/>
      </w:pPr>
      <w:r>
        <w:rPr>
          <w:rFonts w:ascii="Georgia" w:cs="Georgia" w:eastAsia="Georgia" w:hAnsi="Georgia"/>
          <w:b/>
          <w:bCs/>
          <w:sz w:val="18"/>
          <w:szCs w:val="18"/>
        </w:rPr>
        <w:t xml:space="preserve">[C9] </w:t>
      </w:r>
      <w:r>
        <w:rPr>
          <w:rFonts w:ascii="Georgia" w:cs="Georgia" w:eastAsia="Georgia" w:hAnsi="Georgia"/>
          <w:sz w:val="18"/>
          <w:szCs w:val="18"/>
        </w:rPr>
        <w:t xml:space="preserve">Kim, J., et al. (2022). “Holographic Glasses for Virtual Reality.” ACM SIGGRAPH 2022. DOI: 10.1145/3528233.3530739</w:t>
      </w:r>
    </w:p>
    <w:p>
      <w:pPr>
        <w:spacing w:after="100" w:line="276"/>
        <w:ind w:left="500" w:hanging="500"/>
      </w:pPr>
      <w:r>
        <w:rPr>
          <w:rFonts w:ascii="Georgia" w:cs="Georgia" w:eastAsia="Georgia" w:hAnsi="Georgia"/>
          <w:b/>
          <w:bCs/>
          <w:sz w:val="18"/>
          <w:szCs w:val="18"/>
        </w:rPr>
        <w:t xml:space="preserve">[C10] </w:t>
      </w:r>
      <w:r>
        <w:rPr>
          <w:rFonts w:ascii="Georgia" w:cs="Georgia" w:eastAsia="Georgia" w:hAnsi="Georgia"/>
          <w:sz w:val="18"/>
          <w:szCs w:val="18"/>
        </w:rPr>
        <w:t xml:space="preserve">Ding, Y.Q., et al. (2024). “Breaking the optical efficiency limit of virtual reality with a nonreciprocal polarization rotator.” Opto-Electronic Advances, 7, 230178.</w:t>
      </w:r>
    </w:p>
    <w:p>
      <w:pPr>
        <w:spacing w:after="100" w:line="276"/>
        <w:ind w:left="500" w:hanging="500"/>
      </w:pPr>
      <w:r>
        <w:rPr>
          <w:rFonts w:ascii="Georgia" w:cs="Georgia" w:eastAsia="Georgia" w:hAnsi="Georgia"/>
          <w:b/>
          <w:bCs/>
          <w:sz w:val="18"/>
          <w:szCs w:val="18"/>
        </w:rPr>
        <w:t xml:space="preserve">[C11] </w:t>
      </w:r>
      <w:r>
        <w:rPr>
          <w:rFonts w:ascii="Georgia" w:cs="Georgia" w:eastAsia="Georgia" w:hAnsi="Georgia"/>
          <w:sz w:val="18"/>
          <w:szCs w:val="18"/>
        </w:rPr>
        <w:t xml:space="preserve">Meyer, J., et al. (2022). “A Highly Integrated Ambient Light Robust Eye-Tracking Sensor for Retinal Projection AR Glasses.” Proc. ACM on Human-Computer Interaction (ETRA). DOI: 10.1145/3530881</w:t>
      </w:r>
    </w:p>
    <w:p>
      <w:pPr>
        <w:spacing w:after="100" w:line="276"/>
        <w:ind w:left="500" w:hanging="500"/>
      </w:pPr>
      <w:r>
        <w:rPr>
          <w:rFonts w:ascii="Georgia" w:cs="Georgia" w:eastAsia="Georgia" w:hAnsi="Georgia"/>
          <w:b/>
          <w:bCs/>
          <w:sz w:val="18"/>
          <w:szCs w:val="18"/>
        </w:rPr>
        <w:t xml:space="preserve">[C12] </w:t>
      </w:r>
      <w:r>
        <w:rPr>
          <w:rFonts w:ascii="Georgia" w:cs="Georgia" w:eastAsia="Georgia" w:hAnsi="Georgia"/>
          <w:sz w:val="18"/>
          <w:szCs w:val="18"/>
        </w:rPr>
        <w:t xml:space="preserve">Schlebusch, T., et al. (2020). “A Novel Camera-Free Eye Tracking Sensor for AR Based on Laser Scanning.” IEEE Sensors Journal.</w:t>
      </w:r>
    </w:p>
    <w:p>
      <w:pPr>
        <w:spacing w:after="100" w:line="276"/>
        <w:ind w:left="500" w:hanging="500"/>
      </w:pPr>
      <w:r>
        <w:rPr>
          <w:rFonts w:ascii="Georgia" w:cs="Georgia" w:eastAsia="Georgia" w:hAnsi="Georgia"/>
          <w:b/>
          <w:bCs/>
          <w:sz w:val="18"/>
          <w:szCs w:val="18"/>
        </w:rPr>
        <w:t xml:space="preserve">[C13] </w:t>
      </w:r>
      <w:r>
        <w:rPr>
          <w:rFonts w:ascii="Georgia" w:cs="Georgia" w:eastAsia="Georgia" w:hAnsi="Georgia"/>
          <w:sz w:val="18"/>
          <w:szCs w:val="18"/>
        </w:rPr>
        <w:t xml:space="preserve">Velez-Zea, A. &amp; Torroba, R. (2023). “Color multilayer holographic near-eye augmented reality display.” Scientific Reports. DOI: 10.1038/s41598-023-36128-x</w:t>
      </w:r>
    </w:p>
    <w:p>
      <w:pPr>
        <w:spacing w:after="100" w:line="276"/>
        <w:ind w:left="500" w:hanging="500"/>
      </w:pPr>
      <w:r>
        <w:rPr>
          <w:rFonts w:ascii="Georgia" w:cs="Georgia" w:eastAsia="Georgia" w:hAnsi="Georgia"/>
          <w:b/>
          <w:bCs/>
          <w:sz w:val="18"/>
          <w:szCs w:val="18"/>
        </w:rPr>
        <w:t xml:space="preserve">[C14] </w:t>
      </w:r>
      <w:r>
        <w:rPr>
          <w:rFonts w:ascii="Georgia" w:cs="Georgia" w:eastAsia="Georgia" w:hAnsi="Georgia"/>
          <w:sz w:val="18"/>
          <w:szCs w:val="18"/>
        </w:rPr>
        <w:t xml:space="preserve">Xu, H., et al. (2024). “Curved Holographic Augmented Reality Near-Eye Display Based on Freeform HOE.” Photonics, 11(12), 1194.</w:t>
      </w:r>
    </w:p>
    <w:p>
      <w:pPr>
        <w:spacing w:after="100" w:line="276"/>
        <w:ind w:left="500" w:hanging="500"/>
      </w:pPr>
      <w:r>
        <w:rPr>
          <w:rFonts w:ascii="Georgia" w:cs="Georgia" w:eastAsia="Georgia" w:hAnsi="Georgia"/>
          <w:b/>
          <w:bCs/>
          <w:sz w:val="18"/>
          <w:szCs w:val="18"/>
        </w:rPr>
        <w:t xml:space="preserve">[C15] </w:t>
      </w:r>
      <w:r>
        <w:rPr>
          <w:rFonts w:ascii="Georgia" w:cs="Georgia" w:eastAsia="Georgia" w:hAnsi="Georgia"/>
          <w:sz w:val="18"/>
          <w:szCs w:val="18"/>
        </w:rPr>
        <w:t xml:space="preserve">Wang, et al. (2025). “Large Depth-of-Field, Large Eyebox, and Wide FOV Freeform-Holographic AR Near-Eye Display.” Advanced Science. DOI: 10.1002/advs.202508773</w:t>
      </w:r>
    </w:p>
    <w:p>
      <w:pPr>
        <w:spacing w:after="100" w:line="276"/>
        <w:ind w:left="500" w:hanging="500"/>
      </w:pPr>
      <w:r>
        <w:rPr>
          <w:rFonts w:ascii="Georgia" w:cs="Georgia" w:eastAsia="Georgia" w:hAnsi="Georgia"/>
          <w:b/>
          <w:bCs/>
          <w:sz w:val="18"/>
          <w:szCs w:val="18"/>
        </w:rPr>
        <w:t xml:space="preserve">[C16] </w:t>
      </w:r>
      <w:r>
        <w:rPr>
          <w:rFonts w:ascii="Georgia" w:cs="Georgia" w:eastAsia="Georgia" w:hAnsi="Georgia"/>
          <w:sz w:val="18"/>
          <w:szCs w:val="18"/>
        </w:rPr>
        <w:t xml:space="preserve">Various (2024). “Perceptual Evaluation of Steered Retinal Projection.” ACM SIGGRAPH 2024. DOI: 10.1145/3641519.3657486</w:t>
      </w:r>
    </w:p>
    <w:p>
      <w:pPr>
        <w:pStyle w:val="Heading2"/>
      </w:pPr>
      <w:r>
        <w:t xml:space="preserve">Category D — Future Technology</w:t>
      </w:r>
    </w:p>
    <w:p>
      <w:pPr>
        <w:spacing w:after="100" w:line="276"/>
        <w:ind w:left="500" w:hanging="500"/>
      </w:pPr>
      <w:r>
        <w:rPr>
          <w:rFonts w:ascii="Georgia" w:cs="Georgia" w:eastAsia="Georgia" w:hAnsi="Georgia"/>
          <w:b/>
          <w:bCs/>
          <w:sz w:val="18"/>
          <w:szCs w:val="18"/>
        </w:rPr>
        <w:t xml:space="preserve">[D1] </w:t>
      </w:r>
      <w:r>
        <w:rPr>
          <w:rFonts w:ascii="Georgia" w:cs="Georgia" w:eastAsia="Georgia" w:hAnsi="Georgia"/>
          <w:sz w:val="18"/>
          <w:szCs w:val="18"/>
        </w:rPr>
        <w:t xml:space="preserve">IDTechEx (2024). “Displays for Virtual, Augmented and Mixed Reality 2024–2034.” Market Report.</w:t>
      </w:r>
    </w:p>
    <w:p>
      <w:pPr>
        <w:spacing w:after="100" w:line="276"/>
        <w:ind w:left="500" w:hanging="500"/>
      </w:pPr>
      <w:r>
        <w:rPr>
          <w:rFonts w:ascii="Georgia" w:cs="Georgia" w:eastAsia="Georgia" w:hAnsi="Georgia"/>
          <w:b/>
          <w:bCs/>
          <w:sz w:val="18"/>
          <w:szCs w:val="18"/>
        </w:rPr>
        <w:t xml:space="preserve">[D2] </w:t>
      </w:r>
      <w:r>
        <w:rPr>
          <w:rFonts w:ascii="Georgia" w:cs="Georgia" w:eastAsia="Georgia" w:hAnsi="Georgia"/>
          <w:sz w:val="18"/>
          <w:szCs w:val="18"/>
        </w:rPr>
        <w:t xml:space="preserve">Hsiang, E.L., et al. (2022). “AR/VR light engines: Perspectives and challenges.” Advances in Optics and Photonics, 14, 783–861.</w:t>
      </w:r>
    </w:p>
    <w:p>
      <w:pPr>
        <w:spacing w:after="100" w:line="276"/>
        <w:ind w:left="500" w:hanging="500"/>
      </w:pPr>
      <w:r>
        <w:rPr>
          <w:rFonts w:ascii="Georgia" w:cs="Georgia" w:eastAsia="Georgia" w:hAnsi="Georgia"/>
          <w:b/>
          <w:bCs/>
          <w:sz w:val="18"/>
          <w:szCs w:val="18"/>
        </w:rPr>
        <w:t xml:space="preserve">[D3] </w:t>
      </w:r>
      <w:r>
        <w:rPr>
          <w:rFonts w:ascii="Georgia" w:cs="Georgia" w:eastAsia="Georgia" w:hAnsi="Georgia"/>
          <w:sz w:val="18"/>
          <w:szCs w:val="18"/>
        </w:rPr>
        <w:t xml:space="preserve">Mordor Intelligence / Counterpoint / IDC (2025–2026). Spatial computing market projections.</w:t>
      </w:r>
    </w:p>
    <w:p>
      <w:pPr>
        <w:spacing w:after="100" w:line="276"/>
        <w:ind w:left="500" w:hanging="500"/>
      </w:pPr>
      <w:r>
        <w:rPr>
          <w:rFonts w:ascii="Georgia" w:cs="Georgia" w:eastAsia="Georgia" w:hAnsi="Georgia"/>
          <w:b/>
          <w:bCs/>
          <w:sz w:val="18"/>
          <w:szCs w:val="18"/>
        </w:rPr>
        <w:t xml:space="preserve">[D4] </w:t>
      </w:r>
      <w:r>
        <w:rPr>
          <w:rFonts w:ascii="Georgia" w:cs="Georgia" w:eastAsia="Georgia" w:hAnsi="Georgia"/>
          <w:sz w:val="18"/>
          <w:szCs w:val="18"/>
        </w:rPr>
        <w:t xml:space="preserve">Xiong, J. &amp; Wu, S.T. (2021). “Planar liquid crystal polarization optics for augmented reality and virtual reality.” eLight, 1, 3.</w:t>
      </w:r>
    </w:p>
    <w:p>
      <w:pPr>
        <w:spacing w:after="100" w:line="276"/>
        <w:ind w:left="500" w:hanging="500"/>
      </w:pPr>
      <w:r>
        <w:rPr>
          <w:rFonts w:ascii="Georgia" w:cs="Georgia" w:eastAsia="Georgia" w:hAnsi="Georgia"/>
          <w:b/>
          <w:bCs/>
          <w:sz w:val="18"/>
          <w:szCs w:val="18"/>
        </w:rPr>
        <w:t xml:space="preserve">[D5] </w:t>
      </w:r>
      <w:r>
        <w:rPr>
          <w:rFonts w:ascii="Georgia" w:cs="Georgia" w:eastAsia="Georgia" w:hAnsi="Georgia"/>
          <w:sz w:val="18"/>
          <w:szCs w:val="18"/>
        </w:rPr>
        <w:t xml:space="preserve">Goodsell, J., et al. (2023). “Metagrating meets the geometry-based efficiency limit for AR waveguide in-couplers.” Optics Express, 31, 4599–4614.</w:t>
      </w:r>
    </w:p>
    <w:p>
      <w:pPr>
        <w:spacing w:after="100" w:line="276"/>
        <w:ind w:left="500" w:hanging="500"/>
      </w:pPr>
      <w:r>
        <w:rPr>
          <w:rFonts w:ascii="Georgia" w:cs="Georgia" w:eastAsia="Georgia" w:hAnsi="Georgia"/>
          <w:b/>
          <w:bCs/>
          <w:sz w:val="18"/>
          <w:szCs w:val="18"/>
        </w:rPr>
        <w:t xml:space="preserve">[D6] </w:t>
      </w:r>
      <w:r>
        <w:rPr>
          <w:rFonts w:ascii="Georgia" w:cs="Georgia" w:eastAsia="Georgia" w:hAnsi="Georgia"/>
          <w:sz w:val="18"/>
          <w:szCs w:val="18"/>
        </w:rPr>
        <w:t xml:space="preserve">MIT Technology Review (2023). “These minuscule pixels are poised to take augmented reality by storm.”</w:t>
      </w:r>
    </w:p>
    <w:p>
      <w:pPr>
        <w:spacing w:after="100" w:line="276"/>
        <w:ind w:left="500" w:hanging="500"/>
      </w:pPr>
      <w:r>
        <w:rPr>
          <w:rFonts w:ascii="Georgia" w:cs="Georgia" w:eastAsia="Georgia" w:hAnsi="Georgia"/>
          <w:b/>
          <w:bCs/>
          <w:sz w:val="18"/>
          <w:szCs w:val="18"/>
        </w:rPr>
        <w:t xml:space="preserve">[D7] </w:t>
      </w:r>
      <w:r>
        <w:rPr>
          <w:rFonts w:ascii="Georgia" w:cs="Georgia" w:eastAsia="Georgia" w:hAnsi="Georgia"/>
          <w:sz w:val="18"/>
          <w:szCs w:val="18"/>
        </w:rPr>
        <w:t xml:space="preserve">Luo, Z., et al. (2023). “Achromatic diffractive liquid-crystal optics for virtual reality displays.” Light: Science and Applications, 12, 230.</w:t>
      </w:r>
    </w:p>
    <w:p>
      <w:pPr>
        <w:spacing w:after="100" w:line="276"/>
        <w:ind w:left="500" w:hanging="500"/>
      </w:pPr>
      <w:r>
        <w:rPr>
          <w:rFonts w:ascii="Georgia" w:cs="Georgia" w:eastAsia="Georgia" w:hAnsi="Georgia"/>
          <w:b/>
          <w:bCs/>
          <w:sz w:val="18"/>
          <w:szCs w:val="18"/>
        </w:rPr>
        <w:t xml:space="preserve">[D8] </w:t>
      </w:r>
      <w:r>
        <w:rPr>
          <w:rFonts w:ascii="Georgia" w:cs="Georgia" w:eastAsia="Georgia" w:hAnsi="Georgia"/>
          <w:sz w:val="18"/>
          <w:szCs w:val="18"/>
        </w:rPr>
        <w:t xml:space="preserve">Birlo, M., et al. (2022). “Utility of optical see-through head-mounted displays in augmented reality-assisted surgery: A systematic review.” Medical Image Analysis, 77, 102361.</w:t>
      </w:r>
    </w:p>
    <w:p>
      <w:pPr>
        <w:spacing w:after="100" w:line="276"/>
        <w:ind w:left="500" w:hanging="500"/>
      </w:pPr>
      <w:r>
        <w:rPr>
          <w:rFonts w:ascii="Georgia" w:cs="Georgia" w:eastAsia="Georgia" w:hAnsi="Georgia"/>
          <w:b/>
          <w:bCs/>
          <w:sz w:val="18"/>
          <w:szCs w:val="18"/>
        </w:rPr>
        <w:t xml:space="preserve">[D9] </w:t>
      </w:r>
      <w:r>
        <w:rPr>
          <w:rFonts w:ascii="Georgia" w:cs="Georgia" w:eastAsia="Georgia" w:hAnsi="Georgia"/>
          <w:sz w:val="18"/>
          <w:szCs w:val="18"/>
        </w:rPr>
        <w:t xml:space="preserve">Lee, S., et al. (2020). “Foveated near-eye display for mixed reality using liquid crystal photonics.” Scientific Reports, 10(1), 16127.</w:t>
      </w:r>
    </w:p>
    <w:p>
      <w:pPr>
        <w:spacing w:after="100" w:line="276"/>
        <w:ind w:left="500" w:hanging="500"/>
      </w:pPr>
      <w:r>
        <w:rPr>
          <w:rFonts w:ascii="Georgia" w:cs="Georgia" w:eastAsia="Georgia" w:hAnsi="Georgia"/>
          <w:b/>
          <w:bCs/>
          <w:sz w:val="18"/>
          <w:szCs w:val="18"/>
        </w:rPr>
        <w:t xml:space="preserve">[D10] </w:t>
      </w:r>
      <w:r>
        <w:rPr>
          <w:rFonts w:ascii="Georgia" w:cs="Georgia" w:eastAsia="Georgia" w:hAnsi="Georgia"/>
          <w:sz w:val="18"/>
          <w:szCs w:val="18"/>
        </w:rPr>
        <w:t xml:space="preserve">Maimone, A., Georgiou, A. &amp; Kollin, J.S. (2017). “Holographic near-eye displays for virtual and augmented reality.” ACM Transactions on Graphics, 36, 85.</w:t>
      </w:r>
    </w:p>
    <w:p>
      <w:pPr>
        <w:pStyle w:val="Heading2"/>
      </w:pPr>
      <w:r>
        <w:t xml:space="preserve">Category E — Eye Health</w:t>
      </w:r>
    </w:p>
    <w:p>
      <w:pPr>
        <w:spacing w:after="100" w:line="276"/>
        <w:ind w:left="500" w:hanging="500"/>
      </w:pPr>
      <w:r>
        <w:rPr>
          <w:rFonts w:ascii="Georgia" w:cs="Georgia" w:eastAsia="Georgia" w:hAnsi="Georgia"/>
          <w:b/>
          <w:bCs/>
          <w:sz w:val="18"/>
          <w:szCs w:val="18"/>
        </w:rPr>
        <w:t xml:space="preserve">[E1] </w:t>
      </w:r>
      <w:r>
        <w:rPr>
          <w:rFonts w:ascii="Georgia" w:cs="Georgia" w:eastAsia="Georgia" w:hAnsi="Georgia"/>
          <w:sz w:val="18"/>
          <w:szCs w:val="18"/>
        </w:rPr>
        <w:t xml:space="preserve">Cougnard-Gregoire, A., et al. (2023). “Blue Light Exposure: Ocular Hazards and Prevention.” Ophthalmology and Therapy. PMC9938358.</w:t>
      </w:r>
    </w:p>
    <w:p>
      <w:pPr>
        <w:spacing w:after="100" w:line="276"/>
        <w:ind w:left="500" w:hanging="500"/>
      </w:pPr>
      <w:r>
        <w:rPr>
          <w:rFonts w:ascii="Georgia" w:cs="Georgia" w:eastAsia="Georgia" w:hAnsi="Georgia"/>
          <w:b/>
          <w:bCs/>
          <w:sz w:val="18"/>
          <w:szCs w:val="18"/>
        </w:rPr>
        <w:t xml:space="preserve">[E2] </w:t>
      </w:r>
      <w:r>
        <w:rPr>
          <w:rFonts w:ascii="Georgia" w:cs="Georgia" w:eastAsia="Georgia" w:hAnsi="Georgia"/>
          <w:sz w:val="18"/>
          <w:szCs w:val="18"/>
        </w:rPr>
        <w:t xml:space="preserve">Shang, Y.M., et al. (2018). “Research progress about the effect and prevention of blue light on eyes.” International Journal of Ophthalmology. PMC6288536.</w:t>
      </w:r>
    </w:p>
    <w:p>
      <w:pPr>
        <w:spacing w:after="100" w:line="276"/>
        <w:ind w:left="500" w:hanging="500"/>
      </w:pPr>
      <w:r>
        <w:rPr>
          <w:rFonts w:ascii="Georgia" w:cs="Georgia" w:eastAsia="Georgia" w:hAnsi="Georgia"/>
          <w:b/>
          <w:bCs/>
          <w:sz w:val="18"/>
          <w:szCs w:val="18"/>
        </w:rPr>
        <w:t xml:space="preserve">[E3] </w:t>
      </w:r>
      <w:r>
        <w:rPr>
          <w:rFonts w:ascii="Georgia" w:cs="Georgia" w:eastAsia="Georgia" w:hAnsi="Georgia"/>
          <w:sz w:val="18"/>
          <w:szCs w:val="18"/>
        </w:rPr>
        <w:t xml:space="preserve">O’Hagan, J.B., et al. (2022). “Artificial blue light safety as it applies to digital devices.” Ophthalmic and Physiological Optics. PMC9420367.</w:t>
      </w:r>
    </w:p>
    <w:p>
      <w:pPr>
        <w:spacing w:after="100" w:line="276"/>
        <w:ind w:left="500" w:hanging="500"/>
      </w:pPr>
      <w:r>
        <w:rPr>
          <w:rFonts w:ascii="Georgia" w:cs="Georgia" w:eastAsia="Georgia" w:hAnsi="Georgia"/>
          <w:b/>
          <w:bCs/>
          <w:sz w:val="18"/>
          <w:szCs w:val="18"/>
        </w:rPr>
        <w:t xml:space="preserve">[E4] </w:t>
      </w:r>
      <w:r>
        <w:rPr>
          <w:rFonts w:ascii="Georgia" w:cs="Georgia" w:eastAsia="Georgia" w:hAnsi="Georgia"/>
          <w:sz w:val="18"/>
          <w:szCs w:val="18"/>
        </w:rPr>
        <w:t xml:space="preserve">Kramida, G. (2016). “Resolving the Vergence-Accommodation Conflict in Head-Mounted Displays.” IEEE TVCG, 22(7), 1912–1931.</w:t>
      </w:r>
    </w:p>
    <w:p>
      <w:pPr>
        <w:spacing w:after="100" w:line="276"/>
        <w:ind w:left="500" w:hanging="500"/>
      </w:pPr>
      <w:r>
        <w:rPr>
          <w:rFonts w:ascii="Georgia" w:cs="Georgia" w:eastAsia="Georgia" w:hAnsi="Georgia"/>
          <w:b/>
          <w:bCs/>
          <w:sz w:val="18"/>
          <w:szCs w:val="18"/>
        </w:rPr>
        <w:t xml:space="preserve">[E5] </w:t>
      </w:r>
      <w:r>
        <w:rPr>
          <w:rFonts w:ascii="Georgia" w:cs="Georgia" w:eastAsia="Georgia" w:hAnsi="Georgia"/>
          <w:sz w:val="18"/>
          <w:szCs w:val="18"/>
        </w:rPr>
        <w:t xml:space="preserve">Hoffman, D.M., et al. (2008). “Vergence-accommodation conflicts hinder visual performance and cause visual fatigue.” Journal of Vision, 8(3), 33.1–30.</w:t>
      </w:r>
    </w:p>
    <w:p>
      <w:pPr>
        <w:spacing w:after="100" w:line="276"/>
        <w:ind w:left="500" w:hanging="500"/>
      </w:pPr>
      <w:r>
        <w:rPr>
          <w:rFonts w:ascii="Georgia" w:cs="Georgia" w:eastAsia="Georgia" w:hAnsi="Georgia"/>
          <w:b/>
          <w:bCs/>
          <w:sz w:val="18"/>
          <w:szCs w:val="18"/>
        </w:rPr>
        <w:t xml:space="preserve">[E6] </w:t>
      </w:r>
      <w:r>
        <w:rPr>
          <w:rFonts w:ascii="Georgia" w:cs="Georgia" w:eastAsia="Georgia" w:hAnsi="Georgia"/>
          <w:sz w:val="18"/>
          <w:szCs w:val="18"/>
        </w:rPr>
        <w:t xml:space="preserve">Batmaz, A.U., et al. (2022). “The Effect of Vergence-Accommodation Conflict on Virtual Hand Pointing in Immersive Displays.” CHI ’22. DOI: 10.1145/3491102.3502067</w:t>
      </w:r>
    </w:p>
    <w:p>
      <w:pPr>
        <w:spacing w:after="100" w:line="276"/>
        <w:ind w:left="500" w:hanging="500"/>
      </w:pPr>
      <w:r>
        <w:rPr>
          <w:rFonts w:ascii="Georgia" w:cs="Georgia" w:eastAsia="Georgia" w:hAnsi="Georgia"/>
          <w:b/>
          <w:bCs/>
          <w:sz w:val="18"/>
          <w:szCs w:val="18"/>
        </w:rPr>
        <w:t xml:space="preserve">[E7] </w:t>
      </w:r>
      <w:r>
        <w:rPr>
          <w:rFonts w:ascii="Georgia" w:cs="Georgia" w:eastAsia="Georgia" w:hAnsi="Georgia"/>
          <w:sz w:val="18"/>
          <w:szCs w:val="18"/>
        </w:rPr>
        <w:t xml:space="preserve">Lugtenberg, G., et al. (2025). “Effects of Eye Vergence and Accommodation on AR Magic-Lens Display Interactions.” IEEE TVCG, 31(8), 4387–4399.</w:t>
      </w:r>
    </w:p>
    <w:p>
      <w:pPr>
        <w:spacing w:after="100" w:line="276"/>
        <w:ind w:left="500" w:hanging="500"/>
      </w:pPr>
      <w:r>
        <w:rPr>
          <w:rFonts w:ascii="Georgia" w:cs="Georgia" w:eastAsia="Georgia" w:hAnsi="Georgia"/>
          <w:b/>
          <w:bCs/>
          <w:sz w:val="18"/>
          <w:szCs w:val="18"/>
        </w:rPr>
        <w:t xml:space="preserve">[E8] </w:t>
      </w:r>
      <w:r>
        <w:rPr>
          <w:rFonts w:ascii="Georgia" w:cs="Georgia" w:eastAsia="Georgia" w:hAnsi="Georgia"/>
          <w:sz w:val="18"/>
          <w:szCs w:val="18"/>
        </w:rPr>
        <w:t xml:space="preserve">Wolffsohn, J.S., et al. (2023). “TFOS Lifestyle: Impact of the digital environment on the ocular surface.” The Ocular Surface. DOI: 10.1016/j.jtos.2023.01.005</w:t>
      </w:r>
    </w:p>
    <w:p>
      <w:pPr>
        <w:spacing w:after="100" w:line="276"/>
        <w:ind w:left="500" w:hanging="500"/>
      </w:pPr>
      <w:r>
        <w:rPr>
          <w:rFonts w:ascii="Georgia" w:cs="Georgia" w:eastAsia="Georgia" w:hAnsi="Georgia"/>
          <w:b/>
          <w:bCs/>
          <w:sz w:val="18"/>
          <w:szCs w:val="18"/>
        </w:rPr>
        <w:t xml:space="preserve">[E9] </w:t>
      </w:r>
      <w:r>
        <w:rPr>
          <w:rFonts w:ascii="Georgia" w:cs="Georgia" w:eastAsia="Georgia" w:hAnsi="Georgia"/>
          <w:sz w:val="18"/>
          <w:szCs w:val="18"/>
        </w:rPr>
        <w:t xml:space="preserve">Palumbo, S., et al. (2022). “Understanding, Addressing, and Analysing Digital Eye Strain in VR Head-Mounted Displays.” ACM TOCHI, 29(4), Article 33.</w:t>
      </w:r>
    </w:p>
    <w:p>
      <w:pPr>
        <w:spacing w:after="100" w:line="276"/>
        <w:ind w:left="500" w:hanging="500"/>
      </w:pPr>
      <w:r>
        <w:rPr>
          <w:rFonts w:ascii="Georgia" w:cs="Georgia" w:eastAsia="Georgia" w:hAnsi="Georgia"/>
          <w:b/>
          <w:bCs/>
          <w:sz w:val="18"/>
          <w:szCs w:val="18"/>
        </w:rPr>
        <w:t xml:space="preserve">[E10] </w:t>
      </w:r>
      <w:r>
        <w:rPr>
          <w:rFonts w:ascii="Georgia" w:cs="Georgia" w:eastAsia="Georgia" w:hAnsi="Georgia"/>
          <w:sz w:val="18"/>
          <w:szCs w:val="18"/>
        </w:rPr>
        <w:t xml:space="preserve">Lawrenson, J.G., et al. (2017). “Effect of blue-light blocking spectacle lenses on visual performance, macular health and the sleep-wake cycle.” Ophthalmic and Physiological Optics, 37, 644–654.</w:t>
      </w:r>
    </w:p>
    <w:p>
      <w:pPr>
        <w:spacing w:after="100" w:line="276"/>
        <w:ind w:left="500" w:hanging="500"/>
      </w:pPr>
      <w:r>
        <w:rPr>
          <w:rFonts w:ascii="Georgia" w:cs="Georgia" w:eastAsia="Georgia" w:hAnsi="Georgia"/>
          <w:b/>
          <w:bCs/>
          <w:sz w:val="18"/>
          <w:szCs w:val="18"/>
        </w:rPr>
        <w:t xml:space="preserve">[E11] </w:t>
      </w:r>
      <w:r>
        <w:rPr>
          <w:rFonts w:ascii="Georgia" w:cs="Georgia" w:eastAsia="Georgia" w:hAnsi="Georgia"/>
          <w:sz w:val="18"/>
          <w:szCs w:val="18"/>
        </w:rPr>
        <w:t xml:space="preserve">Auffret, E., et al. (2023). “Computer Vision Syndrome: An Ophthalmic Pathology of the Modern Era.” Ophthalmology and Therapy. PMC9961559.</w:t>
      </w:r>
    </w:p>
    <w:p>
      <w:pPr>
        <w:spacing w:after="100" w:line="276"/>
        <w:ind w:left="500" w:hanging="500"/>
      </w:pPr>
      <w:r>
        <w:rPr>
          <w:rFonts w:ascii="Georgia" w:cs="Georgia" w:eastAsia="Georgia" w:hAnsi="Georgia"/>
          <w:b/>
          <w:bCs/>
          <w:sz w:val="18"/>
          <w:szCs w:val="18"/>
        </w:rPr>
        <w:t xml:space="preserve">[E12] </w:t>
      </w:r>
      <w:r>
        <w:rPr>
          <w:rFonts w:ascii="Georgia" w:cs="Georgia" w:eastAsia="Georgia" w:hAnsi="Georgia"/>
          <w:sz w:val="18"/>
          <w:szCs w:val="18"/>
        </w:rPr>
        <w:t xml:space="preserve">Pandey, S.K. &amp; Sharma, V. (2025). “Computer vision syndrome: a comprehensive literature review.” Journal of Clinical Optometry. DOI: 10.1080/20565623.2025.2476923</w:t>
      </w:r>
    </w:p>
    <w:p>
      <w:pPr>
        <w:spacing w:after="100" w:line="276"/>
        <w:ind w:left="500" w:hanging="500"/>
      </w:pPr>
      <w:r>
        <w:rPr>
          <w:rFonts w:ascii="Georgia" w:cs="Georgia" w:eastAsia="Georgia" w:hAnsi="Georgia"/>
          <w:b/>
          <w:bCs/>
          <w:sz w:val="18"/>
          <w:szCs w:val="18"/>
        </w:rPr>
        <w:t xml:space="preserve">[E13] </w:t>
      </w:r>
      <w:r>
        <w:rPr>
          <w:rFonts w:ascii="Georgia" w:cs="Georgia" w:eastAsia="Georgia" w:hAnsi="Georgia"/>
          <w:sz w:val="18"/>
          <w:szCs w:val="18"/>
        </w:rPr>
        <w:t xml:space="preserve">Singh, S., Keller, P.R., Busija, L., McMillan, P., Makrai, E., Lawrenson, J.G., Hull, C.C. &amp; Downie, L.E. (2023). “Blue-light filtering spectacle lenses for visual performance, sleep, and macular health in adults.” Cochrane Database of Systematic Reviews, Issue 8, CD013244. DOI: 10.1002/14651858.CD013244.pub2</w:t>
      </w:r>
    </w:p>
    <w:p>
      <w:pPr>
        <w:pStyle w:val="Heading2"/>
      </w:pPr>
      <w:r>
        <w:t xml:space="preserve">Category F — Privacy and Social Acceptance</w:t>
      </w:r>
    </w:p>
    <w:p>
      <w:pPr>
        <w:spacing w:after="100" w:line="276"/>
        <w:ind w:left="500" w:hanging="500"/>
      </w:pPr>
      <w:r>
        <w:rPr>
          <w:rFonts w:ascii="Georgia" w:cs="Georgia" w:eastAsia="Georgia" w:hAnsi="Georgia"/>
          <w:b/>
          <w:bCs/>
          <w:sz w:val="18"/>
          <w:szCs w:val="18"/>
        </w:rPr>
        <w:t xml:space="preserve">[F1] </w:t>
      </w:r>
      <w:r>
        <w:rPr>
          <w:rFonts w:ascii="Georgia" w:cs="Georgia" w:eastAsia="Georgia" w:hAnsi="Georgia"/>
          <w:sz w:val="18"/>
          <w:szCs w:val="18"/>
        </w:rPr>
        <w:t xml:space="preserve">Bhardwaj, D., et al. (2024). “In Focus, Out of Privacy: The Wearer’s Perspective on Camera Glasses.” CHI ’24. DOI: 10.1145/3613904.3642242</w:t>
      </w:r>
    </w:p>
    <w:p>
      <w:pPr>
        <w:spacing w:after="100" w:line="276"/>
        <w:ind w:left="500" w:hanging="500"/>
      </w:pPr>
      <w:r>
        <w:rPr>
          <w:rFonts w:ascii="Georgia" w:cs="Georgia" w:eastAsia="Georgia" w:hAnsi="Georgia"/>
          <w:b/>
          <w:bCs/>
          <w:sz w:val="18"/>
          <w:szCs w:val="18"/>
        </w:rPr>
        <w:t xml:space="preserve">[F2] </w:t>
      </w:r>
      <w:r>
        <w:rPr>
          <w:rFonts w:ascii="Georgia" w:cs="Georgia" w:eastAsia="Georgia" w:hAnsi="Georgia"/>
          <w:sz w:val="18"/>
          <w:szCs w:val="18"/>
        </w:rPr>
        <w:t xml:space="preserve">Koelle, M., et al. (2015). “Don’t look at me that way! Understanding User Attitudes Towards Data Glasses.” MobileHCI ’15. DOI: 10.1145/2785830.2785842</w:t>
      </w:r>
    </w:p>
    <w:p>
      <w:pPr>
        <w:spacing w:after="100" w:line="276"/>
        <w:ind w:left="500" w:hanging="500"/>
      </w:pPr>
      <w:r>
        <w:rPr>
          <w:rFonts w:ascii="Georgia" w:cs="Georgia" w:eastAsia="Georgia" w:hAnsi="Georgia"/>
          <w:b/>
          <w:bCs/>
          <w:sz w:val="18"/>
          <w:szCs w:val="18"/>
        </w:rPr>
        <w:t xml:space="preserve">[F3] </w:t>
      </w:r>
      <w:r>
        <w:rPr>
          <w:rFonts w:ascii="Georgia" w:cs="Georgia" w:eastAsia="Georgia" w:hAnsi="Georgia"/>
          <w:sz w:val="18"/>
          <w:szCs w:val="18"/>
        </w:rPr>
        <w:t xml:space="preserve">Steil, J., et al. (2019). “PrivacEye: Privacy-Preserving Head-Mounted Eye Tracking.” ETRA ’19. DOI: 10.1145/3314111.3319913</w:t>
      </w:r>
    </w:p>
    <w:p>
      <w:pPr>
        <w:spacing w:after="100" w:line="276"/>
        <w:ind w:left="500" w:hanging="500"/>
      </w:pPr>
      <w:r>
        <w:rPr>
          <w:rFonts w:ascii="Georgia" w:cs="Georgia" w:eastAsia="Georgia" w:hAnsi="Georgia"/>
          <w:b/>
          <w:bCs/>
          <w:sz w:val="18"/>
          <w:szCs w:val="18"/>
        </w:rPr>
        <w:t xml:space="preserve">[F4] </w:t>
      </w:r>
      <w:r>
        <w:rPr>
          <w:rFonts w:ascii="Georgia" w:cs="Georgia" w:eastAsia="Georgia" w:hAnsi="Georgia"/>
          <w:sz w:val="18"/>
          <w:szCs w:val="18"/>
        </w:rPr>
        <w:t xml:space="preserve">Denning, T., et al. (2014). “In Situ with Bystanders of Augmented Reality Glasses.” CHI ’14. DOI: 10.1145/2556288.2559547</w:t>
      </w:r>
    </w:p>
    <w:p>
      <w:pPr>
        <w:spacing w:after="100" w:line="276"/>
        <w:ind w:left="500" w:hanging="500"/>
      </w:pPr>
      <w:r>
        <w:rPr>
          <w:rFonts w:ascii="Georgia" w:cs="Georgia" w:eastAsia="Georgia" w:hAnsi="Georgia"/>
          <w:b/>
          <w:bCs/>
          <w:sz w:val="18"/>
          <w:szCs w:val="18"/>
        </w:rPr>
        <w:t xml:space="preserve">[F5] </w:t>
      </w:r>
      <w:r>
        <w:rPr>
          <w:rFonts w:ascii="Georgia" w:cs="Georgia" w:eastAsia="Georgia" w:hAnsi="Georgia"/>
          <w:sz w:val="18"/>
          <w:szCs w:val="18"/>
        </w:rPr>
        <w:t xml:space="preserve">Hoyle, R., et al. (2014). “Privacy Behaviors of Lifeloggers Using Wearable Cameras.” UbiComp ’14. DOI: 10.1145/2632048.2632079</w:t>
      </w:r>
    </w:p>
    <w:p>
      <w:pPr>
        <w:spacing w:after="100" w:line="276"/>
        <w:ind w:left="500" w:hanging="500"/>
      </w:pPr>
      <w:r>
        <w:rPr>
          <w:rFonts w:ascii="Georgia" w:cs="Georgia" w:eastAsia="Georgia" w:hAnsi="Georgia"/>
          <w:b/>
          <w:bCs/>
          <w:sz w:val="18"/>
          <w:szCs w:val="18"/>
        </w:rPr>
        <w:t xml:space="preserve">[F6] </w:t>
      </w:r>
      <w:r>
        <w:rPr>
          <w:rFonts w:ascii="Georgia" w:cs="Georgia" w:eastAsia="Georgia" w:hAnsi="Georgia"/>
          <w:sz w:val="18"/>
          <w:szCs w:val="18"/>
        </w:rPr>
        <w:t xml:space="preserve">Koelle, M., et al. (2018). “Beyond LED Status Lights — Design Requirements of Privacy Notices for Body-worn Cameras.” TEI ’18. DOI: 10.1145/3173225.3173234</w:t>
      </w:r>
    </w:p>
    <w:p>
      <w:pPr>
        <w:spacing w:after="100" w:line="276"/>
        <w:ind w:left="500" w:hanging="500"/>
      </w:pPr>
      <w:r>
        <w:rPr>
          <w:rFonts w:ascii="Georgia" w:cs="Georgia" w:eastAsia="Georgia" w:hAnsi="Georgia"/>
          <w:b/>
          <w:bCs/>
          <w:sz w:val="18"/>
          <w:szCs w:val="18"/>
        </w:rPr>
        <w:t xml:space="preserve">[F7] </w:t>
      </w:r>
      <w:r>
        <w:rPr>
          <w:rFonts w:ascii="Georgia" w:cs="Georgia" w:eastAsia="Georgia" w:hAnsi="Georgia"/>
          <w:sz w:val="18"/>
          <w:szCs w:val="18"/>
        </w:rPr>
        <w:t xml:space="preserve">Bipat, T., et al. (2019). “Analyzing the Use of Camera Glasses in the Wild.” CHI ’19. DOI: 10.1145/3290605.3300651</w:t>
      </w:r>
    </w:p>
    <w:p>
      <w:pPr>
        <w:spacing w:after="100" w:line="276"/>
        <w:ind w:left="500" w:hanging="500"/>
      </w:pPr>
      <w:r>
        <w:rPr>
          <w:rFonts w:ascii="Georgia" w:cs="Georgia" w:eastAsia="Georgia" w:hAnsi="Georgia"/>
          <w:b/>
          <w:bCs/>
          <w:sz w:val="18"/>
          <w:szCs w:val="18"/>
        </w:rPr>
        <w:t xml:space="preserve">[F8] </w:t>
      </w:r>
      <w:r>
        <w:rPr>
          <w:rFonts w:ascii="Georgia" w:cs="Georgia" w:eastAsia="Georgia" w:hAnsi="Georgia"/>
          <w:sz w:val="18"/>
          <w:szCs w:val="18"/>
        </w:rPr>
        <w:t xml:space="preserve">Abdi, M., et al. (2018). “Your smart glasses’ camera bothers me!” UbiComp/ISWC ’18 Adjunct. DOI: 10.1145/3240167.3240174</w:t>
      </w:r>
    </w:p>
    <w:p>
      <w:pPr>
        <w:spacing w:after="100" w:line="276"/>
        <w:ind w:left="500" w:hanging="500"/>
      </w:pPr>
      <w:r>
        <w:rPr>
          <w:rFonts w:ascii="Georgia" w:cs="Georgia" w:eastAsia="Georgia" w:hAnsi="Georgia"/>
          <w:b/>
          <w:bCs/>
          <w:sz w:val="18"/>
          <w:szCs w:val="18"/>
        </w:rPr>
        <w:t xml:space="preserve">[F9] </w:t>
      </w:r>
      <w:r>
        <w:rPr>
          <w:rFonts w:ascii="Georgia" w:cs="Georgia" w:eastAsia="Georgia" w:hAnsi="Georgia"/>
          <w:sz w:val="18"/>
          <w:szCs w:val="18"/>
        </w:rPr>
        <w:t xml:space="preserve">Wang, Y., et al. (2026). “Mind the Gap: Mapping Wearer–Bystander Privacy Tensions for Camera Glasses.” CHI ’26. DOI: 10.1145/3772318.3791848</w:t>
      </w:r>
    </w:p>
    <w:p>
      <w:pPr>
        <w:spacing w:after="100" w:line="276"/>
        <w:ind w:left="500" w:hanging="500"/>
      </w:pPr>
      <w:r>
        <w:rPr>
          <w:rFonts w:ascii="Georgia" w:cs="Georgia" w:eastAsia="Georgia" w:hAnsi="Georgia"/>
          <w:b/>
          <w:bCs/>
          <w:sz w:val="18"/>
          <w:szCs w:val="18"/>
        </w:rPr>
        <w:t xml:space="preserve">[F10] </w:t>
      </w:r>
      <w:r>
        <w:rPr>
          <w:rFonts w:ascii="Georgia" w:cs="Georgia" w:eastAsia="Georgia" w:hAnsi="Georgia"/>
          <w:sz w:val="18"/>
          <w:szCs w:val="18"/>
        </w:rPr>
        <w:t xml:space="preserve">Hong, J. (2013). “Considering Privacy Issues in the Context of Google Glass.” Communications of the ACM, 56(11), 10–11.</w:t>
      </w:r>
    </w:p>
    <w:p>
      <w:pPr>
        <w:spacing w:after="100" w:line="276"/>
        <w:ind w:left="500" w:hanging="500"/>
      </w:pPr>
      <w:r>
        <w:rPr>
          <w:rFonts w:ascii="Georgia" w:cs="Georgia" w:eastAsia="Georgia" w:hAnsi="Georgia"/>
          <w:b/>
          <w:bCs/>
          <w:sz w:val="18"/>
          <w:szCs w:val="18"/>
        </w:rPr>
        <w:t xml:space="preserve">[F11] </w:t>
      </w:r>
      <w:r>
        <w:rPr>
          <w:rFonts w:ascii="Georgia" w:cs="Georgia" w:eastAsia="Georgia" w:hAnsi="Georgia"/>
          <w:sz w:val="18"/>
          <w:szCs w:val="18"/>
        </w:rPr>
        <w:t xml:space="preserve">Kaviani, F., et al. (2024). “Exploring social perceptions of everyday smartglass use in Australia.” PLOS ONE. DOI: 10.1371/journal.pone.0313001</w:t>
      </w:r>
    </w:p>
    <w:p>
      <w:pPr>
        <w:spacing w:after="100" w:line="276"/>
        <w:ind w:left="500" w:hanging="500"/>
      </w:pPr>
      <w:r>
        <w:rPr>
          <w:rFonts w:ascii="Georgia" w:cs="Georgia" w:eastAsia="Georgia" w:hAnsi="Georgia"/>
          <w:b/>
          <w:bCs/>
          <w:sz w:val="18"/>
          <w:szCs w:val="18"/>
        </w:rPr>
        <w:t xml:space="preserve">[F12] </w:t>
      </w:r>
      <w:r>
        <w:rPr>
          <w:rFonts w:ascii="Georgia" w:cs="Georgia" w:eastAsia="Georgia" w:hAnsi="Georgia"/>
          <w:sz w:val="18"/>
          <w:szCs w:val="18"/>
        </w:rPr>
        <w:t xml:space="preserve">Abashidze, D., et al. (2021). “Uncovering Practical Security and Privacy Threats for Connected Glasses.” Proc. ACM IMWUT. DOI: 10.1145/3432700</w:t>
      </w:r>
    </w:p>
    <w:p>
      <w:pPr>
        <w:spacing w:after="100" w:line="276"/>
        <w:ind w:left="500" w:hanging="500"/>
      </w:pPr>
      <w:r>
        <w:rPr>
          <w:rFonts w:ascii="Georgia" w:cs="Georgia" w:eastAsia="Georgia" w:hAnsi="Georgia"/>
          <w:b/>
          <w:bCs/>
          <w:sz w:val="18"/>
          <w:szCs w:val="18"/>
        </w:rPr>
        <w:t xml:space="preserve">[F13] </w:t>
      </w:r>
      <w:r>
        <w:rPr>
          <w:rFonts w:ascii="Georgia" w:cs="Georgia" w:eastAsia="Georgia" w:hAnsi="Georgia"/>
          <w:sz w:val="18"/>
          <w:szCs w:val="18"/>
        </w:rPr>
        <w:t xml:space="preserve">Various (2026). “Dormant facial-recognition code found on Meta smart glasses; feature removed after civil-rights coalition pressure.” Wired, June 2026. [News reporting, June 4, 2026.]</w:t>
      </w:r>
    </w:p>
    <w:p>
      <w:pPr>
        <w:pStyle w:val="Heading2"/>
      </w:pPr>
      <w:r>
        <w:t xml:space="preserve">Category G — Human-Computer Interaction</w:t>
      </w:r>
    </w:p>
    <w:p>
      <w:pPr>
        <w:spacing w:after="100" w:line="276"/>
        <w:ind w:left="500" w:hanging="500"/>
      </w:pPr>
      <w:r>
        <w:rPr>
          <w:rFonts w:ascii="Georgia" w:cs="Georgia" w:eastAsia="Georgia" w:hAnsi="Georgia"/>
          <w:b/>
          <w:bCs/>
          <w:sz w:val="18"/>
          <w:szCs w:val="18"/>
        </w:rPr>
        <w:t xml:space="preserve">[G1] </w:t>
      </w:r>
      <w:r>
        <w:rPr>
          <w:rFonts w:ascii="Georgia" w:cs="Georgia" w:eastAsia="Georgia" w:hAnsi="Georgia"/>
          <w:sz w:val="18"/>
          <w:szCs w:val="18"/>
        </w:rPr>
        <w:t xml:space="preserve">Xu, Z., et al. (2025). “FingerGlass: Enhancing Smart Glasses Interaction via Fingerprint Sensing.” CHI ’25. DOI: 10.1145/3706598.3713929</w:t>
      </w:r>
    </w:p>
    <w:p>
      <w:pPr>
        <w:spacing w:after="100" w:line="276"/>
        <w:ind w:left="500" w:hanging="500"/>
      </w:pPr>
      <w:r>
        <w:rPr>
          <w:rFonts w:ascii="Georgia" w:cs="Georgia" w:eastAsia="Georgia" w:hAnsi="Georgia"/>
          <w:b/>
          <w:bCs/>
          <w:sz w:val="18"/>
          <w:szCs w:val="18"/>
        </w:rPr>
        <w:t xml:space="preserve">[G2] </w:t>
      </w:r>
      <w:r>
        <w:rPr>
          <w:rFonts w:ascii="Georgia" w:cs="Georgia" w:eastAsia="Georgia" w:hAnsi="Georgia"/>
          <w:sz w:val="18"/>
          <w:szCs w:val="18"/>
        </w:rPr>
        <w:t xml:space="preserve">Rzayev, R., et al. (2018). “Reading on Smart Glasses: Effect of Text Position, Presentation Type and Walking.” CHI ’18. DOI: 10.1145/3173574.3173619</w:t>
      </w:r>
    </w:p>
    <w:p>
      <w:pPr>
        <w:spacing w:after="100" w:line="276"/>
        <w:ind w:left="500" w:hanging="500"/>
      </w:pPr>
      <w:r>
        <w:rPr>
          <w:rFonts w:ascii="Georgia" w:cs="Georgia" w:eastAsia="Georgia" w:hAnsi="Georgia"/>
          <w:b/>
          <w:bCs/>
          <w:sz w:val="18"/>
          <w:szCs w:val="18"/>
        </w:rPr>
        <w:t xml:space="preserve">[G3] </w:t>
      </w:r>
      <w:r>
        <w:rPr>
          <w:rFonts w:ascii="Georgia" w:cs="Georgia" w:eastAsia="Georgia" w:hAnsi="Georgia"/>
          <w:sz w:val="18"/>
          <w:szCs w:val="18"/>
        </w:rPr>
        <w:t xml:space="preserve">Hsieh, Y.T., et al. (2016). “Designing a Willing-to-Use-in-Public Hand Gestural Interaction Technique for Smart Glasses.” CHI ’16. DOI: 10.1145/2858036.2858436</w:t>
      </w:r>
    </w:p>
    <w:p>
      <w:pPr>
        <w:spacing w:after="100" w:line="276"/>
        <w:ind w:left="500" w:hanging="500"/>
      </w:pPr>
      <w:r>
        <w:rPr>
          <w:rFonts w:ascii="Georgia" w:cs="Georgia" w:eastAsia="Georgia" w:hAnsi="Georgia"/>
          <w:b/>
          <w:bCs/>
          <w:sz w:val="18"/>
          <w:szCs w:val="18"/>
        </w:rPr>
        <w:t xml:space="preserve">[G4] </w:t>
      </w:r>
      <w:r>
        <w:rPr>
          <w:rFonts w:ascii="Georgia" w:cs="Georgia" w:eastAsia="Georgia" w:hAnsi="Georgia"/>
          <w:sz w:val="18"/>
          <w:szCs w:val="18"/>
        </w:rPr>
        <w:t xml:space="preserve">Lee, S.C., et al. (2019). “Interaction Methods for Smart Glasses: A Survey.” IEEE Access.</w:t>
      </w:r>
    </w:p>
    <w:p>
      <w:pPr>
        <w:spacing w:after="100" w:line="276"/>
        <w:ind w:left="500" w:hanging="500"/>
      </w:pPr>
      <w:r>
        <w:rPr>
          <w:rFonts w:ascii="Georgia" w:cs="Georgia" w:eastAsia="Georgia" w:hAnsi="Georgia"/>
          <w:b/>
          <w:bCs/>
          <w:sz w:val="18"/>
          <w:szCs w:val="18"/>
        </w:rPr>
        <w:t xml:space="preserve">[G5] </w:t>
      </w:r>
      <w:r>
        <w:rPr>
          <w:rFonts w:ascii="Georgia" w:cs="Georgia" w:eastAsia="Georgia" w:hAnsi="Georgia"/>
          <w:sz w:val="18"/>
          <w:szCs w:val="18"/>
        </w:rPr>
        <w:t xml:space="preserve">Zheng, X.S., et al. (2015). “Eye-Wearable Technology for Machine Maintenance: Effects of Display Position.” CHI ’15. DOI: 10.1145/2702123.2702305</w:t>
      </w:r>
    </w:p>
    <w:p>
      <w:pPr>
        <w:spacing w:after="100" w:line="276"/>
        <w:ind w:left="500" w:hanging="500"/>
      </w:pPr>
      <w:r>
        <w:rPr>
          <w:rFonts w:ascii="Georgia" w:cs="Georgia" w:eastAsia="Georgia" w:hAnsi="Georgia"/>
          <w:b/>
          <w:bCs/>
          <w:sz w:val="18"/>
          <w:szCs w:val="18"/>
        </w:rPr>
        <w:t xml:space="preserve">[G6] </w:t>
      </w:r>
      <w:r>
        <w:rPr>
          <w:rFonts w:ascii="Georgia" w:cs="Georgia" w:eastAsia="Georgia" w:hAnsi="Georgia"/>
          <w:sz w:val="18"/>
          <w:szCs w:val="18"/>
        </w:rPr>
        <w:t xml:space="preserve">Grubert, J., et al. (2017). “The Cognitive Cost of Using Augmented Reality Displays.” IEEE TVCG. DOI: 10.1109/TVCG.2017.2735098</w:t>
      </w:r>
    </w:p>
    <w:p>
      <w:pPr>
        <w:spacing w:after="100" w:line="276"/>
        <w:ind w:left="500" w:hanging="500"/>
      </w:pPr>
      <w:r>
        <w:rPr>
          <w:rFonts w:ascii="Georgia" w:cs="Georgia" w:eastAsia="Georgia" w:hAnsi="Georgia"/>
          <w:b/>
          <w:bCs/>
          <w:sz w:val="18"/>
          <w:szCs w:val="18"/>
        </w:rPr>
        <w:t xml:space="preserve">[G7] </w:t>
      </w:r>
      <w:r>
        <w:rPr>
          <w:rFonts w:ascii="Georgia" w:cs="Georgia" w:eastAsia="Georgia" w:hAnsi="Georgia"/>
          <w:sz w:val="18"/>
          <w:szCs w:val="18"/>
        </w:rPr>
        <w:t xml:space="preserve">Li, Z., et al. (2025). “Cognitive load classification of mixed reality HCI tasks based on multimodal sensor signals.” Scientific Reports. DOI: 10.1038/s41598-025-98891-3</w:t>
      </w:r>
    </w:p>
    <w:p>
      <w:pPr>
        <w:spacing w:after="100" w:line="276"/>
        <w:ind w:left="500" w:hanging="500"/>
      </w:pPr>
      <w:r>
        <w:rPr>
          <w:rFonts w:ascii="Georgia" w:cs="Georgia" w:eastAsia="Georgia" w:hAnsi="Georgia"/>
          <w:b/>
          <w:bCs/>
          <w:sz w:val="18"/>
          <w:szCs w:val="18"/>
        </w:rPr>
        <w:t xml:space="preserve">[G8] </w:t>
      </w:r>
      <w:r>
        <w:rPr>
          <w:rFonts w:ascii="Georgia" w:cs="Georgia" w:eastAsia="Georgia" w:hAnsi="Georgia"/>
          <w:sz w:val="18"/>
          <w:szCs w:val="18"/>
        </w:rPr>
        <w:t xml:space="preserve">Sato, Y., et al. (2024). “Evaluation of the Relationship between Useful Field of View and Presentation Method in AR HMD.” ISWC ’24. DOI: 10.1145/3675095.3676621</w:t>
      </w:r>
    </w:p>
    <w:p>
      <w:pPr>
        <w:spacing w:after="100" w:line="276"/>
        <w:ind w:left="500" w:hanging="500"/>
      </w:pPr>
      <w:r>
        <w:rPr>
          <w:rFonts w:ascii="Georgia" w:cs="Georgia" w:eastAsia="Georgia" w:hAnsi="Georgia"/>
          <w:b/>
          <w:bCs/>
          <w:sz w:val="18"/>
          <w:szCs w:val="18"/>
        </w:rPr>
        <w:t xml:space="preserve">[G9] </w:t>
      </w:r>
      <w:r>
        <w:rPr>
          <w:rFonts w:ascii="Georgia" w:cs="Georgia" w:eastAsia="Georgia" w:hAnsi="Georgia"/>
          <w:sz w:val="18"/>
          <w:szCs w:val="18"/>
        </w:rPr>
        <w:t xml:space="preserve">Cai, R., et al. (2025). “AiGet: Transforming Everyday Moments into Hidden Knowledge Discovery with AI on Smart Glasses.” CHI ’25. DOI: 10.1145/3706598.3713953</w:t>
      </w:r>
    </w:p>
    <w:p>
      <w:pPr>
        <w:spacing w:after="100" w:line="276"/>
        <w:ind w:left="500" w:hanging="500"/>
      </w:pPr>
      <w:r>
        <w:rPr>
          <w:rFonts w:ascii="Georgia" w:cs="Georgia" w:eastAsia="Georgia" w:hAnsi="Georgia"/>
          <w:b/>
          <w:bCs/>
          <w:sz w:val="18"/>
          <w:szCs w:val="18"/>
        </w:rPr>
        <w:t xml:space="preserve">[G10] </w:t>
      </w:r>
      <w:r>
        <w:rPr>
          <w:rFonts w:ascii="Georgia" w:cs="Georgia" w:eastAsia="Georgia" w:hAnsi="Georgia"/>
          <w:sz w:val="18"/>
          <w:szCs w:val="18"/>
        </w:rPr>
        <w:t xml:space="preserve">Mahmood, A., et al. (2026). “Conversational Successes and Breakdowns in Everyday Smart Glasses Use.” CHI EA ’26. DOI: 10.1145/3772363.3798378</w:t>
      </w:r>
    </w:p>
    <w:p>
      <w:pPr>
        <w:spacing w:after="100" w:line="276"/>
        <w:ind w:left="500" w:hanging="500"/>
      </w:pPr>
      <w:r>
        <w:rPr>
          <w:rFonts w:ascii="Georgia" w:cs="Georgia" w:eastAsia="Georgia" w:hAnsi="Georgia"/>
          <w:b/>
          <w:bCs/>
          <w:sz w:val="18"/>
          <w:szCs w:val="18"/>
        </w:rPr>
        <w:t xml:space="preserve">[G11] </w:t>
      </w:r>
      <w:r>
        <w:rPr>
          <w:rFonts w:ascii="Georgia" w:cs="Georgia" w:eastAsia="Georgia" w:hAnsi="Georgia"/>
          <w:sz w:val="18"/>
          <w:szCs w:val="18"/>
        </w:rPr>
        <w:t xml:space="preserve">Chen, Z., et al. (2024). “Exploring the Design Space of Optical See-Through AR Head-Mounted Displays to Support First Responders.” CHI ’24. DOI: 10.1145/3613904.3642195</w:t>
      </w:r>
    </w:p>
    <w:p>
      <w:pPr>
        <w:spacing w:after="100" w:line="276"/>
        <w:ind w:left="500" w:hanging="500"/>
      </w:pPr>
      <w:r>
        <w:rPr>
          <w:rFonts w:ascii="Georgia" w:cs="Georgia" w:eastAsia="Georgia" w:hAnsi="Georgia"/>
          <w:b/>
          <w:bCs/>
          <w:sz w:val="18"/>
          <w:szCs w:val="18"/>
        </w:rPr>
        <w:t xml:space="preserve">[G12] </w:t>
      </w:r>
      <w:r>
        <w:rPr>
          <w:rFonts w:ascii="Georgia" w:cs="Georgia" w:eastAsia="Georgia" w:hAnsi="Georgia"/>
          <w:sz w:val="18"/>
          <w:szCs w:val="18"/>
        </w:rPr>
        <w:t xml:space="preserve">Jang, S.A., et al. (2019). “User Interactions for AR Smart Glasses: A Comparative Evaluation.” Applied Sciences, 9(15), 3171.</w:t>
      </w:r>
    </w:p>
    <w:p>
      <w:pPr>
        <w:spacing w:after="100" w:line="276"/>
        <w:ind w:left="500" w:hanging="500"/>
      </w:pPr>
      <w:r>
        <w:rPr>
          <w:rFonts w:ascii="Georgia" w:cs="Georgia" w:eastAsia="Georgia" w:hAnsi="Georgia"/>
          <w:b/>
          <w:bCs/>
          <w:sz w:val="18"/>
          <w:szCs w:val="18"/>
        </w:rPr>
        <w:t xml:space="preserve">[G13] </w:t>
      </w:r>
      <w:r>
        <w:rPr>
          <w:rFonts w:ascii="Georgia" w:cs="Georgia" w:eastAsia="Georgia" w:hAnsi="Georgia"/>
          <w:sz w:val="18"/>
          <w:szCs w:val="18"/>
        </w:rPr>
        <w:t xml:space="preserve">Arena, F., et al. (2025). “Interaction Design Strategies of AI Smart Glasses for Older Workers.” Applied Sciences, 16(6), 2768.</w:t>
      </w:r>
    </w:p>
    <w:p>
      <w:pPr>
        <w:pStyle w:val="Heading2"/>
      </w:pPr>
      <w:r>
        <w:t xml:space="preserve">Category H — AI Integration with Wearable Devices</w:t>
      </w:r>
    </w:p>
    <w:p>
      <w:pPr>
        <w:spacing w:after="100" w:line="276"/>
        <w:ind w:left="500" w:hanging="500"/>
      </w:pPr>
      <w:r>
        <w:rPr>
          <w:rFonts w:ascii="Georgia" w:cs="Georgia" w:eastAsia="Georgia" w:hAnsi="Georgia"/>
          <w:b/>
          <w:bCs/>
          <w:sz w:val="18"/>
          <w:szCs w:val="18"/>
        </w:rPr>
        <w:t xml:space="preserve">[H1] </w:t>
      </w:r>
      <w:r>
        <w:rPr>
          <w:rFonts w:ascii="Georgia" w:cs="Georgia" w:eastAsia="Georgia" w:hAnsi="Georgia"/>
          <w:sz w:val="18"/>
          <w:szCs w:val="18"/>
        </w:rPr>
        <w:t xml:space="preserve">Moosmann, J., et al. (2023). “Ultra-Efficient On-Device Object Detection on AI-Integrated Smart Glasses with TinyissimoYOLO.” arXiv:2311.01057.</w:t>
      </w:r>
    </w:p>
    <w:p>
      <w:pPr>
        <w:spacing w:after="100" w:line="276"/>
        <w:ind w:left="500" w:hanging="500"/>
      </w:pPr>
      <w:r>
        <w:rPr>
          <w:rFonts w:ascii="Georgia" w:cs="Georgia" w:eastAsia="Georgia" w:hAnsi="Georgia"/>
          <w:b/>
          <w:bCs/>
          <w:sz w:val="18"/>
          <w:szCs w:val="18"/>
        </w:rPr>
        <w:t xml:space="preserve">[H2] </w:t>
      </w:r>
      <w:r>
        <w:rPr>
          <w:rFonts w:ascii="Georgia" w:cs="Georgia" w:eastAsia="Georgia" w:hAnsi="Georgia"/>
          <w:sz w:val="18"/>
          <w:szCs w:val="18"/>
        </w:rPr>
        <w:t xml:space="preserve">Various (2023). “A-Eye: Computer vision and Deep learning based Smart-Glasses with Edge Computing.” IEEE ICECAA. DOI: 10.1109/ICECAA58104.2023.10134901</w:t>
      </w:r>
    </w:p>
    <w:p>
      <w:pPr>
        <w:spacing w:after="100" w:line="276"/>
        <w:ind w:left="500" w:hanging="500"/>
      </w:pPr>
      <w:r>
        <w:rPr>
          <w:rFonts w:ascii="Georgia" w:cs="Georgia" w:eastAsia="Georgia" w:hAnsi="Georgia"/>
          <w:b/>
          <w:bCs/>
          <w:sz w:val="18"/>
          <w:szCs w:val="18"/>
        </w:rPr>
        <w:t xml:space="preserve">[H3] </w:t>
      </w:r>
      <w:r>
        <w:rPr>
          <w:rFonts w:ascii="Georgia" w:cs="Georgia" w:eastAsia="Georgia" w:hAnsi="Georgia"/>
          <w:sz w:val="18"/>
          <w:szCs w:val="18"/>
        </w:rPr>
        <w:t xml:space="preserve">Zhang, Y., et al. (2025). “Integrating AI-powered smart glasses into digital health management.” npj Digital Medicine. DOI: 10.1038/s41746-025-01715-x</w:t>
      </w:r>
    </w:p>
    <w:p>
      <w:pPr>
        <w:spacing w:after="100" w:line="276"/>
        <w:ind w:left="500" w:hanging="500"/>
      </w:pPr>
      <w:r>
        <w:rPr>
          <w:rFonts w:ascii="Georgia" w:cs="Georgia" w:eastAsia="Georgia" w:hAnsi="Georgia"/>
          <w:b/>
          <w:bCs/>
          <w:sz w:val="18"/>
          <w:szCs w:val="18"/>
        </w:rPr>
        <w:t xml:space="preserve">[H4] </w:t>
      </w:r>
      <w:r>
        <w:rPr>
          <w:rFonts w:ascii="Georgia" w:cs="Georgia" w:eastAsia="Georgia" w:hAnsi="Georgia"/>
          <w:sz w:val="18"/>
          <w:szCs w:val="18"/>
        </w:rPr>
        <w:t xml:space="preserve">Meta Reality Labs (2024). “Edge AI Architecture for Wearable Smart Glasses with Real-Time Multimodal Processing.” Production case study.</w:t>
      </w:r>
    </w:p>
    <w:p>
      <w:pPr>
        <w:spacing w:after="100" w:line="276"/>
        <w:ind w:left="500" w:hanging="500"/>
      </w:pPr>
      <w:r>
        <w:rPr>
          <w:rFonts w:ascii="Georgia" w:cs="Georgia" w:eastAsia="Georgia" w:hAnsi="Georgia"/>
          <w:b/>
          <w:bCs/>
          <w:sz w:val="18"/>
          <w:szCs w:val="18"/>
        </w:rPr>
        <w:t xml:space="preserve">[H5] </w:t>
      </w:r>
      <w:r>
        <w:rPr>
          <w:rFonts w:ascii="Georgia" w:cs="Georgia" w:eastAsia="Georgia" w:hAnsi="Georgia"/>
          <w:sz w:val="18"/>
          <w:szCs w:val="18"/>
        </w:rPr>
        <w:t xml:space="preserve">Nahavandi, D., et al. (2022). “Application of artificial intelligence in wearable devices.” Computer Methods and Programs in Biomedicine, 213, 106541.</w:t>
      </w:r>
    </w:p>
    <w:p>
      <w:pPr>
        <w:spacing w:after="100" w:line="276"/>
        <w:ind w:left="500" w:hanging="500"/>
      </w:pPr>
      <w:r>
        <w:rPr>
          <w:rFonts w:ascii="Georgia" w:cs="Georgia" w:eastAsia="Georgia" w:hAnsi="Georgia"/>
          <w:b/>
          <w:bCs/>
          <w:sz w:val="18"/>
          <w:szCs w:val="18"/>
        </w:rPr>
        <w:t xml:space="preserve">[H6] </w:t>
      </w:r>
      <w:r>
        <w:rPr>
          <w:rFonts w:ascii="Georgia" w:cs="Georgia" w:eastAsia="Georgia" w:hAnsi="Georgia"/>
          <w:sz w:val="18"/>
          <w:szCs w:val="18"/>
        </w:rPr>
        <w:t xml:space="preserve">Chen, Y., et al. (2025). “Generative AI at the Edge: Challenges and Opportunities.” ACM Queue.</w:t>
      </w:r>
    </w:p>
    <w:p>
      <w:pPr>
        <w:spacing w:after="100" w:line="276"/>
        <w:ind w:left="500" w:hanging="500"/>
      </w:pPr>
      <w:r>
        <w:rPr>
          <w:rFonts w:ascii="Georgia" w:cs="Georgia" w:eastAsia="Georgia" w:hAnsi="Georgia"/>
          <w:b/>
          <w:bCs/>
          <w:sz w:val="18"/>
          <w:szCs w:val="18"/>
        </w:rPr>
        <w:t xml:space="preserve">[H7] </w:t>
      </w:r>
      <w:r>
        <w:rPr>
          <w:rFonts w:ascii="Georgia" w:cs="Georgia" w:eastAsia="Georgia" w:hAnsi="Georgia"/>
          <w:sz w:val="18"/>
          <w:szCs w:val="18"/>
        </w:rPr>
        <w:t xml:space="preserve">Various (2024). “AI-based Wearable Vision Assistance System for the Visually Impaired.” arXiv:2412.20059.</w:t>
      </w:r>
    </w:p>
    <w:p>
      <w:pPr>
        <w:spacing w:after="100" w:line="276"/>
        <w:ind w:left="500" w:hanging="500"/>
      </w:pPr>
      <w:r>
        <w:rPr>
          <w:rFonts w:ascii="Georgia" w:cs="Georgia" w:eastAsia="Georgia" w:hAnsi="Georgia"/>
          <w:b/>
          <w:bCs/>
          <w:sz w:val="18"/>
          <w:szCs w:val="18"/>
        </w:rPr>
        <w:t xml:space="preserve">[H8] </w:t>
      </w:r>
      <w:r>
        <w:rPr>
          <w:rFonts w:ascii="Georgia" w:cs="Georgia" w:eastAsia="Georgia" w:hAnsi="Georgia"/>
          <w:sz w:val="18"/>
          <w:szCs w:val="18"/>
        </w:rPr>
        <w:t xml:space="preserve">Various (2025). “An Edge AI-Enabled Assistive Device for the Visually Impaired.” ResearchGate.</w:t>
      </w:r>
    </w:p>
    <w:p>
      <w:pPr>
        <w:spacing w:after="100" w:line="276"/>
        <w:ind w:left="500" w:hanging="500"/>
      </w:pPr>
      <w:r>
        <w:rPr>
          <w:rFonts w:ascii="Georgia" w:cs="Georgia" w:eastAsia="Georgia" w:hAnsi="Georgia"/>
          <w:b/>
          <w:bCs/>
          <w:sz w:val="18"/>
          <w:szCs w:val="18"/>
        </w:rPr>
        <w:t xml:space="preserve">[H9] </w:t>
      </w:r>
      <w:r>
        <w:rPr>
          <w:rFonts w:ascii="Georgia" w:cs="Georgia" w:eastAsia="Georgia" w:hAnsi="Georgia"/>
          <w:sz w:val="18"/>
          <w:szCs w:val="18"/>
        </w:rPr>
        <w:t xml:space="preserve">Zhang, L., et al. (2023). “Privacy-aware Human Activity Recognition with Smart Glasses.” UbiComp/ISWC ’23 Adjunct. DOI: 10.1145/3594739.3611323</w:t>
      </w:r>
    </w:p>
    <w:p>
      <w:pPr>
        <w:spacing w:after="100" w:line="276"/>
        <w:ind w:left="500" w:hanging="500"/>
      </w:pPr>
      <w:r>
        <w:rPr>
          <w:rFonts w:ascii="Georgia" w:cs="Georgia" w:eastAsia="Georgia" w:hAnsi="Georgia"/>
          <w:b/>
          <w:bCs/>
          <w:sz w:val="18"/>
          <w:szCs w:val="18"/>
        </w:rPr>
        <w:t xml:space="preserve">[H10] </w:t>
      </w:r>
      <w:r>
        <w:rPr>
          <w:rFonts w:ascii="Georgia" w:cs="Georgia" w:eastAsia="Georgia" w:hAnsi="Georgia"/>
          <w:sz w:val="18"/>
          <w:szCs w:val="18"/>
        </w:rPr>
        <w:t xml:space="preserve">Xu, Z., et al. (2024). “Intelligent Wearable Systems: Opportunities and Challenges in Health and Sports.” ACM Computing Surveys.</w:t>
      </w:r>
    </w:p>
    <w:p>
      <w:pPr>
        <w:spacing w:after="100" w:line="276"/>
        <w:ind w:left="500" w:hanging="500"/>
      </w:pPr>
      <w:r>
        <w:rPr>
          <w:rFonts w:ascii="Georgia" w:cs="Georgia" w:eastAsia="Georgia" w:hAnsi="Georgia"/>
          <w:b/>
          <w:bCs/>
          <w:sz w:val="18"/>
          <w:szCs w:val="18"/>
        </w:rPr>
        <w:t xml:space="preserve">[H11] </w:t>
      </w:r>
      <w:r>
        <w:rPr>
          <w:rFonts w:ascii="Georgia" w:cs="Georgia" w:eastAsia="Georgia" w:hAnsi="Georgia"/>
          <w:sz w:val="18"/>
          <w:szCs w:val="18"/>
        </w:rPr>
        <w:t xml:space="preserve">Koulieris, G.A., et al. (2019). “Near-Eye Display and Tracking Technologies for Virtual and Augmented Reality.” Computer Graphics Forum, 38(2), 493–519.</w:t>
      </w:r>
    </w:p>
    <w:p>
      <w:pPr>
        <w:pStyle w:val="Heading2"/>
      </w:pPr>
      <w:r>
        <w:t xml:space="preserve">Category I — Market Analysis and Adoption</w:t>
      </w:r>
    </w:p>
    <w:p>
      <w:pPr>
        <w:spacing w:after="100" w:line="276"/>
        <w:ind w:left="500" w:hanging="500"/>
      </w:pPr>
      <w:r>
        <w:rPr>
          <w:rFonts w:ascii="Georgia" w:cs="Georgia" w:eastAsia="Georgia" w:hAnsi="Georgia"/>
          <w:b/>
          <w:bCs/>
          <w:sz w:val="18"/>
          <w:szCs w:val="18"/>
        </w:rPr>
        <w:t xml:space="preserve">[I1] </w:t>
      </w:r>
      <w:r>
        <w:rPr>
          <w:rFonts w:ascii="Georgia" w:cs="Georgia" w:eastAsia="Georgia" w:hAnsi="Georgia"/>
          <w:sz w:val="18"/>
          <w:szCs w:val="18"/>
        </w:rPr>
        <w:t xml:space="preserve">Counterpoint Research (2025). “Global Smart Glasses Shipments Soared 210% YoY in 2024.”</w:t>
      </w:r>
    </w:p>
    <w:p>
      <w:pPr>
        <w:spacing w:after="100" w:line="276"/>
        <w:ind w:left="500" w:hanging="500"/>
      </w:pPr>
      <w:r>
        <w:rPr>
          <w:rFonts w:ascii="Georgia" w:cs="Georgia" w:eastAsia="Georgia" w:hAnsi="Georgia"/>
          <w:b/>
          <w:bCs/>
          <w:sz w:val="18"/>
          <w:szCs w:val="18"/>
        </w:rPr>
        <w:t xml:space="preserve">[I2] </w:t>
      </w:r>
      <w:r>
        <w:rPr>
          <w:rFonts w:ascii="Georgia" w:cs="Georgia" w:eastAsia="Georgia" w:hAnsi="Georgia"/>
          <w:sz w:val="18"/>
          <w:szCs w:val="18"/>
        </w:rPr>
        <w:t xml:space="preserve">Counterpoint Research (2025). “Global Smart Glasses Shipments Soared 110% YoY in H1 2025.”</w:t>
      </w:r>
    </w:p>
    <w:p>
      <w:pPr>
        <w:spacing w:after="100" w:line="276"/>
        <w:ind w:left="500" w:hanging="500"/>
      </w:pPr>
      <w:r>
        <w:rPr>
          <w:rFonts w:ascii="Georgia" w:cs="Georgia" w:eastAsia="Georgia" w:hAnsi="Georgia"/>
          <w:b/>
          <w:bCs/>
          <w:sz w:val="18"/>
          <w:szCs w:val="18"/>
        </w:rPr>
        <w:t xml:space="preserve">[I3] </w:t>
      </w:r>
      <w:r>
        <w:rPr>
          <w:rFonts w:ascii="Georgia" w:cs="Georgia" w:eastAsia="Georgia" w:hAnsi="Georgia"/>
          <w:sz w:val="18"/>
          <w:szCs w:val="18"/>
        </w:rPr>
        <w:t xml:space="preserve">IDC (2025). “From Gaming to Gaining: AR/VR Headsets and Smart Glasses Go Mainstream.”</w:t>
      </w:r>
    </w:p>
    <w:p>
      <w:pPr>
        <w:spacing w:after="100" w:line="276"/>
        <w:ind w:left="500" w:hanging="500"/>
      </w:pPr>
      <w:r>
        <w:rPr>
          <w:rFonts w:ascii="Georgia" w:cs="Georgia" w:eastAsia="Georgia" w:hAnsi="Georgia"/>
          <w:b/>
          <w:bCs/>
          <w:sz w:val="18"/>
          <w:szCs w:val="18"/>
        </w:rPr>
        <w:t xml:space="preserve">[I4] </w:t>
      </w:r>
      <w:r>
        <w:rPr>
          <w:rFonts w:ascii="Georgia" w:cs="Georgia" w:eastAsia="Georgia" w:hAnsi="Georgia"/>
          <w:sz w:val="18"/>
          <w:szCs w:val="18"/>
        </w:rPr>
        <w:t xml:space="preserve">IDC (2026). “XR Market Expands 44.4% in 2025.”</w:t>
      </w:r>
    </w:p>
    <w:p>
      <w:pPr>
        <w:spacing w:after="100" w:line="276"/>
        <w:ind w:left="500" w:hanging="500"/>
      </w:pPr>
      <w:r>
        <w:rPr>
          <w:rFonts w:ascii="Georgia" w:cs="Georgia" w:eastAsia="Georgia" w:hAnsi="Georgia"/>
          <w:b/>
          <w:bCs/>
          <w:sz w:val="18"/>
          <w:szCs w:val="18"/>
        </w:rPr>
        <w:t xml:space="preserve">[I5] </w:t>
      </w:r>
      <w:r>
        <w:rPr>
          <w:rFonts w:ascii="Georgia" w:cs="Georgia" w:eastAsia="Georgia" w:hAnsi="Georgia"/>
          <w:sz w:val="18"/>
          <w:szCs w:val="18"/>
        </w:rPr>
        <w:t xml:space="preserve">Grand View Research (2025). “Smart Glasses Market Size, 2033.”</w:t>
      </w:r>
    </w:p>
    <w:p>
      <w:pPr>
        <w:spacing w:after="100" w:line="276"/>
        <w:ind w:left="500" w:hanging="500"/>
      </w:pPr>
      <w:r>
        <w:rPr>
          <w:rFonts w:ascii="Georgia" w:cs="Georgia" w:eastAsia="Georgia" w:hAnsi="Georgia"/>
          <w:b/>
          <w:bCs/>
          <w:sz w:val="18"/>
          <w:szCs w:val="18"/>
        </w:rPr>
        <w:t xml:space="preserve">[I6] </w:t>
      </w:r>
      <w:r>
        <w:rPr>
          <w:rFonts w:ascii="Georgia" w:cs="Georgia" w:eastAsia="Georgia" w:hAnsi="Georgia"/>
          <w:sz w:val="18"/>
          <w:szCs w:val="18"/>
        </w:rPr>
        <w:t xml:space="preserve">Technavio (2025). “Smart Glasses Market Growth 2025–2029.”</w:t>
      </w:r>
    </w:p>
    <w:p>
      <w:pPr>
        <w:spacing w:after="100" w:line="276"/>
        <w:ind w:left="500" w:hanging="500"/>
      </w:pPr>
      <w:r>
        <w:rPr>
          <w:rFonts w:ascii="Georgia" w:cs="Georgia" w:eastAsia="Georgia" w:hAnsi="Georgia"/>
          <w:b/>
          <w:bCs/>
          <w:sz w:val="18"/>
          <w:szCs w:val="18"/>
        </w:rPr>
        <w:t xml:space="preserve">[I7] </w:t>
      </w:r>
      <w:r>
        <w:rPr>
          <w:rFonts w:ascii="Georgia" w:cs="Georgia" w:eastAsia="Georgia" w:hAnsi="Georgia"/>
          <w:sz w:val="18"/>
          <w:szCs w:val="18"/>
        </w:rPr>
        <w:t xml:space="preserve">Rauschnabel, P.A., et al. (2015). “Who Will Buy Smart Glasses?” Computers in Human Behavior, 49, 635–647.</w:t>
      </w:r>
    </w:p>
    <w:p>
      <w:pPr>
        <w:spacing w:after="100" w:line="276"/>
        <w:ind w:left="500" w:hanging="500"/>
      </w:pPr>
      <w:r>
        <w:rPr>
          <w:rFonts w:ascii="Georgia" w:cs="Georgia" w:eastAsia="Georgia" w:hAnsi="Georgia"/>
          <w:b/>
          <w:bCs/>
          <w:sz w:val="18"/>
          <w:szCs w:val="18"/>
        </w:rPr>
        <w:t xml:space="preserve">[I8] </w:t>
      </w:r>
      <w:r>
        <w:rPr>
          <w:rFonts w:ascii="Georgia" w:cs="Georgia" w:eastAsia="Georgia" w:hAnsi="Georgia"/>
          <w:sz w:val="18"/>
          <w:szCs w:val="18"/>
        </w:rPr>
        <w:t xml:space="preserve">Rauschnabel, P.A. &amp; Ro, Y.K. (2016). “Augmented reality smart glasses: investigation of technology acceptance drivers.” International Journal of Technology Marketing, 11(2).</w:t>
      </w:r>
    </w:p>
    <w:p>
      <w:pPr>
        <w:spacing w:after="100" w:line="276"/>
        <w:ind w:left="500" w:hanging="500"/>
      </w:pPr>
      <w:r>
        <w:rPr>
          <w:rFonts w:ascii="Georgia" w:cs="Georgia" w:eastAsia="Georgia" w:hAnsi="Georgia"/>
          <w:b/>
          <w:bCs/>
          <w:sz w:val="18"/>
          <w:szCs w:val="18"/>
        </w:rPr>
        <w:t xml:space="preserve">[I9] </w:t>
      </w:r>
      <w:r>
        <w:rPr>
          <w:rFonts w:ascii="Georgia" w:cs="Georgia" w:eastAsia="Georgia" w:hAnsi="Georgia"/>
          <w:sz w:val="18"/>
          <w:szCs w:val="18"/>
        </w:rPr>
        <w:t xml:space="preserve">Kalantari, M. &amp; Rauschnabel, P.A. (2023). “Augmented reality smart glasses use and acceptance: A literature review.” International Journal of Information Management Data Insights.</w:t>
      </w:r>
    </w:p>
    <w:p>
      <w:pPr>
        <w:spacing w:after="100" w:line="276"/>
        <w:ind w:left="500" w:hanging="500"/>
      </w:pPr>
      <w:r>
        <w:rPr>
          <w:rFonts w:ascii="Georgia" w:cs="Georgia" w:eastAsia="Georgia" w:hAnsi="Georgia"/>
          <w:b/>
          <w:bCs/>
          <w:sz w:val="18"/>
          <w:szCs w:val="18"/>
        </w:rPr>
        <w:t xml:space="preserve">[I10] </w:t>
      </w:r>
      <w:r>
        <w:rPr>
          <w:rFonts w:ascii="Georgia" w:cs="Georgia" w:eastAsia="Georgia" w:hAnsi="Georgia"/>
          <w:sz w:val="18"/>
          <w:szCs w:val="18"/>
        </w:rPr>
        <w:t xml:space="preserve">Zuidhof, N., et al. (2022). “Perspectives on Acceptance and Social Implications of Smart Glasses in Healthcare.” International Journal of Human-Computer Interaction.</w:t>
      </w:r>
    </w:p>
    <w:p>
      <w:pPr>
        <w:spacing w:after="100" w:line="276"/>
        <w:ind w:left="500" w:hanging="500"/>
      </w:pPr>
      <w:r>
        <w:rPr>
          <w:rFonts w:ascii="Georgia" w:cs="Georgia" w:eastAsia="Georgia" w:hAnsi="Georgia"/>
          <w:b/>
          <w:bCs/>
          <w:sz w:val="18"/>
          <w:szCs w:val="18"/>
        </w:rPr>
        <w:t xml:space="preserve">[I11] </w:t>
      </w:r>
      <w:r>
        <w:rPr>
          <w:rFonts w:ascii="Georgia" w:cs="Georgia" w:eastAsia="Georgia" w:hAnsi="Georgia"/>
          <w:sz w:val="18"/>
          <w:szCs w:val="18"/>
        </w:rPr>
        <w:t xml:space="preserve">Zuidhof, N., et al. (2025). “Social Acceptance of Smart Glasses in Health Care: Model Evaluation Study.” JMIR Formative Research, 9, e49610.</w:t>
      </w:r>
    </w:p>
    <w:p>
      <w:pPr>
        <w:spacing w:after="100" w:line="276"/>
        <w:ind w:left="500" w:hanging="500"/>
      </w:pPr>
      <w:r>
        <w:rPr>
          <w:rFonts w:ascii="Georgia" w:cs="Georgia" w:eastAsia="Georgia" w:hAnsi="Georgia"/>
          <w:b/>
          <w:bCs/>
          <w:sz w:val="18"/>
          <w:szCs w:val="18"/>
        </w:rPr>
        <w:t xml:space="preserve">[I12] </w:t>
      </w:r>
      <w:r>
        <w:rPr>
          <w:rFonts w:ascii="Georgia" w:cs="Georgia" w:eastAsia="Georgia" w:hAnsi="Georgia"/>
          <w:sz w:val="18"/>
          <w:szCs w:val="18"/>
        </w:rPr>
        <w:t xml:space="preserve">McNaney, R., et al. (2014). “Exploring the Acceptability of Google Glass as an Assistive Device for Parkinson’s Disease.” CHI ’14.</w:t>
      </w:r>
    </w:p>
    <w:p>
      <w:pPr>
        <w:spacing w:after="100" w:line="276"/>
        <w:ind w:left="500" w:hanging="500"/>
      </w:pPr>
      <w:r>
        <w:rPr>
          <w:rFonts w:ascii="Georgia" w:cs="Georgia" w:eastAsia="Georgia" w:hAnsi="Georgia"/>
          <w:b/>
          <w:bCs/>
          <w:sz w:val="18"/>
          <w:szCs w:val="18"/>
        </w:rPr>
        <w:t xml:space="preserve">[I13] </w:t>
      </w:r>
      <w:r>
        <w:rPr>
          <w:rFonts w:ascii="Georgia" w:cs="Georgia" w:eastAsia="Georgia" w:hAnsi="Georgia"/>
          <w:sz w:val="18"/>
          <w:szCs w:val="18"/>
        </w:rPr>
        <w:t xml:space="preserve">Various (2025). “The Rise of Smart Glasses.” Communications of the ACM.</w:t>
      </w:r>
    </w:p>
    <w:p>
      <w:pPr>
        <w:pStyle w:val="Heading2"/>
      </w:pPr>
      <w:r>
        <w:t xml:space="preserve">Verified July 2026 Primary Sources (Market, Frameworks, Local Pipeline)</w:t>
      </w:r>
    </w:p>
    <w:p>
      <w:pPr>
        <w:spacing w:after="100" w:line="276"/>
        <w:ind w:left="500" w:hanging="500"/>
      </w:pPr>
      <w:r>
        <w:rPr>
          <w:rFonts w:ascii="Georgia" w:cs="Georgia" w:eastAsia="Georgia" w:hAnsi="Georgia"/>
          <w:b/>
          <w:bCs/>
          <w:sz w:val="18"/>
          <w:szCs w:val="18"/>
        </w:rPr>
        <w:t xml:space="preserve">[6.1] </w:t>
      </w:r>
      <w:r>
        <w:rPr>
          <w:rFonts w:ascii="Georgia" w:cs="Georgia" w:eastAsia="Georgia" w:hAnsi="Georgia"/>
          <w:sz w:val="18"/>
          <w:szCs w:val="18"/>
        </w:rPr>
        <w:t xml:space="preserve">Ray-Ban / Meta (2026). Ray-Ban Meta AI Glasses product pages (Wayfarer RW4012, Headliner, Skyler); Tom’s Guide (2026), Ray-Ban Meta Gen 2 review confirming ~$459 Transitions configuration. Retrieved July 2026.</w:t>
      </w:r>
    </w:p>
    <w:p>
      <w:pPr>
        <w:spacing w:after="100" w:line="276"/>
        <w:ind w:left="500" w:hanging="500"/>
      </w:pPr>
      <w:r>
        <w:rPr>
          <w:rFonts w:ascii="Georgia" w:cs="Georgia" w:eastAsia="Georgia" w:hAnsi="Georgia"/>
          <w:b/>
          <w:bCs/>
          <w:sz w:val="18"/>
          <w:szCs w:val="18"/>
        </w:rPr>
        <w:t xml:space="preserve">[6.2] </w:t>
      </w:r>
      <w:r>
        <w:rPr>
          <w:rFonts w:ascii="Georgia" w:cs="Georgia" w:eastAsia="Georgia" w:hAnsi="Georgia"/>
          <w:sz w:val="18"/>
          <w:szCs w:val="18"/>
        </w:rPr>
        <w:t xml:space="preserve">Meta / About FB Newsroom (June 23, 2026). “Meta Glasses” own-brand line launch (Adventurer, Fury, Kylie “Starfire”); TechCrunch and PetaPixel coverage. Retrieved July 2026.</w:t>
      </w:r>
    </w:p>
    <w:p>
      <w:pPr>
        <w:spacing w:after="100" w:line="276"/>
        <w:ind w:left="500" w:hanging="500"/>
      </w:pPr>
      <w:r>
        <w:rPr>
          <w:rFonts w:ascii="Georgia" w:cs="Georgia" w:eastAsia="Georgia" w:hAnsi="Georgia"/>
          <w:b/>
          <w:bCs/>
          <w:sz w:val="18"/>
          <w:szCs w:val="18"/>
        </w:rPr>
        <w:t xml:space="preserve">[6.3] </w:t>
      </w:r>
      <w:r>
        <w:rPr>
          <w:rFonts w:ascii="Georgia" w:cs="Georgia" w:eastAsia="Georgia" w:hAnsi="Georgia"/>
          <w:sz w:val="18"/>
          <w:szCs w:val="18"/>
        </w:rPr>
        <w:t xml:space="preserve">Meta Store / Ray-Ban.com (2025–2026). Meta Ray-Ban Display and Neural Band; UploadVR review; VRcompare specifications. Retrieved July 2026.</w:t>
      </w:r>
    </w:p>
    <w:p>
      <w:pPr>
        <w:spacing w:after="100" w:line="276"/>
        <w:ind w:left="500" w:hanging="500"/>
      </w:pPr>
      <w:r>
        <w:rPr>
          <w:rFonts w:ascii="Georgia" w:cs="Georgia" w:eastAsia="Georgia" w:hAnsi="Georgia"/>
          <w:b/>
          <w:bCs/>
          <w:sz w:val="18"/>
          <w:szCs w:val="18"/>
        </w:rPr>
        <w:t xml:space="preserve">[6.4] </w:t>
      </w:r>
      <w:r>
        <w:rPr>
          <w:rFonts w:ascii="Georgia" w:cs="Georgia" w:eastAsia="Georgia" w:hAnsi="Georgia"/>
          <w:sz w:val="18"/>
          <w:szCs w:val="18"/>
        </w:rPr>
        <w:t xml:space="preserve">Meta / TechCrunch (March 31, 2026). Ray-Ban Meta Blayzer Optics and Scriber Optics for prescription wearers. Retrieved July 2026.</w:t>
      </w:r>
    </w:p>
    <w:p>
      <w:pPr>
        <w:spacing w:after="100" w:line="276"/>
        <w:ind w:left="500" w:hanging="500"/>
      </w:pPr>
      <w:r>
        <w:rPr>
          <w:rFonts w:ascii="Georgia" w:cs="Georgia" w:eastAsia="Georgia" w:hAnsi="Georgia"/>
          <w:b/>
          <w:bCs/>
          <w:sz w:val="18"/>
          <w:szCs w:val="18"/>
        </w:rPr>
        <w:t xml:space="preserve">[6.5] </w:t>
      </w:r>
      <w:r>
        <w:rPr>
          <w:rFonts w:ascii="Georgia" w:cs="Georgia" w:eastAsia="Georgia" w:hAnsi="Georgia"/>
          <w:sz w:val="18"/>
          <w:szCs w:val="18"/>
        </w:rPr>
        <w:t xml:space="preserve">Gagadget / Android Central / VR-AR Association (2026). Google and Samsung Android XR glasses confirmed for autumn 2026; Google I/O May 2026 preview. Retrieved July 2026.</w:t>
      </w:r>
    </w:p>
    <w:p>
      <w:pPr>
        <w:spacing w:after="100" w:line="276"/>
        <w:ind w:left="500" w:hanging="500"/>
      </w:pPr>
      <w:r>
        <w:rPr>
          <w:rFonts w:ascii="Georgia" w:cs="Georgia" w:eastAsia="Georgia" w:hAnsi="Georgia"/>
          <w:b/>
          <w:bCs/>
          <w:sz w:val="18"/>
          <w:szCs w:val="18"/>
        </w:rPr>
        <w:t xml:space="preserve">[6.6] </w:t>
      </w:r>
      <w:r>
        <w:rPr>
          <w:rFonts w:ascii="Georgia" w:cs="Georgia" w:eastAsia="Georgia" w:hAnsi="Georgia"/>
          <w:sz w:val="18"/>
          <w:szCs w:val="18"/>
        </w:rPr>
        <w:t xml:space="preserve">Smartprix / Bloomberg (Gurman) (May 31, 2026). Apple N50 AI glasses delayed to late 2027; “Vision Air” to 2028–2029. Retrieved July 2026.</w:t>
      </w:r>
    </w:p>
    <w:p>
      <w:pPr>
        <w:spacing w:after="100" w:line="276"/>
        <w:ind w:left="500" w:hanging="500"/>
      </w:pPr>
      <w:r>
        <w:rPr>
          <w:rFonts w:ascii="Georgia" w:cs="Georgia" w:eastAsia="Georgia" w:hAnsi="Georgia"/>
          <w:b/>
          <w:bCs/>
          <w:sz w:val="18"/>
          <w:szCs w:val="18"/>
        </w:rPr>
        <w:t xml:space="preserve">[6.7] </w:t>
      </w:r>
      <w:r>
        <w:rPr>
          <w:rFonts w:ascii="Georgia" w:cs="Georgia" w:eastAsia="Georgia" w:hAnsi="Georgia"/>
          <w:sz w:val="18"/>
          <w:szCs w:val="18"/>
        </w:rPr>
        <w:t xml:space="preserve">Yahoo Finance / PR Newswire / Wareable / Tom’s Guide (2026). Rokid Glasses Style global launch, specifications and review. Retrieved July 2026.</w:t>
      </w:r>
    </w:p>
    <w:p>
      <w:pPr>
        <w:spacing w:after="100" w:line="276"/>
        <w:ind w:left="500" w:hanging="500"/>
      </w:pPr>
      <w:r>
        <w:rPr>
          <w:rFonts w:ascii="Georgia" w:cs="Georgia" w:eastAsia="Georgia" w:hAnsi="Georgia"/>
          <w:b/>
          <w:bCs/>
          <w:sz w:val="18"/>
          <w:szCs w:val="18"/>
        </w:rPr>
        <w:t xml:space="preserve">[6.8] </w:t>
      </w:r>
      <w:r>
        <w:rPr>
          <w:rFonts w:ascii="Georgia" w:cs="Georgia" w:eastAsia="Georgia" w:hAnsi="Georgia"/>
          <w:sz w:val="18"/>
          <w:szCs w:val="18"/>
        </w:rPr>
        <w:t xml:space="preserve">Meta Wearables Developer Center (2025–2026). Device Access Toolkit documentation, developer preview v0.4.0. Retrieved July 2026.</w:t>
      </w:r>
    </w:p>
    <w:p>
      <w:pPr>
        <w:spacing w:after="100" w:line="276"/>
        <w:ind w:left="500" w:hanging="500"/>
      </w:pPr>
      <w:r>
        <w:rPr>
          <w:rFonts w:ascii="Georgia" w:cs="Georgia" w:eastAsia="Georgia" w:hAnsi="Georgia"/>
          <w:b/>
          <w:bCs/>
          <w:sz w:val="18"/>
          <w:szCs w:val="18"/>
        </w:rPr>
        <w:t xml:space="preserve">[6.9] </w:t>
      </w:r>
      <w:r>
        <w:rPr>
          <w:rFonts w:ascii="Georgia" w:cs="Georgia" w:eastAsia="Georgia" w:hAnsi="Georgia"/>
          <w:sz w:val="18"/>
          <w:szCs w:val="18"/>
        </w:rPr>
        <w:t xml:space="preserve">Viture (April 27, 2026). Viture Beast product page and specifications; Tom’s Guide, PCMag, and IGN reviews. Retrieved July 2026.</w:t>
      </w:r>
    </w:p>
    <w:p>
      <w:pPr>
        <w:spacing w:after="100" w:line="276"/>
        <w:ind w:left="500" w:hanging="500"/>
      </w:pPr>
      <w:r>
        <w:rPr>
          <w:rFonts w:ascii="Georgia" w:cs="Georgia" w:eastAsia="Georgia" w:hAnsi="Georgia"/>
          <w:b/>
          <w:bCs/>
          <w:sz w:val="18"/>
          <w:szCs w:val="18"/>
        </w:rPr>
        <w:t xml:space="preserve">[6.10] </w:t>
      </w:r>
      <w:r>
        <w:rPr>
          <w:rFonts w:ascii="Georgia" w:cs="Georgia" w:eastAsia="Georgia" w:hAnsi="Georgia"/>
          <w:sz w:val="18"/>
          <w:szCs w:val="18"/>
        </w:rPr>
        <w:t xml:space="preserve">Even Realities (2026). Even G2 product page and specifications; Tom’s Guide review. Retrieved July 2026.</w:t>
      </w:r>
    </w:p>
    <w:p>
      <w:pPr>
        <w:spacing w:after="100" w:line="276"/>
        <w:ind w:left="500" w:hanging="500"/>
      </w:pPr>
      <w:r>
        <w:rPr>
          <w:rFonts w:ascii="Georgia" w:cs="Georgia" w:eastAsia="Georgia" w:hAnsi="Georgia"/>
          <w:b/>
          <w:bCs/>
          <w:sz w:val="18"/>
          <w:szCs w:val="18"/>
        </w:rPr>
        <w:t xml:space="preserve">[6.11] </w:t>
      </w:r>
      <w:r>
        <w:rPr>
          <w:rFonts w:ascii="Georgia" w:cs="Georgia" w:eastAsia="Georgia" w:hAnsi="Georgia"/>
          <w:sz w:val="18"/>
          <w:szCs w:val="18"/>
        </w:rPr>
        <w:t xml:space="preserve">Xreal (2026). Xreal One Pro and ROG Xreal R1 product information; price adjustment April 2026. Retrieved July 2026.</w:t>
      </w:r>
    </w:p>
    <w:p>
      <w:pPr>
        <w:spacing w:after="100" w:line="276"/>
        <w:ind w:left="500" w:hanging="500"/>
      </w:pPr>
      <w:r>
        <w:rPr>
          <w:rFonts w:ascii="Georgia" w:cs="Georgia" w:eastAsia="Georgia" w:hAnsi="Georgia"/>
          <w:b/>
          <w:bCs/>
          <w:sz w:val="18"/>
          <w:szCs w:val="18"/>
        </w:rPr>
        <w:t xml:space="preserve">[6.12] </w:t>
      </w:r>
      <w:r>
        <w:rPr>
          <w:rFonts w:ascii="Georgia" w:cs="Georgia" w:eastAsia="Georgia" w:hAnsi="Georgia"/>
          <w:sz w:val="18"/>
          <w:szCs w:val="18"/>
        </w:rPr>
        <w:t xml:space="preserve">UploadVR / 9to5Google (2026). Meta third-generation (“Aperol”/“Bellini”) leaks and Meta Connect Sept 23–24, 2026 expectations; FCC-filing misattribution correction. [Leak-based reporting; treated as unconfirmed.] Retrieved July 2026.</w:t>
      </w:r>
    </w:p>
    <w:p>
      <w:pPr>
        <w:spacing w:after="100" w:line="276"/>
        <w:ind w:left="500" w:hanging="500"/>
      </w:pPr>
      <w:r>
        <w:rPr>
          <w:rFonts w:ascii="Georgia" w:cs="Georgia" w:eastAsia="Georgia" w:hAnsi="Georgia"/>
          <w:b/>
          <w:bCs/>
          <w:sz w:val="18"/>
          <w:szCs w:val="18"/>
        </w:rPr>
        <w:t xml:space="preserve">[7.1] </w:t>
      </w:r>
      <w:r>
        <w:rPr>
          <w:rFonts w:ascii="Georgia" w:cs="Georgia" w:eastAsia="Georgia" w:hAnsi="Georgia"/>
          <w:sz w:val="18"/>
          <w:szCs w:val="18"/>
        </w:rPr>
        <w:t xml:space="preserve">Wikipedia / AI Engineer Summit (2026). OpenClaw project overview and star-count trajectory (~30k April 2026; ~250k–355k Feb–July 2026). Retrieved July 2026.</w:t>
      </w:r>
    </w:p>
    <w:p>
      <w:pPr>
        <w:spacing w:after="100" w:line="276"/>
        <w:ind w:left="500" w:hanging="500"/>
      </w:pPr>
      <w:r>
        <w:rPr>
          <w:rFonts w:ascii="Georgia" w:cs="Georgia" w:eastAsia="Georgia" w:hAnsi="Georgia"/>
          <w:b/>
          <w:bCs/>
          <w:sz w:val="18"/>
          <w:szCs w:val="18"/>
        </w:rPr>
        <w:t xml:space="preserve">[7.2] </w:t>
      </w:r>
      <w:r>
        <w:rPr>
          <w:rFonts w:ascii="Georgia" w:cs="Georgia" w:eastAsia="Georgia" w:hAnsi="Georgia"/>
          <w:sz w:val="18"/>
          <w:szCs w:val="18"/>
        </w:rPr>
        <w:t xml:space="preserve">OpenClaw Foundation announcement (July 8, 2026); technology-press coverage of non-profit governance. Retrieved July 2026.</w:t>
      </w:r>
    </w:p>
    <w:p>
      <w:pPr>
        <w:spacing w:after="100" w:line="276"/>
        <w:ind w:left="500" w:hanging="500"/>
      </w:pPr>
      <w:r>
        <w:rPr>
          <w:rFonts w:ascii="Georgia" w:cs="Georgia" w:eastAsia="Georgia" w:hAnsi="Georgia"/>
          <w:b/>
          <w:bCs/>
          <w:sz w:val="18"/>
          <w:szCs w:val="18"/>
        </w:rPr>
        <w:t xml:space="preserve">[7.3] </w:t>
      </w:r>
      <w:r>
        <w:rPr>
          <w:rFonts w:ascii="Georgia" w:cs="Georgia" w:eastAsia="Georgia" w:hAnsi="Georgia"/>
          <w:sz w:val="18"/>
          <w:szCs w:val="18"/>
        </w:rPr>
        <w:t xml:space="preserve">Willison, S. (May 2026). OpenClaw git-history naming analysis (Warelay → CLAWDIS → Clawdbot → Moltbot → OpenClaw). Retrieved July 2026.</w:t>
      </w:r>
    </w:p>
    <w:p>
      <w:pPr>
        <w:spacing w:after="100" w:line="276"/>
        <w:ind w:left="500" w:hanging="500"/>
      </w:pPr>
      <w:r>
        <w:rPr>
          <w:rFonts w:ascii="Georgia" w:cs="Georgia" w:eastAsia="Georgia" w:hAnsi="Georgia"/>
          <w:b/>
          <w:bCs/>
          <w:sz w:val="18"/>
          <w:szCs w:val="18"/>
        </w:rPr>
        <w:t xml:space="preserve">[7.4] </w:t>
      </w:r>
      <w:r>
        <w:rPr>
          <w:rFonts w:ascii="Georgia" w:cs="Georgia" w:eastAsia="Georgia" w:hAnsi="Georgia"/>
          <w:sz w:val="18"/>
          <w:szCs w:val="18"/>
        </w:rPr>
        <w:t xml:space="preserve">Liu, X., Lee, et al. (2026). “VisionClaw: Always-On AI Agents through Smart Glasses.” arXiv:2604.03486; github.com/Intent-Lab/VisionClaw. Retrieved July 2026.</w:t>
      </w:r>
    </w:p>
    <w:p>
      <w:pPr>
        <w:spacing w:after="100" w:line="276"/>
        <w:ind w:left="500" w:hanging="500"/>
      </w:pPr>
      <w:r>
        <w:rPr>
          <w:rFonts w:ascii="Georgia" w:cs="Georgia" w:eastAsia="Georgia" w:hAnsi="Georgia"/>
          <w:b/>
          <w:bCs/>
          <w:sz w:val="18"/>
          <w:szCs w:val="18"/>
        </w:rPr>
        <w:t xml:space="preserve">[7.5] </w:t>
      </w:r>
      <w:r>
        <w:rPr>
          <w:rFonts w:ascii="Georgia" w:cs="Georgia" w:eastAsia="Georgia" w:hAnsi="Georgia"/>
          <w:sz w:val="18"/>
          <w:szCs w:val="18"/>
        </w:rPr>
        <w:t xml:space="preserve">Meta AI Developer Cookbook (2026). “Smart glasses with OpenClaw” reference implementation. Retrieved July 2026.</w:t>
      </w:r>
    </w:p>
    <w:p>
      <w:pPr>
        <w:spacing w:after="100" w:line="276"/>
        <w:ind w:left="500" w:hanging="500"/>
      </w:pPr>
      <w:r>
        <w:rPr>
          <w:rFonts w:ascii="Georgia" w:cs="Georgia" w:eastAsia="Georgia" w:hAnsi="Georgia"/>
          <w:b/>
          <w:bCs/>
          <w:sz w:val="18"/>
          <w:szCs w:val="18"/>
        </w:rPr>
        <w:t xml:space="preserve">[7.6] </w:t>
      </w:r>
      <w:r>
        <w:rPr>
          <w:rFonts w:ascii="Georgia" w:cs="Georgia" w:eastAsia="Georgia" w:hAnsi="Georgia"/>
          <w:sz w:val="18"/>
          <w:szCs w:val="18"/>
        </w:rPr>
        <w:t xml:space="preserve">Auganix (2025–2026). Meta Wearables Device Access Toolkit developer-preview capabilities and distribution. Retrieved July 2026.</w:t>
      </w:r>
    </w:p>
    <w:p>
      <w:pPr>
        <w:spacing w:after="100" w:line="276"/>
        <w:ind w:left="500" w:hanging="500"/>
      </w:pPr>
      <w:r>
        <w:rPr>
          <w:rFonts w:ascii="Georgia" w:cs="Georgia" w:eastAsia="Georgia" w:hAnsi="Georgia"/>
          <w:b/>
          <w:bCs/>
          <w:sz w:val="18"/>
          <w:szCs w:val="18"/>
        </w:rPr>
        <w:t xml:space="preserve">[8.1] </w:t>
      </w:r>
      <w:r>
        <w:rPr>
          <w:rFonts w:ascii="Georgia" w:cs="Georgia" w:eastAsia="Georgia" w:hAnsi="Georgia"/>
          <w:sz w:val="18"/>
          <w:szCs w:val="18"/>
        </w:rPr>
        <w:t xml:space="preserve">Ollama model library (2026). Qwen2.5-VL, Llama 3.2 Vision, Moondream, and vision-model runtime notes. Retrieved July 2026.</w:t>
      </w:r>
    </w:p>
    <w:p>
      <w:pPr>
        <w:spacing w:after="100" w:line="276"/>
        <w:ind w:left="500" w:hanging="500"/>
      </w:pPr>
      <w:r>
        <w:rPr>
          <w:rFonts w:ascii="Georgia" w:cs="Georgia" w:eastAsia="Georgia" w:hAnsi="Georgia"/>
          <w:b/>
          <w:bCs/>
          <w:sz w:val="18"/>
          <w:szCs w:val="18"/>
        </w:rPr>
        <w:t xml:space="preserve">[8.2] </w:t>
      </w:r>
      <w:r>
        <w:rPr>
          <w:rFonts w:ascii="Georgia" w:cs="Georgia" w:eastAsia="Georgia" w:hAnsi="Georgia"/>
          <w:sz w:val="18"/>
          <w:szCs w:val="18"/>
        </w:rPr>
        <w:t xml:space="preserve">Binary WareHouse (April 12, 2026). “Enabling AMD GPU Acceleration for Ollama on Windows with Vulkan”; ollama/ollama issue #5186 (XDNA NPU). Retrieved July 2026.</w:t>
      </w:r>
    </w:p>
    <w:p>
      <w:pPr>
        <w:spacing w:after="100" w:line="276"/>
        <w:ind w:left="500" w:hanging="500"/>
      </w:pPr>
      <w:r>
        <w:rPr>
          <w:rFonts w:ascii="Georgia" w:cs="Georgia" w:eastAsia="Georgia" w:hAnsi="Georgia"/>
          <w:b/>
          <w:bCs/>
          <w:sz w:val="18"/>
          <w:szCs w:val="18"/>
        </w:rPr>
        <w:t xml:space="preserve">[8.3] </w:t>
      </w:r>
      <w:r>
        <w:rPr>
          <w:rFonts w:ascii="Georgia" w:cs="Georgia" w:eastAsia="Georgia" w:hAnsi="Georgia"/>
          <w:sz w:val="18"/>
          <w:szCs w:val="18"/>
        </w:rPr>
        <w:t xml:space="preserve">whisper.cpp project documentation (2026). Real-time transcription, Vulkan backend, quantized configurations. Retrieved July 2026.</w:t>
      </w:r>
    </w:p>
    <w:p>
      <w:pPr>
        <w:spacing w:after="100" w:line="276"/>
        <w:ind w:left="500" w:hanging="500"/>
      </w:pPr>
      <w:r>
        <w:rPr>
          <w:rFonts w:ascii="Georgia" w:cs="Georgia" w:eastAsia="Georgia" w:hAnsi="Georgia"/>
          <w:b/>
          <w:bCs/>
          <w:sz w:val="18"/>
          <w:szCs w:val="18"/>
        </w:rPr>
        <w:t xml:space="preserve">[8.4] </w:t>
      </w:r>
      <w:r>
        <w:rPr>
          <w:rFonts w:ascii="Georgia" w:cs="Georgia" w:eastAsia="Georgia" w:hAnsi="Georgia"/>
          <w:sz w:val="18"/>
          <w:szCs w:val="18"/>
        </w:rPr>
        <w:t xml:space="preserve">hexgrad, “Kokoro-82M” (2026), Hugging Face, Apache-2.0; note of Piper TTS archival (October 2025). Retrieved July 2026.</w:t>
      </w:r>
    </w:p>
    <w:p>
      <w:pPr>
        <w:spacing w:after="100" w:line="276"/>
        <w:ind w:left="500" w:hanging="500"/>
      </w:pPr>
      <w:r>
        <w:rPr>
          <w:rFonts w:ascii="Georgia" w:cs="Georgia" w:eastAsia="Georgia" w:hAnsi="Georgia"/>
          <w:b/>
          <w:bCs/>
          <w:sz w:val="18"/>
          <w:szCs w:val="18"/>
        </w:rPr>
        <w:t xml:space="preserve">[8.5] </w:t>
      </w:r>
      <w:r>
        <w:rPr>
          <w:rFonts w:ascii="Georgia" w:cs="Georgia" w:eastAsia="Georgia" w:hAnsi="Georgia"/>
          <w:sz w:val="18"/>
          <w:szCs w:val="18"/>
        </w:rPr>
        <w:t xml:space="preserve">OpenSQZ (2026). “A Sensing-Computing Split Architecture for Local MLLM-Driven Real-Time Visual Assistance.” arXiv:2607.03213; plus rayl15/OpenVision and straff2002/OpenGlasses reference projects. Retrieved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i/>
        <w:iCs/>
        <w:color w:val="888888"/>
        <w:sz w:val="16"/>
        <w:szCs w:val="16"/>
      </w:rPr>
      <w:t xml:space="preserve">Through the Looking Glass — Garcia — 2nd 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Through the Looking Glass — Second Edition</dc:title>
  <dc:creator>Maximiliano Garcia</dc:creator>
  <cp:lastModifiedBy>Un-named</cp:lastModifiedBy>
  <cp:revision>1</cp:revision>
  <dcterms:created xsi:type="dcterms:W3CDTF">2026-07-18T06:26:46.423Z</dcterms:created>
  <dcterms:modified xsi:type="dcterms:W3CDTF">2026-07-18T06:26:46.435Z</dcterms:modified>
</cp:coreProperties>
</file>

<file path=docProps/custom.xml><?xml version="1.0" encoding="utf-8"?>
<Properties xmlns="http://schemas.openxmlformats.org/officeDocument/2006/custom-properties" xmlns:vt="http://schemas.openxmlformats.org/officeDocument/2006/docPropsVTypes"/>
</file>