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E252" w14:textId="77777777" w:rsidR="007757E6" w:rsidRPr="006A7C86" w:rsidRDefault="007757E6" w:rsidP="007757E6">
      <w:pPr>
        <w:jc w:val="center"/>
        <w:rPr>
          <w:rFonts w:ascii="Times New Roman" w:hAnsi="Times New Roman" w:cs="Times New Roman"/>
        </w:rPr>
      </w:pPr>
    </w:p>
    <w:p w14:paraId="0FFF6421" w14:textId="5C75AC8A" w:rsidR="007757E6" w:rsidRPr="006A7C86" w:rsidRDefault="007757E6" w:rsidP="007757E6">
      <w:pPr>
        <w:jc w:val="center"/>
        <w:rPr>
          <w:rFonts w:ascii="Times New Roman" w:hAnsi="Times New Roman" w:cs="Times New Roman"/>
          <w:sz w:val="28"/>
          <w:szCs w:val="28"/>
        </w:rPr>
      </w:pPr>
      <w:r w:rsidRPr="006A7C86">
        <w:rPr>
          <w:rFonts w:ascii="Times New Roman" w:hAnsi="Times New Roman" w:cs="Times New Roman"/>
          <w:sz w:val="28"/>
          <w:szCs w:val="28"/>
        </w:rPr>
        <w:t>Housing Choice Voucher use in Los Angeles County</w:t>
      </w:r>
    </w:p>
    <w:p w14:paraId="56BD9633" w14:textId="78DD1ECD" w:rsidR="00AB4A45" w:rsidRPr="00AA7FCE" w:rsidRDefault="007757E6" w:rsidP="007757E6">
      <w:pPr>
        <w:rPr>
          <w:rFonts w:ascii="Times New Roman" w:hAnsi="Times New Roman" w:cs="Times New Roman"/>
          <w:i/>
          <w:iCs/>
        </w:rPr>
      </w:pPr>
      <w:r w:rsidRPr="00AA7FCE">
        <w:rPr>
          <w:rFonts w:ascii="Times New Roman" w:hAnsi="Times New Roman" w:cs="Times New Roman"/>
          <w:i/>
          <w:iCs/>
        </w:rPr>
        <w:t>Project Description</w:t>
      </w:r>
      <w:r w:rsidR="00F00BAA" w:rsidRPr="00AA7FCE">
        <w:rPr>
          <w:rFonts w:ascii="Times New Roman" w:hAnsi="Times New Roman" w:cs="Times New Roman"/>
          <w:i/>
          <w:iCs/>
        </w:rPr>
        <w:t xml:space="preserve"> &amp; </w:t>
      </w:r>
      <w:r w:rsidR="00CB5709" w:rsidRPr="00AA7FCE">
        <w:rPr>
          <w:rFonts w:ascii="Times New Roman" w:hAnsi="Times New Roman" w:cs="Times New Roman"/>
          <w:i/>
          <w:iCs/>
        </w:rPr>
        <w:t>Motivation</w:t>
      </w:r>
    </w:p>
    <w:p w14:paraId="642EEAB4" w14:textId="2F865C2F" w:rsidR="00CB5709" w:rsidRPr="006A7C86" w:rsidRDefault="00CB5709" w:rsidP="00CB5709">
      <w:pPr>
        <w:ind w:firstLine="360"/>
        <w:rPr>
          <w:rFonts w:ascii="Times New Roman" w:hAnsi="Times New Roman" w:cs="Times New Roman"/>
        </w:rPr>
      </w:pPr>
      <w:r w:rsidRPr="006A7C86">
        <w:rPr>
          <w:rFonts w:ascii="Times New Roman" w:hAnsi="Times New Roman" w:cs="Times New Roman"/>
        </w:rPr>
        <w:t xml:space="preserve">The Housing Choice Voucher (HCV) program, also known as Section 8, is the largest housing program in the country. HCVs provide very low-income households with subsidies that help them afford safe and decent housing in the public rental market. </w:t>
      </w:r>
      <w:r w:rsidRPr="006A7C86">
        <w:rPr>
          <w:rFonts w:ascii="Times New Roman" w:hAnsi="Times New Roman" w:cs="Times New Roman"/>
        </w:rPr>
        <w:t xml:space="preserve">Households who use vouchers </w:t>
      </w:r>
      <w:r w:rsidRPr="006A7C86">
        <w:rPr>
          <w:rFonts w:ascii="Times New Roman" w:hAnsi="Times New Roman" w:cs="Times New Roman"/>
        </w:rPr>
        <w:t>are disproportionately likely to be people of color, and include women, children, and people with disabilities.</w:t>
      </w:r>
      <w:r w:rsidRPr="006A7C86">
        <w:rPr>
          <w:rStyle w:val="EndnoteReference"/>
          <w:rFonts w:ascii="Times New Roman" w:hAnsi="Times New Roman" w:cs="Times New Roman"/>
        </w:rPr>
        <w:endnoteReference w:id="1"/>
      </w:r>
      <w:r w:rsidRPr="006A7C86">
        <w:rPr>
          <w:rFonts w:ascii="Times New Roman" w:hAnsi="Times New Roman" w:cs="Times New Roman"/>
        </w:rPr>
        <w:t xml:space="preserve"> </w:t>
      </w:r>
      <w:r w:rsidRPr="006A7C86">
        <w:rPr>
          <w:rFonts w:ascii="Times New Roman" w:hAnsi="Times New Roman" w:cs="Times New Roman"/>
        </w:rPr>
        <w:t>Vouchers</w:t>
      </w:r>
      <w:r w:rsidRPr="006A7C86">
        <w:rPr>
          <w:rFonts w:ascii="Times New Roman" w:hAnsi="Times New Roman" w:cs="Times New Roman"/>
        </w:rPr>
        <w:t xml:space="preserve"> play a pivotal role in alleviating housing insecurity, curbing homelessness, and mitigating hardships for families, while simultaneously fostering improved educational and developmental outcomes for children.</w:t>
      </w:r>
      <w:r w:rsidRPr="006A7C86">
        <w:rPr>
          <w:rStyle w:val="EndnoteReference"/>
          <w:rFonts w:ascii="Times New Roman" w:hAnsi="Times New Roman" w:cs="Times New Roman"/>
        </w:rPr>
        <w:endnoteReference w:id="2"/>
      </w:r>
      <w:r w:rsidRPr="006A7C86">
        <w:rPr>
          <w:rFonts w:ascii="Times New Roman" w:hAnsi="Times New Roman" w:cs="Times New Roman"/>
        </w:rPr>
        <w:t xml:space="preserve"> Los Angeles County (LA) </w:t>
      </w:r>
      <w:r w:rsidRPr="006A7C86">
        <w:rPr>
          <w:rFonts w:ascii="Times New Roman" w:hAnsi="Times New Roman" w:cs="Times New Roman"/>
        </w:rPr>
        <w:t>has</w:t>
      </w:r>
      <w:r w:rsidRPr="006A7C86">
        <w:rPr>
          <w:rFonts w:ascii="Times New Roman" w:hAnsi="Times New Roman" w:cs="Times New Roman"/>
        </w:rPr>
        <w:t xml:space="preserve"> multiple housing subsidy programs, encompassing over 58,000 annual tenant-based rental subsidies.</w:t>
      </w:r>
      <w:r w:rsidRPr="006A7C86">
        <w:rPr>
          <w:rStyle w:val="EndnoteReference"/>
          <w:rFonts w:ascii="Times New Roman" w:hAnsi="Times New Roman" w:cs="Times New Roman"/>
        </w:rPr>
        <w:endnoteReference w:id="3"/>
      </w:r>
      <w:r w:rsidRPr="006A7C86">
        <w:rPr>
          <w:rFonts w:ascii="Times New Roman" w:hAnsi="Times New Roman" w:cs="Times New Roman"/>
        </w:rPr>
        <w:t xml:space="preserve"> Despite these initiatives, a considerable challenge persists – a significant number of households equipped with vouchers find themselves unable to utilize them due to difficulties in securing landlords willing to accept housing subsidies. In LA alone, more than 7,000 allocated housing vouchers, constituting 15.1%, remain unused each year.</w:t>
      </w:r>
      <w:r w:rsidRPr="006A7C86">
        <w:rPr>
          <w:rStyle w:val="EndnoteReference"/>
          <w:rFonts w:ascii="Times New Roman" w:hAnsi="Times New Roman" w:cs="Times New Roman"/>
        </w:rPr>
        <w:endnoteReference w:id="4"/>
      </w:r>
      <w:r w:rsidRPr="006A7C86">
        <w:rPr>
          <w:rFonts w:ascii="Times New Roman" w:hAnsi="Times New Roman" w:cs="Times New Roman"/>
        </w:rPr>
        <w:t xml:space="preserve"> </w:t>
      </w:r>
      <w:r w:rsidRPr="006A7C86">
        <w:rPr>
          <w:rFonts w:ascii="Times New Roman" w:hAnsi="Times New Roman" w:cs="Times New Roman"/>
        </w:rPr>
        <w:t>D</w:t>
      </w:r>
      <w:r w:rsidRPr="006A7C86">
        <w:rPr>
          <w:rFonts w:ascii="Times New Roman" w:hAnsi="Times New Roman" w:cs="Times New Roman"/>
        </w:rPr>
        <w:t>espite the enactment of a 2019 ban on source of income discrimination which made it illegal to refuse to rent to subsidy recipients in LA because of their source of income,</w:t>
      </w:r>
      <w:r w:rsidRPr="006A7C86">
        <w:rPr>
          <w:rStyle w:val="EndnoteReference"/>
          <w:rFonts w:ascii="Times New Roman" w:hAnsi="Times New Roman" w:cs="Times New Roman"/>
        </w:rPr>
        <w:endnoteReference w:id="5"/>
      </w:r>
      <w:r w:rsidRPr="006A7C86">
        <w:rPr>
          <w:rFonts w:ascii="Times New Roman" w:hAnsi="Times New Roman" w:cs="Times New Roman"/>
        </w:rPr>
        <w:t xml:space="preserve"> </w:t>
      </w:r>
      <w:r w:rsidRPr="006A7C86">
        <w:rPr>
          <w:rStyle w:val="EndnoteReference"/>
          <w:rFonts w:ascii="Times New Roman" w:hAnsi="Times New Roman" w:cs="Times New Roman"/>
        </w:rPr>
        <w:endnoteReference w:id="6"/>
      </w:r>
      <w:r w:rsidRPr="006A7C86">
        <w:rPr>
          <w:rFonts w:ascii="Times New Roman" w:hAnsi="Times New Roman" w:cs="Times New Roman"/>
        </w:rPr>
        <w:t xml:space="preserve"> concerns persist about the widespread discrimination.</w:t>
      </w:r>
      <w:r w:rsidRPr="006A7C86">
        <w:rPr>
          <w:rStyle w:val="EndnoteReference"/>
          <w:rFonts w:ascii="Times New Roman" w:hAnsi="Times New Roman" w:cs="Times New Roman"/>
        </w:rPr>
        <w:endnoteReference w:id="7"/>
      </w:r>
      <w:r w:rsidRPr="006A7C86">
        <w:rPr>
          <w:rFonts w:ascii="Times New Roman" w:hAnsi="Times New Roman" w:cs="Times New Roman"/>
        </w:rPr>
        <w:t xml:space="preserve"> </w:t>
      </w:r>
      <w:r w:rsidRPr="006A7C86">
        <w:rPr>
          <w:rStyle w:val="EndnoteReference"/>
          <w:rFonts w:ascii="Times New Roman" w:hAnsi="Times New Roman" w:cs="Times New Roman"/>
        </w:rPr>
        <w:endnoteReference w:id="8"/>
      </w:r>
    </w:p>
    <w:p w14:paraId="409DFBDD" w14:textId="5E6F5071" w:rsidR="00F00BAA" w:rsidRPr="006A0E06" w:rsidRDefault="00CB5709" w:rsidP="00CB5709">
      <w:pPr>
        <w:ind w:firstLine="360"/>
        <w:rPr>
          <w:rFonts w:ascii="Times New Roman" w:hAnsi="Times New Roman" w:cs="Times New Roman"/>
        </w:rPr>
      </w:pPr>
      <w:r w:rsidRPr="006A7C86">
        <w:rPr>
          <w:rFonts w:ascii="Times New Roman" w:hAnsi="Times New Roman" w:cs="Times New Roman"/>
        </w:rPr>
        <w:t>The preliminary analysis of HCV use included in this document is part of a larger</w:t>
      </w:r>
      <w:r w:rsidR="006A7C86" w:rsidRPr="006A7C86">
        <w:rPr>
          <w:rFonts w:ascii="Times New Roman" w:hAnsi="Times New Roman" w:cs="Times New Roman"/>
        </w:rPr>
        <w:t xml:space="preserve"> dissertation project that uses a sequential explanatory design. </w:t>
      </w:r>
      <w:r w:rsidR="00F00BAA" w:rsidRPr="006A7C86">
        <w:rPr>
          <w:rFonts w:ascii="Times New Roman" w:hAnsi="Times New Roman" w:cs="Times New Roman"/>
        </w:rPr>
        <w:t xml:space="preserve">This </w:t>
      </w:r>
      <w:r w:rsidR="006A7C86" w:rsidRPr="006A7C86">
        <w:rPr>
          <w:rFonts w:ascii="Times New Roman" w:hAnsi="Times New Roman" w:cs="Times New Roman"/>
        </w:rPr>
        <w:t xml:space="preserve">preliminary </w:t>
      </w:r>
      <w:r w:rsidR="00F00BAA" w:rsidRPr="006A7C86">
        <w:rPr>
          <w:rFonts w:ascii="Times New Roman" w:hAnsi="Times New Roman" w:cs="Times New Roman"/>
        </w:rPr>
        <w:t xml:space="preserve">analysis of HCV </w:t>
      </w:r>
      <w:r w:rsidR="00F00BAA" w:rsidRPr="006A0E06">
        <w:rPr>
          <w:rFonts w:ascii="Times New Roman" w:hAnsi="Times New Roman" w:cs="Times New Roman"/>
        </w:rPr>
        <w:t>data is designed to answer two research questions:</w:t>
      </w:r>
    </w:p>
    <w:p w14:paraId="07E5EBE1" w14:textId="791E5371" w:rsidR="00F00BAA" w:rsidRPr="006A0E06" w:rsidRDefault="00F00BAA" w:rsidP="00F00BAA">
      <w:pPr>
        <w:pStyle w:val="ListParagraph"/>
        <w:numPr>
          <w:ilvl w:val="0"/>
          <w:numId w:val="1"/>
        </w:numPr>
        <w:rPr>
          <w:rFonts w:ascii="Times New Roman" w:hAnsi="Times New Roman" w:cs="Times New Roman"/>
        </w:rPr>
      </w:pPr>
      <w:r w:rsidRPr="006A0E06">
        <w:rPr>
          <w:rFonts w:ascii="Times New Roman" w:hAnsi="Times New Roman" w:cs="Times New Roman"/>
        </w:rPr>
        <w:t>Wh</w:t>
      </w:r>
      <w:r w:rsidR="00365B0A" w:rsidRPr="006A0E06">
        <w:rPr>
          <w:rFonts w:ascii="Times New Roman" w:hAnsi="Times New Roman" w:cs="Times New Roman"/>
        </w:rPr>
        <w:t>at types of units are rented using HCVs in Los Angeles, and have there been changes in trends between 2017 and 2022?</w:t>
      </w:r>
    </w:p>
    <w:p w14:paraId="7113269D" w14:textId="70F73D3E" w:rsidR="00F00BAA" w:rsidRPr="006A0E06" w:rsidRDefault="00365B0A" w:rsidP="006A0E06">
      <w:pPr>
        <w:pStyle w:val="ListParagraph"/>
        <w:numPr>
          <w:ilvl w:val="0"/>
          <w:numId w:val="1"/>
        </w:numPr>
        <w:rPr>
          <w:rFonts w:ascii="Times New Roman" w:hAnsi="Times New Roman" w:cs="Times New Roman"/>
        </w:rPr>
      </w:pPr>
      <w:r w:rsidRPr="006A0E06">
        <w:rPr>
          <w:rFonts w:ascii="Times New Roman" w:hAnsi="Times New Roman" w:cs="Times New Roman"/>
        </w:rPr>
        <w:t xml:space="preserve">Are there racial or demographic trends in the types of </w:t>
      </w:r>
      <w:proofErr w:type="gramStart"/>
      <w:r w:rsidRPr="006A0E06">
        <w:rPr>
          <w:rFonts w:ascii="Times New Roman" w:hAnsi="Times New Roman" w:cs="Times New Roman"/>
        </w:rPr>
        <w:t>units</w:t>
      </w:r>
      <w:proofErr w:type="gramEnd"/>
      <w:r w:rsidRPr="006A0E06">
        <w:rPr>
          <w:rFonts w:ascii="Times New Roman" w:hAnsi="Times New Roman" w:cs="Times New Roman"/>
        </w:rPr>
        <w:t xml:space="preserve"> voucher households rent?</w:t>
      </w:r>
    </w:p>
    <w:p w14:paraId="22185399" w14:textId="622B29A9" w:rsidR="00F00BAA" w:rsidRPr="006A7C86" w:rsidRDefault="006A0E06" w:rsidP="007757E6">
      <w:pPr>
        <w:rPr>
          <w:rFonts w:ascii="Times New Roman" w:hAnsi="Times New Roman" w:cs="Times New Roman"/>
        </w:rPr>
      </w:pPr>
      <w:r>
        <w:rPr>
          <w:rFonts w:ascii="Times New Roman" w:hAnsi="Times New Roman" w:cs="Times New Roman"/>
        </w:rPr>
        <w:t>The analysis of HCV data done to answer these questions will inform the development of a survey of landlords in LA County about the factors that shape their willingness to rent to HCV households, which will in turn inform qualitative data collection via focus groups about potential policy interventions to improve voucher use rates</w:t>
      </w:r>
      <w:r w:rsidR="00365B0A">
        <w:rPr>
          <w:rFonts w:ascii="Times New Roman" w:hAnsi="Times New Roman" w:cs="Times New Roman"/>
        </w:rPr>
        <w:t xml:space="preserve">. </w:t>
      </w:r>
      <w:r w:rsidR="00F00BAA" w:rsidRPr="006A7C86">
        <w:rPr>
          <w:rFonts w:ascii="Times New Roman" w:hAnsi="Times New Roman" w:cs="Times New Roman"/>
        </w:rPr>
        <w:t>To answer the</w:t>
      </w:r>
      <w:r>
        <w:rPr>
          <w:rFonts w:ascii="Times New Roman" w:hAnsi="Times New Roman" w:cs="Times New Roman"/>
        </w:rPr>
        <w:t xml:space="preserve"> above research questions</w:t>
      </w:r>
      <w:r w:rsidR="00F00BAA" w:rsidRPr="006A7C86">
        <w:rPr>
          <w:rFonts w:ascii="Times New Roman" w:hAnsi="Times New Roman" w:cs="Times New Roman"/>
        </w:rPr>
        <w:t>, this a preliminary of Los Angeles County HCV data from 20</w:t>
      </w:r>
      <w:r w:rsidR="00972763">
        <w:rPr>
          <w:rFonts w:ascii="Times New Roman" w:hAnsi="Times New Roman" w:cs="Times New Roman"/>
        </w:rPr>
        <w:t>1</w:t>
      </w:r>
      <w:r w:rsidR="00F00BAA" w:rsidRPr="006A7C86">
        <w:rPr>
          <w:rFonts w:ascii="Times New Roman" w:hAnsi="Times New Roman" w:cs="Times New Roman"/>
        </w:rPr>
        <w:t>7 through 2022, from the Housing and Urban Development Department’s Assisted Housing: National and Local data set.</w:t>
      </w:r>
      <w:r w:rsidR="006A7C86" w:rsidRPr="006A7C86">
        <w:rPr>
          <w:rStyle w:val="EndnoteReference"/>
          <w:rFonts w:ascii="Times New Roman" w:hAnsi="Times New Roman" w:cs="Times New Roman"/>
        </w:rPr>
        <w:endnoteReference w:id="9"/>
      </w:r>
      <w:r w:rsidR="00F00BAA" w:rsidRPr="006A7C86">
        <w:rPr>
          <w:rFonts w:ascii="Times New Roman" w:hAnsi="Times New Roman" w:cs="Times New Roman"/>
        </w:rPr>
        <w:t xml:space="preserve"> This write-up describes the findings, limitations, and future directions </w:t>
      </w:r>
      <w:r>
        <w:rPr>
          <w:rFonts w:ascii="Times New Roman" w:hAnsi="Times New Roman" w:cs="Times New Roman"/>
        </w:rPr>
        <w:t>for</w:t>
      </w:r>
      <w:r w:rsidR="00F00BAA" w:rsidRPr="006A7C86">
        <w:rPr>
          <w:rFonts w:ascii="Times New Roman" w:hAnsi="Times New Roman" w:cs="Times New Roman"/>
        </w:rPr>
        <w:t xml:space="preserve"> this work.</w:t>
      </w:r>
    </w:p>
    <w:p w14:paraId="3BBB6DEC" w14:textId="1C2FD55E" w:rsidR="007757E6" w:rsidRPr="008E63BA" w:rsidRDefault="00F00BAA" w:rsidP="007757E6">
      <w:pPr>
        <w:rPr>
          <w:rFonts w:ascii="Times New Roman" w:hAnsi="Times New Roman" w:cs="Times New Roman"/>
          <w:i/>
          <w:iCs/>
        </w:rPr>
      </w:pPr>
      <w:r w:rsidRPr="008E63BA">
        <w:rPr>
          <w:rFonts w:ascii="Times New Roman" w:hAnsi="Times New Roman" w:cs="Times New Roman"/>
          <w:i/>
          <w:iCs/>
        </w:rPr>
        <w:t xml:space="preserve">RQ1: </w:t>
      </w:r>
      <w:r w:rsidR="00365B0A" w:rsidRPr="008E63BA">
        <w:rPr>
          <w:rFonts w:ascii="Times New Roman" w:hAnsi="Times New Roman" w:cs="Times New Roman"/>
          <w:i/>
          <w:iCs/>
        </w:rPr>
        <w:t>What types of units are rented using HCVs?</w:t>
      </w:r>
    </w:p>
    <w:p w14:paraId="75CEBE9A" w14:textId="7646E739" w:rsidR="003C53A0" w:rsidRDefault="003C53A0" w:rsidP="007757E6">
      <w:pPr>
        <w:rPr>
          <w:rFonts w:ascii="Times New Roman" w:hAnsi="Times New Roman" w:cs="Times New Roman"/>
        </w:rPr>
      </w:pPr>
      <w:r>
        <w:rPr>
          <w:rFonts w:ascii="Times New Roman" w:hAnsi="Times New Roman" w:cs="Times New Roman"/>
        </w:rPr>
        <w:tab/>
        <w:t xml:space="preserve">Zip code level HCV data was analyzed to understand what types of units are rented using HCVs in Los Angeles. For each zip code, the number of vouchers used and certain demographics describing the households who lease units using HCVs are available. However, household level data is not available. For data privacy purposes, most descriptive data on household composition is hidden if there are fewer than 11 voucher households in a zip code. However, the total number of vouchers used in a given zip code by year is available for all zip codes. </w:t>
      </w:r>
    </w:p>
    <w:p w14:paraId="0AE95675" w14:textId="4DE0DBC6" w:rsidR="00972763" w:rsidRDefault="00972763" w:rsidP="007757E6">
      <w:pPr>
        <w:rPr>
          <w:rFonts w:ascii="Times New Roman" w:hAnsi="Times New Roman" w:cs="Times New Roman"/>
        </w:rPr>
      </w:pPr>
      <w:r>
        <w:rPr>
          <w:rFonts w:ascii="Times New Roman" w:hAnsi="Times New Roman" w:cs="Times New Roman"/>
        </w:rPr>
        <w:tab/>
        <w:t>One important question that has been raised about the efficacy of the HCV programs in expensive and competitive rental markets is whether households who are issued vouchers are able to use them. The maximum allowable rent covered by a voucher varies by family size and geographic region. The maximum allowable rent is set annual for each Public Housing Authority (PHA) based on the rental rates in their region based on either the 40</w:t>
      </w:r>
      <w:r w:rsidRPr="00972763">
        <w:rPr>
          <w:rFonts w:ascii="Times New Roman" w:hAnsi="Times New Roman" w:cs="Times New Roman"/>
          <w:vertAlign w:val="superscript"/>
        </w:rPr>
        <w:t>th</w:t>
      </w:r>
      <w:r>
        <w:rPr>
          <w:rFonts w:ascii="Times New Roman" w:hAnsi="Times New Roman" w:cs="Times New Roman"/>
        </w:rPr>
        <w:t xml:space="preserve"> or 50</w:t>
      </w:r>
      <w:r w:rsidRPr="00972763">
        <w:rPr>
          <w:rFonts w:ascii="Times New Roman" w:hAnsi="Times New Roman" w:cs="Times New Roman"/>
          <w:vertAlign w:val="superscript"/>
        </w:rPr>
        <w:t>th</w:t>
      </w:r>
      <w:r>
        <w:rPr>
          <w:rFonts w:ascii="Times New Roman" w:hAnsi="Times New Roman" w:cs="Times New Roman"/>
        </w:rPr>
        <w:t xml:space="preserve"> percentile rents. This maximum allowable rental rate is </w:t>
      </w:r>
      <w:r>
        <w:rPr>
          <w:rFonts w:ascii="Times New Roman" w:hAnsi="Times New Roman" w:cs="Times New Roman"/>
        </w:rPr>
        <w:lastRenderedPageBreak/>
        <w:t>called the Fair Market Rate (FMR). FMRs are calculated by HUD for 2-bedroom units, and then scaled up and down based on the 2-bedroom rate calculation for other rental unit sizes. HCV households are eligible to rent a specific sized unit base don the number of family members in their household and the national occupancy standards. For example, the FMR for the units in the Housing Authority of Los Angeles’ (HACLA) jurisdiction for 202</w:t>
      </w:r>
      <w:r w:rsidR="003C73C1">
        <w:rPr>
          <w:rFonts w:ascii="Times New Roman" w:hAnsi="Times New Roman" w:cs="Times New Roman"/>
        </w:rPr>
        <w:t>4</w:t>
      </w:r>
      <w:r>
        <w:rPr>
          <w:rFonts w:ascii="Times New Roman" w:hAnsi="Times New Roman" w:cs="Times New Roman"/>
        </w:rPr>
        <w:t xml:space="preserve"> are included below.</w:t>
      </w:r>
    </w:p>
    <w:p w14:paraId="4A34FB66" w14:textId="669D9F37" w:rsidR="003C73C1" w:rsidRDefault="00972763" w:rsidP="003C73C1">
      <w:pPr>
        <w:spacing w:after="0"/>
        <w:jc w:val="center"/>
        <w:rPr>
          <w:rFonts w:ascii="Times New Roman" w:hAnsi="Times New Roman" w:cs="Times New Roman"/>
        </w:rPr>
      </w:pPr>
      <w:r>
        <w:rPr>
          <w:rFonts w:ascii="Times New Roman" w:hAnsi="Times New Roman" w:cs="Times New Roman"/>
        </w:rPr>
        <w:t xml:space="preserve">Table 1: 2023 </w:t>
      </w:r>
      <w:r w:rsidR="003C73C1">
        <w:rPr>
          <w:rFonts w:ascii="Times New Roman" w:hAnsi="Times New Roman" w:cs="Times New Roman"/>
        </w:rPr>
        <w:t xml:space="preserve">and 2024 </w:t>
      </w:r>
      <w:r>
        <w:rPr>
          <w:rFonts w:ascii="Times New Roman" w:hAnsi="Times New Roman" w:cs="Times New Roman"/>
        </w:rPr>
        <w:t xml:space="preserve">Fair Market Rates for </w:t>
      </w:r>
      <w:r w:rsidR="003C73C1">
        <w:rPr>
          <w:rFonts w:ascii="Times New Roman" w:hAnsi="Times New Roman" w:cs="Times New Roman"/>
        </w:rPr>
        <w:t>Rental Units in the Housing Authority of</w:t>
      </w:r>
    </w:p>
    <w:p w14:paraId="328E9A48" w14:textId="3C8A7B3D" w:rsidR="003C53A0" w:rsidRDefault="003C73C1" w:rsidP="003C73C1">
      <w:pPr>
        <w:spacing w:after="0"/>
        <w:jc w:val="center"/>
        <w:rPr>
          <w:rFonts w:ascii="Times New Roman" w:hAnsi="Times New Roman" w:cs="Times New Roman"/>
        </w:rPr>
      </w:pPr>
      <w:r>
        <w:rPr>
          <w:rFonts w:ascii="Times New Roman" w:hAnsi="Times New Roman" w:cs="Times New Roman"/>
        </w:rPr>
        <w:t>the City of Los Angeles’ Jurisdiction</w:t>
      </w:r>
    </w:p>
    <w:p w14:paraId="3ECC3BBE" w14:textId="77777777" w:rsidR="003C73C1" w:rsidRDefault="003C73C1" w:rsidP="003C73C1">
      <w:pPr>
        <w:spacing w:after="0"/>
        <w:jc w:val="center"/>
        <w:rPr>
          <w:rFonts w:ascii="Times New Roman" w:hAnsi="Times New Roman" w:cs="Times New Roman"/>
        </w:rPr>
      </w:pPr>
    </w:p>
    <w:tbl>
      <w:tblPr>
        <w:tblStyle w:val="TableGrid"/>
        <w:tblW w:w="0" w:type="auto"/>
        <w:tblLook w:val="04A0" w:firstRow="1" w:lastRow="0" w:firstColumn="1" w:lastColumn="0" w:noHBand="0" w:noVBand="1"/>
      </w:tblPr>
      <w:tblGrid>
        <w:gridCol w:w="1545"/>
        <w:gridCol w:w="1330"/>
        <w:gridCol w:w="1530"/>
        <w:gridCol w:w="1530"/>
        <w:gridCol w:w="1710"/>
        <w:gridCol w:w="1705"/>
      </w:tblGrid>
      <w:tr w:rsidR="003C73C1" w14:paraId="3C6FFBF4" w14:textId="77777777" w:rsidTr="003C73C1">
        <w:tc>
          <w:tcPr>
            <w:tcW w:w="1545" w:type="dxa"/>
          </w:tcPr>
          <w:p w14:paraId="4A6ADE22" w14:textId="305F5C97" w:rsidR="003C73C1" w:rsidRDefault="003C73C1" w:rsidP="007757E6">
            <w:pPr>
              <w:rPr>
                <w:rFonts w:ascii="Times New Roman" w:hAnsi="Times New Roman" w:cs="Times New Roman"/>
              </w:rPr>
            </w:pPr>
            <w:r>
              <w:rPr>
                <w:rFonts w:ascii="Times New Roman" w:hAnsi="Times New Roman" w:cs="Times New Roman"/>
              </w:rPr>
              <w:t>Year</w:t>
            </w:r>
          </w:p>
        </w:tc>
        <w:tc>
          <w:tcPr>
            <w:tcW w:w="1330" w:type="dxa"/>
          </w:tcPr>
          <w:p w14:paraId="00D89CB1" w14:textId="5DD3C7AE" w:rsidR="003C73C1" w:rsidRDefault="003C73C1" w:rsidP="007757E6">
            <w:pPr>
              <w:rPr>
                <w:rFonts w:ascii="Times New Roman" w:hAnsi="Times New Roman" w:cs="Times New Roman"/>
              </w:rPr>
            </w:pPr>
            <w:r>
              <w:rPr>
                <w:rFonts w:ascii="Times New Roman" w:hAnsi="Times New Roman" w:cs="Times New Roman"/>
              </w:rPr>
              <w:t>Efficiency</w:t>
            </w:r>
          </w:p>
        </w:tc>
        <w:tc>
          <w:tcPr>
            <w:tcW w:w="1530" w:type="dxa"/>
          </w:tcPr>
          <w:p w14:paraId="10FFD9B7" w14:textId="7DEA01B9" w:rsidR="003C73C1" w:rsidRDefault="003C73C1" w:rsidP="007757E6">
            <w:pPr>
              <w:rPr>
                <w:rFonts w:ascii="Times New Roman" w:hAnsi="Times New Roman" w:cs="Times New Roman"/>
              </w:rPr>
            </w:pPr>
            <w:r>
              <w:rPr>
                <w:rFonts w:ascii="Times New Roman" w:hAnsi="Times New Roman" w:cs="Times New Roman"/>
              </w:rPr>
              <w:t>One-Bedroom</w:t>
            </w:r>
          </w:p>
        </w:tc>
        <w:tc>
          <w:tcPr>
            <w:tcW w:w="1530" w:type="dxa"/>
          </w:tcPr>
          <w:p w14:paraId="425009CA" w14:textId="55CBF386" w:rsidR="003C73C1" w:rsidRDefault="003C73C1" w:rsidP="007757E6">
            <w:pPr>
              <w:rPr>
                <w:rFonts w:ascii="Times New Roman" w:hAnsi="Times New Roman" w:cs="Times New Roman"/>
              </w:rPr>
            </w:pPr>
            <w:r>
              <w:rPr>
                <w:rFonts w:ascii="Times New Roman" w:hAnsi="Times New Roman" w:cs="Times New Roman"/>
              </w:rPr>
              <w:t>Two-Bedroom</w:t>
            </w:r>
          </w:p>
        </w:tc>
        <w:tc>
          <w:tcPr>
            <w:tcW w:w="1710" w:type="dxa"/>
          </w:tcPr>
          <w:p w14:paraId="25F354B5" w14:textId="3AF4C7C3" w:rsidR="003C73C1" w:rsidRDefault="003C73C1" w:rsidP="007757E6">
            <w:pPr>
              <w:rPr>
                <w:rFonts w:ascii="Times New Roman" w:hAnsi="Times New Roman" w:cs="Times New Roman"/>
              </w:rPr>
            </w:pPr>
            <w:r>
              <w:rPr>
                <w:rFonts w:ascii="Times New Roman" w:hAnsi="Times New Roman" w:cs="Times New Roman"/>
              </w:rPr>
              <w:t>Three-Bedroom</w:t>
            </w:r>
          </w:p>
        </w:tc>
        <w:tc>
          <w:tcPr>
            <w:tcW w:w="1705" w:type="dxa"/>
          </w:tcPr>
          <w:p w14:paraId="1394543A" w14:textId="7EC31D2D" w:rsidR="003C73C1" w:rsidRDefault="003C73C1" w:rsidP="007757E6">
            <w:pPr>
              <w:rPr>
                <w:rFonts w:ascii="Times New Roman" w:hAnsi="Times New Roman" w:cs="Times New Roman"/>
              </w:rPr>
            </w:pPr>
            <w:r>
              <w:rPr>
                <w:rFonts w:ascii="Times New Roman" w:hAnsi="Times New Roman" w:cs="Times New Roman"/>
              </w:rPr>
              <w:t>Four-Bedroom</w:t>
            </w:r>
          </w:p>
        </w:tc>
      </w:tr>
      <w:tr w:rsidR="003C73C1" w14:paraId="666CE5EB" w14:textId="77777777" w:rsidTr="003C73C1">
        <w:tc>
          <w:tcPr>
            <w:tcW w:w="1545" w:type="dxa"/>
          </w:tcPr>
          <w:p w14:paraId="2F21930A" w14:textId="7226DD4C" w:rsidR="003C73C1" w:rsidRDefault="003C73C1" w:rsidP="007757E6">
            <w:pPr>
              <w:rPr>
                <w:rFonts w:ascii="Times New Roman" w:hAnsi="Times New Roman" w:cs="Times New Roman"/>
              </w:rPr>
            </w:pPr>
            <w:r>
              <w:rPr>
                <w:rFonts w:ascii="Times New Roman" w:hAnsi="Times New Roman" w:cs="Times New Roman"/>
              </w:rPr>
              <w:t>2023</w:t>
            </w:r>
          </w:p>
        </w:tc>
        <w:tc>
          <w:tcPr>
            <w:tcW w:w="1330" w:type="dxa"/>
          </w:tcPr>
          <w:p w14:paraId="3612A07A" w14:textId="0EB3EAF5" w:rsidR="003C73C1" w:rsidRDefault="003C73C1" w:rsidP="007757E6">
            <w:pPr>
              <w:rPr>
                <w:rFonts w:ascii="Times New Roman" w:hAnsi="Times New Roman" w:cs="Times New Roman"/>
              </w:rPr>
            </w:pPr>
            <w:r>
              <w:rPr>
                <w:rFonts w:ascii="Times New Roman" w:hAnsi="Times New Roman" w:cs="Times New Roman"/>
              </w:rPr>
              <w:t>$1,777</w:t>
            </w:r>
          </w:p>
        </w:tc>
        <w:tc>
          <w:tcPr>
            <w:tcW w:w="1530" w:type="dxa"/>
          </w:tcPr>
          <w:p w14:paraId="03A34ADB" w14:textId="7C173348" w:rsidR="003C73C1" w:rsidRDefault="003C73C1" w:rsidP="007757E6">
            <w:pPr>
              <w:rPr>
                <w:rFonts w:ascii="Times New Roman" w:hAnsi="Times New Roman" w:cs="Times New Roman"/>
              </w:rPr>
            </w:pPr>
            <w:r>
              <w:rPr>
                <w:rFonts w:ascii="Times New Roman" w:hAnsi="Times New Roman" w:cs="Times New Roman"/>
              </w:rPr>
              <w:t>$2,006</w:t>
            </w:r>
          </w:p>
        </w:tc>
        <w:tc>
          <w:tcPr>
            <w:tcW w:w="1530" w:type="dxa"/>
          </w:tcPr>
          <w:p w14:paraId="2A7B6191" w14:textId="2CAD0181" w:rsidR="003C73C1" w:rsidRDefault="003C73C1" w:rsidP="007757E6">
            <w:pPr>
              <w:rPr>
                <w:rFonts w:ascii="Times New Roman" w:hAnsi="Times New Roman" w:cs="Times New Roman"/>
              </w:rPr>
            </w:pPr>
            <w:r>
              <w:rPr>
                <w:rFonts w:ascii="Times New Roman" w:hAnsi="Times New Roman" w:cs="Times New Roman"/>
              </w:rPr>
              <w:t>$2,544</w:t>
            </w:r>
          </w:p>
        </w:tc>
        <w:tc>
          <w:tcPr>
            <w:tcW w:w="1710" w:type="dxa"/>
          </w:tcPr>
          <w:p w14:paraId="01EA01D7" w14:textId="072E864F" w:rsidR="003C73C1" w:rsidRDefault="003C73C1" w:rsidP="007757E6">
            <w:pPr>
              <w:rPr>
                <w:rFonts w:ascii="Times New Roman" w:hAnsi="Times New Roman" w:cs="Times New Roman"/>
              </w:rPr>
            </w:pPr>
            <w:r>
              <w:rPr>
                <w:rFonts w:ascii="Times New Roman" w:hAnsi="Times New Roman" w:cs="Times New Roman"/>
              </w:rPr>
              <w:t>$3,263</w:t>
            </w:r>
          </w:p>
        </w:tc>
        <w:tc>
          <w:tcPr>
            <w:tcW w:w="1705" w:type="dxa"/>
          </w:tcPr>
          <w:p w14:paraId="5A5ABF62" w14:textId="743C0E65" w:rsidR="003C73C1" w:rsidRDefault="003C73C1" w:rsidP="007757E6">
            <w:pPr>
              <w:rPr>
                <w:rFonts w:ascii="Times New Roman" w:hAnsi="Times New Roman" w:cs="Times New Roman"/>
              </w:rPr>
            </w:pPr>
            <w:r>
              <w:rPr>
                <w:rFonts w:ascii="Times New Roman" w:hAnsi="Times New Roman" w:cs="Times New Roman"/>
              </w:rPr>
              <w:t>$3,600</w:t>
            </w:r>
          </w:p>
        </w:tc>
      </w:tr>
      <w:tr w:rsidR="003C73C1" w14:paraId="434DD8CC" w14:textId="77777777" w:rsidTr="003C73C1">
        <w:tc>
          <w:tcPr>
            <w:tcW w:w="1545" w:type="dxa"/>
          </w:tcPr>
          <w:p w14:paraId="1D24A6F4" w14:textId="227B7BC0" w:rsidR="003C73C1" w:rsidRDefault="003C73C1" w:rsidP="007757E6">
            <w:pPr>
              <w:rPr>
                <w:rFonts w:ascii="Times New Roman" w:hAnsi="Times New Roman" w:cs="Times New Roman"/>
              </w:rPr>
            </w:pPr>
            <w:r>
              <w:rPr>
                <w:rFonts w:ascii="Times New Roman" w:hAnsi="Times New Roman" w:cs="Times New Roman"/>
              </w:rPr>
              <w:t>2024</w:t>
            </w:r>
          </w:p>
        </w:tc>
        <w:tc>
          <w:tcPr>
            <w:tcW w:w="1330" w:type="dxa"/>
          </w:tcPr>
          <w:p w14:paraId="2225A380" w14:textId="20117C0D" w:rsidR="003C73C1" w:rsidRDefault="003C73C1" w:rsidP="007757E6">
            <w:pPr>
              <w:rPr>
                <w:rFonts w:ascii="Times New Roman" w:hAnsi="Times New Roman" w:cs="Times New Roman"/>
              </w:rPr>
            </w:pPr>
            <w:r>
              <w:rPr>
                <w:rFonts w:ascii="Times New Roman" w:hAnsi="Times New Roman" w:cs="Times New Roman"/>
              </w:rPr>
              <w:t>$1,534</w:t>
            </w:r>
          </w:p>
        </w:tc>
        <w:tc>
          <w:tcPr>
            <w:tcW w:w="1530" w:type="dxa"/>
          </w:tcPr>
          <w:p w14:paraId="18FE3C92" w14:textId="663AA0AB" w:rsidR="003C73C1" w:rsidRDefault="003C73C1" w:rsidP="007757E6">
            <w:pPr>
              <w:rPr>
                <w:rFonts w:ascii="Times New Roman" w:hAnsi="Times New Roman" w:cs="Times New Roman"/>
              </w:rPr>
            </w:pPr>
            <w:r>
              <w:rPr>
                <w:rFonts w:ascii="Times New Roman" w:hAnsi="Times New Roman" w:cs="Times New Roman"/>
              </w:rPr>
              <w:t>$1,747</w:t>
            </w:r>
          </w:p>
        </w:tc>
        <w:tc>
          <w:tcPr>
            <w:tcW w:w="1530" w:type="dxa"/>
          </w:tcPr>
          <w:p w14:paraId="6C66630F" w14:textId="7F1DFD47" w:rsidR="003C73C1" w:rsidRDefault="003C73C1" w:rsidP="007757E6">
            <w:pPr>
              <w:rPr>
                <w:rFonts w:ascii="Times New Roman" w:hAnsi="Times New Roman" w:cs="Times New Roman"/>
              </w:rPr>
            </w:pPr>
            <w:r>
              <w:rPr>
                <w:rFonts w:ascii="Times New Roman" w:hAnsi="Times New Roman" w:cs="Times New Roman"/>
              </w:rPr>
              <w:t>$2,222</w:t>
            </w:r>
          </w:p>
        </w:tc>
        <w:tc>
          <w:tcPr>
            <w:tcW w:w="1710" w:type="dxa"/>
          </w:tcPr>
          <w:p w14:paraId="250E247C" w14:textId="02B5EC36" w:rsidR="003C73C1" w:rsidRDefault="003C73C1" w:rsidP="007757E6">
            <w:pPr>
              <w:rPr>
                <w:rFonts w:ascii="Times New Roman" w:hAnsi="Times New Roman" w:cs="Times New Roman"/>
              </w:rPr>
            </w:pPr>
            <w:r>
              <w:rPr>
                <w:rFonts w:ascii="Times New Roman" w:hAnsi="Times New Roman" w:cs="Times New Roman"/>
              </w:rPr>
              <w:t>$2,888</w:t>
            </w:r>
          </w:p>
        </w:tc>
        <w:tc>
          <w:tcPr>
            <w:tcW w:w="1705" w:type="dxa"/>
          </w:tcPr>
          <w:p w14:paraId="2EF3353B" w14:textId="47FC15F6" w:rsidR="003C73C1" w:rsidRDefault="003C73C1" w:rsidP="007757E6">
            <w:pPr>
              <w:rPr>
                <w:rFonts w:ascii="Times New Roman" w:hAnsi="Times New Roman" w:cs="Times New Roman"/>
              </w:rPr>
            </w:pPr>
            <w:r>
              <w:rPr>
                <w:rFonts w:ascii="Times New Roman" w:hAnsi="Times New Roman" w:cs="Times New Roman"/>
              </w:rPr>
              <w:t>$3,170</w:t>
            </w:r>
          </w:p>
        </w:tc>
      </w:tr>
    </w:tbl>
    <w:p w14:paraId="633D1DB0" w14:textId="14132E10" w:rsidR="003C73C1" w:rsidRPr="003C73C1" w:rsidRDefault="003C73C1" w:rsidP="007757E6">
      <w:pPr>
        <w:rPr>
          <w:rFonts w:ascii="Times New Roman" w:hAnsi="Times New Roman" w:cs="Times New Roman"/>
          <w:sz w:val="20"/>
          <w:szCs w:val="20"/>
        </w:rPr>
      </w:pPr>
      <w:r w:rsidRPr="003C73C1">
        <w:rPr>
          <w:rFonts w:ascii="Times New Roman" w:hAnsi="Times New Roman" w:cs="Times New Roman"/>
          <w:sz w:val="20"/>
          <w:szCs w:val="20"/>
        </w:rPr>
        <w:t>Source: FY 2024 Fair Market Rent Documentation System, HUD</w:t>
      </w:r>
    </w:p>
    <w:p w14:paraId="0A157AD3" w14:textId="1EFCE45D" w:rsidR="00365B0A" w:rsidRPr="006A7C86" w:rsidRDefault="003C73C1" w:rsidP="007757E6">
      <w:pPr>
        <w:rPr>
          <w:rFonts w:ascii="Times New Roman" w:hAnsi="Times New Roman" w:cs="Times New Roman"/>
          <w:b/>
          <w:bCs/>
        </w:rPr>
      </w:pPr>
      <w:r>
        <w:rPr>
          <w:rFonts w:ascii="Times New Roman" w:hAnsi="Times New Roman" w:cs="Times New Roman"/>
        </w:rPr>
        <w:t xml:space="preserve">Households with voucher receive rental assistance up to the allowable FMR based on their PHA and unit size. </w:t>
      </w:r>
      <w:r w:rsidR="005D4F0E">
        <w:rPr>
          <w:rFonts w:ascii="Times New Roman" w:hAnsi="Times New Roman" w:cs="Times New Roman"/>
        </w:rPr>
        <w:t xml:space="preserve">If a household receives zero income annually, then they receive then the voucher can be used to cover their rent up to the full value of the voucher. However, if households receive some annual income, then they pay 30% of their rent towards rent each month. </w:t>
      </w:r>
      <w:r>
        <w:rPr>
          <w:rFonts w:ascii="Times New Roman" w:hAnsi="Times New Roman" w:cs="Times New Roman"/>
        </w:rPr>
        <w:t xml:space="preserve">If the unit is slightly more expensive than the </w:t>
      </w:r>
      <w:r w:rsidR="005D4F0E">
        <w:rPr>
          <w:rFonts w:ascii="Times New Roman" w:hAnsi="Times New Roman" w:cs="Times New Roman"/>
        </w:rPr>
        <w:t xml:space="preserve">FMR </w:t>
      </w:r>
      <w:r>
        <w:rPr>
          <w:rFonts w:ascii="Times New Roman" w:hAnsi="Times New Roman" w:cs="Times New Roman"/>
        </w:rPr>
        <w:t xml:space="preserve">then households are allowed to pay the difference between the </w:t>
      </w:r>
      <w:r w:rsidR="005D4F0E">
        <w:rPr>
          <w:rFonts w:ascii="Times New Roman" w:hAnsi="Times New Roman" w:cs="Times New Roman"/>
        </w:rPr>
        <w:t xml:space="preserve">maximum </w:t>
      </w:r>
      <w:r>
        <w:rPr>
          <w:rFonts w:ascii="Times New Roman" w:hAnsi="Times New Roman" w:cs="Times New Roman"/>
        </w:rPr>
        <w:t xml:space="preserve">voucher amount and the monthly rent out of pocket. However, households who rent units below the maximum allowable rent do not receive any funds or incentive for renting more affordable units. To rent a unit using an HCV, households must apply to units on the private market and the unit needs to pass a habitability inspection conducted by the local PHA to ensure that the unit meets habitability codes and standards. </w:t>
      </w:r>
    </w:p>
    <w:p w14:paraId="454544CB" w14:textId="77777777" w:rsidR="00AA7FCE" w:rsidRDefault="003658CB" w:rsidP="00F00BAA">
      <w:pPr>
        <w:rPr>
          <w:rFonts w:ascii="Times New Roman" w:hAnsi="Times New Roman" w:cs="Times New Roman"/>
        </w:rPr>
      </w:pPr>
      <w:r>
        <w:rPr>
          <w:rFonts w:ascii="Times New Roman" w:hAnsi="Times New Roman" w:cs="Times New Roman"/>
        </w:rPr>
        <w:tab/>
        <w:t xml:space="preserve">In regions with highly variable rental rates like the Los Angeles Metro region, it can be difficult for voucher holders to use their voucher in certain geographic areas. For example, if a voucher household wanted to rent a unit in an affluent area like Beverly Hills, they have the same maximum rental cap as they would if they were applying to rent a unit in a lower-cost area in the Los Angeles Metro region like the Antelope Valley. In practice, this means that while voucher holders can technically rent anywhere in Los Angeles, because many areas have very high rents certain areas of Los Angeles are not available to voucher households because the rents are too high. To combat this issue, some PHAs have started using Small Area Fair Market Rents (SAFMR) which determine the annual maximum voucher value per unit size based on zip code. For example, if SAFMRs were adopted in LA the same household trying to rent a two-bedroom in Beverly Hills would have a maximum voucher value above the 2024 FMR rate of $2,544 for Los Angeles County. However, if this family tried to rent in a low-cost zip code in Antelope Valley their available voucher value for a two-bedroom would be less than $2,544. </w:t>
      </w:r>
    </w:p>
    <w:p w14:paraId="775C4B43" w14:textId="7A13D9F5" w:rsidR="00F00BAA" w:rsidRDefault="00AA7FCE" w:rsidP="00F00BAA">
      <w:pPr>
        <w:rPr>
          <w:rFonts w:ascii="Times New Roman" w:hAnsi="Times New Roman" w:cs="Times New Roman"/>
        </w:rPr>
      </w:pPr>
      <w:r>
        <w:rPr>
          <w:rFonts w:ascii="Times New Roman" w:hAnsi="Times New Roman" w:cs="Times New Roman"/>
        </w:rPr>
        <w:tab/>
        <w:t xml:space="preserve">Voucher pricing has important equity implications for households who have been issued or who are using an HCV.  A selling point of the HCV program was that, unlike public housing, it allowed households the opportunity to move to neighborhoods where they wanted to live. Meaning that households could move to high opportunity neighborhoods with better schools and jobs, unlike public housing which came under fire for pushing poor people into living in neighborhoods with concentrated poverty and fewer job and educational opportunities. </w:t>
      </w:r>
      <w:r w:rsidR="008E63BA">
        <w:rPr>
          <w:rFonts w:ascii="Times New Roman" w:hAnsi="Times New Roman" w:cs="Times New Roman"/>
        </w:rPr>
        <w:t xml:space="preserve">While promising in theory, this idea of how vouchers can be used has many limitations in practice. Many voucher holders still live in high poverty neighborhoods with limited access to high opportunity neighborhoods. Additionally, some research has shown that white households with vouchers are more likely to live in lower poverty neighborhoods while households of color are less likely to live in low poverty neighborhoods. </w:t>
      </w:r>
      <w:r w:rsidR="008E63BA">
        <w:rPr>
          <w:rFonts w:ascii="Times New Roman" w:hAnsi="Times New Roman" w:cs="Times New Roman"/>
        </w:rPr>
        <w:t xml:space="preserve">Some research has suggested that the racial and ethnic differences in access to low-poverty </w:t>
      </w:r>
      <w:r w:rsidR="008E63BA">
        <w:rPr>
          <w:rFonts w:ascii="Times New Roman" w:hAnsi="Times New Roman" w:cs="Times New Roman"/>
        </w:rPr>
        <w:t xml:space="preserve">neighborhoods may be due to racial discrimination by landlords and property managers, and others have suggested that voucher households of </w:t>
      </w:r>
      <w:r w:rsidR="008E63BA">
        <w:rPr>
          <w:rFonts w:ascii="Times New Roman" w:hAnsi="Times New Roman" w:cs="Times New Roman"/>
        </w:rPr>
        <w:lastRenderedPageBreak/>
        <w:t xml:space="preserve">color may prefer to live high-poverty neighborhoods that are predominantly communities of color if the low-poverty neighborhoods in their region are predominantly white. Additionally, patterns of voucher use and access to low-poverty neighborhoods are further constrained in competitive rental markets like Los Angeles’ and in regions with a wide variation in rental pricing because voucher holders who are </w:t>
      </w:r>
      <w:proofErr w:type="gramStart"/>
      <w:r w:rsidR="008E63BA">
        <w:rPr>
          <w:rFonts w:ascii="Times New Roman" w:hAnsi="Times New Roman" w:cs="Times New Roman"/>
        </w:rPr>
        <w:t>by definition very</w:t>
      </w:r>
      <w:proofErr w:type="gramEnd"/>
      <w:r w:rsidR="008E63BA">
        <w:rPr>
          <w:rFonts w:ascii="Times New Roman" w:hAnsi="Times New Roman" w:cs="Times New Roman"/>
        </w:rPr>
        <w:t xml:space="preserve"> low-income cannot afford to live in areas which rents falling significantly above FMR. </w:t>
      </w:r>
    </w:p>
    <w:p w14:paraId="578CE65E" w14:textId="3057957B" w:rsidR="005A4E17" w:rsidRDefault="008E63BA" w:rsidP="00F00BAA">
      <w:pPr>
        <w:rPr>
          <w:rFonts w:ascii="Times New Roman" w:hAnsi="Times New Roman" w:cs="Times New Roman"/>
        </w:rPr>
      </w:pPr>
      <w:r>
        <w:rPr>
          <w:rFonts w:ascii="Times New Roman" w:hAnsi="Times New Roman" w:cs="Times New Roman"/>
        </w:rPr>
        <w:tab/>
      </w:r>
      <w:r w:rsidR="005A680B">
        <w:rPr>
          <w:rFonts w:ascii="Times New Roman" w:hAnsi="Times New Roman" w:cs="Times New Roman"/>
        </w:rPr>
        <w:t>While Los Angeles does not use SAFMRs to determine the values of a voucher, SAFMRs are calculated annually by HUD for Los Angeles. To understand the prices of units available to voucher holders in Los Angeles between 2017 and 2020, we calculated the relationship between the SAFMRs of the zip codes where units were rented with the annual FMR</w:t>
      </w:r>
      <w:r w:rsidR="00965A77">
        <w:rPr>
          <w:rFonts w:ascii="Times New Roman" w:hAnsi="Times New Roman" w:cs="Times New Roman"/>
        </w:rPr>
        <w:t xml:space="preserve"> which were graphed using an area </w:t>
      </w:r>
      <w:proofErr w:type="gramStart"/>
      <w:r w:rsidR="00965A77">
        <w:rPr>
          <w:rFonts w:ascii="Times New Roman" w:hAnsi="Times New Roman" w:cs="Times New Roman"/>
        </w:rPr>
        <w:t>graph, and</w:t>
      </w:r>
      <w:proofErr w:type="gramEnd"/>
      <w:r w:rsidR="00965A77">
        <w:rPr>
          <w:rFonts w:ascii="Times New Roman" w:hAnsi="Times New Roman" w:cs="Times New Roman"/>
        </w:rPr>
        <w:t xml:space="preserve"> represented by a smoothing line to reduce noise in the visual. The smoothing lines representing the annual trends for 2017-2022 are reflected in Figure 1. In 2017, the first year graphed, the distribution of vouchers is closer to normal but skewed right, meaning that voucher household are renting units below and above </w:t>
      </w:r>
      <w:proofErr w:type="gramStart"/>
      <w:r w:rsidR="00965A77">
        <w:rPr>
          <w:rFonts w:ascii="Times New Roman" w:hAnsi="Times New Roman" w:cs="Times New Roman"/>
        </w:rPr>
        <w:t>FMR</w:t>
      </w:r>
      <w:proofErr w:type="gramEnd"/>
      <w:r w:rsidR="00965A77">
        <w:rPr>
          <w:rFonts w:ascii="Times New Roman" w:hAnsi="Times New Roman" w:cs="Times New Roman"/>
        </w:rPr>
        <w:t xml:space="preserve"> but more households are renting units above FMR. Between 2021 and 2020 </w:t>
      </w:r>
      <w:proofErr w:type="gramStart"/>
      <w:r w:rsidR="00965A77">
        <w:rPr>
          <w:rFonts w:ascii="Times New Roman" w:hAnsi="Times New Roman" w:cs="Times New Roman"/>
        </w:rPr>
        <w:t>the majority of</w:t>
      </w:r>
      <w:proofErr w:type="gramEnd"/>
      <w:r w:rsidR="00965A77">
        <w:rPr>
          <w:rFonts w:ascii="Times New Roman" w:hAnsi="Times New Roman" w:cs="Times New Roman"/>
        </w:rPr>
        <w:t xml:space="preserve"> HCV units rented </w:t>
      </w:r>
      <w:r w:rsidR="005D4F0E">
        <w:rPr>
          <w:rFonts w:ascii="Times New Roman" w:hAnsi="Times New Roman" w:cs="Times New Roman"/>
        </w:rPr>
        <w:t>at around 1.2 FMR, meaning that most voucher households were paying</w:t>
      </w:r>
      <w:r w:rsidR="00E561A0">
        <w:rPr>
          <w:rFonts w:ascii="Times New Roman" w:hAnsi="Times New Roman" w:cs="Times New Roman"/>
        </w:rPr>
        <w:t xml:space="preserve"> at least</w:t>
      </w:r>
      <w:r w:rsidR="005D4F0E">
        <w:rPr>
          <w:rFonts w:ascii="Times New Roman" w:hAnsi="Times New Roman" w:cs="Times New Roman"/>
        </w:rPr>
        <w:t xml:space="preserve"> 20% </w:t>
      </w:r>
      <w:r w:rsidR="00E561A0">
        <w:rPr>
          <w:rFonts w:ascii="Times New Roman" w:hAnsi="Times New Roman" w:cs="Times New Roman"/>
        </w:rPr>
        <w:t xml:space="preserve">of their rent out of pocket because the rental rate falls above FMR. For households with income, in addition to the amount they pay above the maximum allowable voucher value, they would also pay 30% of their monthly income in rent. In 2021 and 2022 </w:t>
      </w:r>
      <w:proofErr w:type="gramStart"/>
      <w:r w:rsidR="00E561A0">
        <w:rPr>
          <w:rFonts w:ascii="Times New Roman" w:hAnsi="Times New Roman" w:cs="Times New Roman"/>
        </w:rPr>
        <w:t>the majority of</w:t>
      </w:r>
      <w:proofErr w:type="gramEnd"/>
      <w:r w:rsidR="00E561A0">
        <w:rPr>
          <w:rFonts w:ascii="Times New Roman" w:hAnsi="Times New Roman" w:cs="Times New Roman"/>
        </w:rPr>
        <w:t xml:space="preserve"> HCV households are renting at 10% above FMR. Figure 2 shows how these annual trends relate to one another by superimposing the smoothing lines for each year from the individual graphs shown in Figure 1.</w:t>
      </w:r>
    </w:p>
    <w:p w14:paraId="52EC6D2C" w14:textId="1622F9D6" w:rsidR="005A4E17" w:rsidRPr="00751B7B" w:rsidRDefault="005A4E17" w:rsidP="00F00BAA">
      <w:pPr>
        <w:rPr>
          <w:rFonts w:ascii="Times New Roman" w:hAnsi="Times New Roman" w:cs="Times New Roman"/>
          <w:b/>
          <w:bCs/>
        </w:rPr>
      </w:pPr>
      <w:r w:rsidRPr="00751B7B">
        <w:rPr>
          <w:rFonts w:ascii="Times New Roman" w:hAnsi="Times New Roman" w:cs="Times New Roman"/>
          <w:b/>
          <w:bCs/>
        </w:rPr>
        <w:t xml:space="preserve">Figure 1: Number of units rented in zip codes with SAFMR below, at and above </w:t>
      </w:r>
      <w:proofErr w:type="gramStart"/>
      <w:r w:rsidRPr="00751B7B">
        <w:rPr>
          <w:rFonts w:ascii="Times New Roman" w:hAnsi="Times New Roman" w:cs="Times New Roman"/>
          <w:b/>
          <w:bCs/>
        </w:rPr>
        <w:t>FMR</w:t>
      </w:r>
      <w:proofErr w:type="gramEnd"/>
    </w:p>
    <w:p w14:paraId="77D7A1A7" w14:textId="05AB1829" w:rsidR="006305FB" w:rsidRDefault="006305FB" w:rsidP="00F00BAA">
      <w:pPr>
        <w:rPr>
          <w:rFonts w:ascii="Times New Roman" w:hAnsi="Times New Roman" w:cs="Times New Roman"/>
        </w:rPr>
      </w:pPr>
      <w:r>
        <w:rPr>
          <w:rFonts w:ascii="Times New Roman" w:hAnsi="Times New Roman" w:cs="Times New Roman"/>
          <w:noProof/>
        </w:rPr>
        <w:drawing>
          <wp:inline distT="0" distB="0" distL="0" distR="0" wp14:anchorId="0FCA898E" wp14:editId="40E30378">
            <wp:extent cx="5943600" cy="3566160"/>
            <wp:effectExtent l="0" t="0" r="0" b="0"/>
            <wp:docPr id="1333008336"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08336" name="Picture 5"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C6DC9A8" w14:textId="3E245F1C" w:rsidR="005A680B" w:rsidRDefault="005A680B" w:rsidP="00F00BAA">
      <w:pPr>
        <w:rPr>
          <w:rFonts w:ascii="Times New Roman" w:hAnsi="Times New Roman" w:cs="Times New Roman"/>
        </w:rPr>
      </w:pPr>
    </w:p>
    <w:p w14:paraId="5F57627F" w14:textId="77777777" w:rsidR="005A4E17" w:rsidRDefault="005A4E17" w:rsidP="00F00BAA">
      <w:pPr>
        <w:rPr>
          <w:rFonts w:ascii="Times New Roman" w:hAnsi="Times New Roman" w:cs="Times New Roman"/>
        </w:rPr>
      </w:pPr>
    </w:p>
    <w:p w14:paraId="3241E808" w14:textId="77777777" w:rsidR="005A4E17" w:rsidRDefault="005A4E17" w:rsidP="00F00BAA">
      <w:pPr>
        <w:rPr>
          <w:rFonts w:ascii="Times New Roman" w:hAnsi="Times New Roman" w:cs="Times New Roman"/>
        </w:rPr>
      </w:pPr>
    </w:p>
    <w:p w14:paraId="3891F1E6" w14:textId="77777777" w:rsidR="005A4E17" w:rsidRDefault="005A4E17" w:rsidP="00F00BAA">
      <w:pPr>
        <w:rPr>
          <w:rFonts w:ascii="Times New Roman" w:hAnsi="Times New Roman" w:cs="Times New Roman"/>
        </w:rPr>
      </w:pPr>
    </w:p>
    <w:p w14:paraId="4F6765B1" w14:textId="50669891" w:rsidR="005A4E17" w:rsidRPr="00751B7B" w:rsidRDefault="005A4E17" w:rsidP="00F00BAA">
      <w:pPr>
        <w:rPr>
          <w:rFonts w:ascii="Times New Roman" w:hAnsi="Times New Roman" w:cs="Times New Roman"/>
          <w:b/>
          <w:bCs/>
        </w:rPr>
      </w:pPr>
      <w:r w:rsidRPr="00751B7B">
        <w:rPr>
          <w:rFonts w:ascii="Times New Roman" w:hAnsi="Times New Roman" w:cs="Times New Roman"/>
          <w:b/>
          <w:bCs/>
        </w:rPr>
        <w:t>Figure 2: Smoothed line graph of</w:t>
      </w:r>
      <w:r w:rsidRPr="00751B7B">
        <w:rPr>
          <w:rFonts w:ascii="Times New Roman" w:hAnsi="Times New Roman" w:cs="Times New Roman"/>
          <w:b/>
          <w:bCs/>
        </w:rPr>
        <w:t xml:space="preserve"> units rented in zip codes with SAFMR below, at and above </w:t>
      </w:r>
      <w:proofErr w:type="gramStart"/>
      <w:r w:rsidRPr="00751B7B">
        <w:rPr>
          <w:rFonts w:ascii="Times New Roman" w:hAnsi="Times New Roman" w:cs="Times New Roman"/>
          <w:b/>
          <w:bCs/>
        </w:rPr>
        <w:t>FMR</w:t>
      </w:r>
      <w:proofErr w:type="gramEnd"/>
    </w:p>
    <w:p w14:paraId="2DA70D1C" w14:textId="26BA6ECD" w:rsidR="00F00BAA" w:rsidRPr="006A7C86" w:rsidRDefault="005A680B" w:rsidP="00F00BAA">
      <w:pPr>
        <w:rPr>
          <w:rFonts w:ascii="Times New Roman" w:hAnsi="Times New Roman" w:cs="Times New Roman"/>
        </w:rPr>
      </w:pPr>
      <w:r>
        <w:rPr>
          <w:rFonts w:ascii="Times New Roman" w:hAnsi="Times New Roman" w:cs="Times New Roman"/>
          <w:noProof/>
        </w:rPr>
        <w:drawing>
          <wp:inline distT="0" distB="0" distL="0" distR="0" wp14:anchorId="59396A1D" wp14:editId="215B2737">
            <wp:extent cx="5943600" cy="3566160"/>
            <wp:effectExtent l="0" t="0" r="0" b="0"/>
            <wp:docPr id="2052836804"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36804"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D999E1A" w14:textId="1D52FD1E" w:rsidR="00E561A0" w:rsidRDefault="00E561A0" w:rsidP="00F00BAA">
      <w:pPr>
        <w:rPr>
          <w:rFonts w:ascii="Times New Roman" w:hAnsi="Times New Roman" w:cs="Times New Roman"/>
        </w:rPr>
      </w:pPr>
      <w:r>
        <w:rPr>
          <w:rFonts w:ascii="Times New Roman" w:hAnsi="Times New Roman" w:cs="Times New Roman"/>
        </w:rPr>
        <w:t xml:space="preserve">It is useful to compare how the number of units rented in zip codes with a given SAFMR compares to the annual FMR because the rates change annually to account for inflation and changes in rental market pricing. Looking at how the number of units rented in zip codes where rental units are more or less expensive than the voucher holders maximum voucher amount is telling of the types of units available to HCV households and the constraints they face when renting. </w:t>
      </w:r>
    </w:p>
    <w:p w14:paraId="1FD3A2BA" w14:textId="0A6823BE" w:rsidR="00F54F84" w:rsidRDefault="00E561A0" w:rsidP="00260048">
      <w:pPr>
        <w:ind w:firstLine="720"/>
        <w:rPr>
          <w:rFonts w:ascii="Times New Roman" w:hAnsi="Times New Roman" w:cs="Times New Roman"/>
        </w:rPr>
      </w:pPr>
      <w:r>
        <w:rPr>
          <w:rFonts w:ascii="Times New Roman" w:hAnsi="Times New Roman" w:cs="Times New Roman"/>
        </w:rPr>
        <w:t xml:space="preserve">The fact that the distribution of the number of units rented at each price point is not closer to normal </w:t>
      </w:r>
      <w:r w:rsidR="00260048">
        <w:rPr>
          <w:rFonts w:ascii="Times New Roman" w:hAnsi="Times New Roman" w:cs="Times New Roman"/>
        </w:rPr>
        <w:t xml:space="preserve">or skewed to the left is surprising. A normal distribution for these years would reflect that HCV households are just as likely to rent above in zip codes with units typically falling at prices above and below FMR. A left skewed distribution would suggest that HCV households tend to rent in zip codes where rents are typically at or below FMR, which would make sense because if the unit they rent is at or below FMR then HCV households who are low income would then not need to pay additional rent out of pocket to account for rent amounts above the maximum allowable voucher value. However, we see that </w:t>
      </w:r>
      <w:r w:rsidR="00D4026B">
        <w:rPr>
          <w:rFonts w:ascii="Times New Roman" w:hAnsi="Times New Roman" w:cs="Times New Roman"/>
        </w:rPr>
        <w:t xml:space="preserve">after 2017 the smoothed lined of rental patterns in Figure 2 increase exponentially for years 2018 through 2022. Across all years, </w:t>
      </w:r>
      <w:proofErr w:type="gramStart"/>
      <w:r w:rsidR="00D4026B">
        <w:rPr>
          <w:rFonts w:ascii="Times New Roman" w:hAnsi="Times New Roman" w:cs="Times New Roman"/>
        </w:rPr>
        <w:t>the majority of</w:t>
      </w:r>
      <w:proofErr w:type="gramEnd"/>
      <w:r w:rsidR="00D4026B">
        <w:rPr>
          <w:rFonts w:ascii="Times New Roman" w:hAnsi="Times New Roman" w:cs="Times New Roman"/>
        </w:rPr>
        <w:t xml:space="preserve"> HCV households in LA County are renting in zip codes with SAFMRs about their maximum voucher value, which may suggest that these households are unable to find rental units at lower price points using their vouchers. This could be due to </w:t>
      </w:r>
      <w:proofErr w:type="gramStart"/>
      <w:r w:rsidR="00C55DF3">
        <w:rPr>
          <w:rFonts w:ascii="Times New Roman" w:hAnsi="Times New Roman" w:cs="Times New Roman"/>
        </w:rPr>
        <w:t>a number of</w:t>
      </w:r>
      <w:proofErr w:type="gramEnd"/>
      <w:r w:rsidR="00C55DF3">
        <w:rPr>
          <w:rFonts w:ascii="Times New Roman" w:hAnsi="Times New Roman" w:cs="Times New Roman"/>
        </w:rPr>
        <w:t xml:space="preserve"> different factors like </w:t>
      </w:r>
      <w:r w:rsidR="00D4026B">
        <w:rPr>
          <w:rFonts w:ascii="Times New Roman" w:hAnsi="Times New Roman" w:cs="Times New Roman"/>
        </w:rPr>
        <w:t xml:space="preserve">source of income discrimination, </w:t>
      </w:r>
      <w:r w:rsidR="00C55DF3">
        <w:rPr>
          <w:rFonts w:ascii="Times New Roman" w:hAnsi="Times New Roman" w:cs="Times New Roman"/>
        </w:rPr>
        <w:t>the competitiveness of LA’s rental market, or the pricing of the FMR rate being too low to reasonable afford an apartment. Further data collection and analysis is needed to understand this trend. The qualitative data collection component of this study may help offer additional insight into why most HCV households in LA are renting in zip codes above their price range which may require them to pay additional rent out of pocket on to of the 30% of their monthly income that they pay their landlord.</w:t>
      </w:r>
    </w:p>
    <w:p w14:paraId="44996CB5" w14:textId="5EBAA30B" w:rsidR="00F54F84" w:rsidRPr="00044A1B" w:rsidRDefault="00C55DF3" w:rsidP="00751B7B">
      <w:pPr>
        <w:ind w:firstLine="720"/>
        <w:rPr>
          <w:rFonts w:ascii="Times New Roman" w:hAnsi="Times New Roman" w:cs="Times New Roman"/>
        </w:rPr>
      </w:pPr>
      <w:r>
        <w:rPr>
          <w:rFonts w:ascii="Times New Roman" w:hAnsi="Times New Roman" w:cs="Times New Roman"/>
        </w:rPr>
        <w:lastRenderedPageBreak/>
        <w:t xml:space="preserve">In addition to understanding what price points HCV households are renting at, considering where they are living and how their neighborhoods shape access to opportunities is also a reflection of how effective the HCV program is in LA. One metric that can be used to reflect access to opportunities is the poverty level </w:t>
      </w:r>
      <w:proofErr w:type="gramStart"/>
      <w:r>
        <w:rPr>
          <w:rFonts w:ascii="Times New Roman" w:hAnsi="Times New Roman" w:cs="Times New Roman"/>
        </w:rPr>
        <w:t>in a given</w:t>
      </w:r>
      <w:proofErr w:type="gramEnd"/>
      <w:r>
        <w:rPr>
          <w:rFonts w:ascii="Times New Roman" w:hAnsi="Times New Roman" w:cs="Times New Roman"/>
        </w:rPr>
        <w:t xml:space="preserve"> zip code. </w:t>
      </w:r>
      <w:r w:rsidR="00751B7B">
        <w:rPr>
          <w:rFonts w:ascii="Times New Roman" w:hAnsi="Times New Roman" w:cs="Times New Roman"/>
        </w:rPr>
        <w:t xml:space="preserve">To understand what types of neighborhoods HCV households are living in, how their neighborhoods shape their quality of life and opportunities, and to examine whether there are racial or ethnic disparities in access to low poverty neighborhoods in LA, the total number of units was regressed on the poverty rate zip codes where HCV households live in LA. Figure 1 shows the relationship between the total number of units and the poverty rate of the zip codes voucher holders reside in for all </w:t>
      </w:r>
      <w:r w:rsidR="00751B7B" w:rsidRPr="00044A1B">
        <w:rPr>
          <w:rFonts w:ascii="Times New Roman" w:hAnsi="Times New Roman" w:cs="Times New Roman"/>
        </w:rPr>
        <w:t xml:space="preserve">voucher holders in LA. Figure </w:t>
      </w:r>
      <w:r w:rsidR="0039154A">
        <w:rPr>
          <w:rFonts w:ascii="Times New Roman" w:hAnsi="Times New Roman" w:cs="Times New Roman"/>
        </w:rPr>
        <w:t>4</w:t>
      </w:r>
      <w:r w:rsidR="00751B7B" w:rsidRPr="00044A1B">
        <w:rPr>
          <w:rFonts w:ascii="Times New Roman" w:hAnsi="Times New Roman" w:cs="Times New Roman"/>
        </w:rPr>
        <w:t xml:space="preserve">, Figure </w:t>
      </w:r>
      <w:r w:rsidR="0039154A">
        <w:rPr>
          <w:rFonts w:ascii="Times New Roman" w:hAnsi="Times New Roman" w:cs="Times New Roman"/>
        </w:rPr>
        <w:t>5</w:t>
      </w:r>
      <w:r w:rsidR="00751B7B" w:rsidRPr="00044A1B">
        <w:rPr>
          <w:rFonts w:ascii="Times New Roman" w:hAnsi="Times New Roman" w:cs="Times New Roman"/>
        </w:rPr>
        <w:t xml:space="preserve"> and Figure </w:t>
      </w:r>
      <w:r w:rsidR="0039154A">
        <w:rPr>
          <w:rFonts w:ascii="Times New Roman" w:hAnsi="Times New Roman" w:cs="Times New Roman"/>
        </w:rPr>
        <w:t>6</w:t>
      </w:r>
      <w:r w:rsidR="00751B7B" w:rsidRPr="00044A1B">
        <w:rPr>
          <w:rFonts w:ascii="Times New Roman" w:hAnsi="Times New Roman" w:cs="Times New Roman"/>
        </w:rPr>
        <w:t xml:space="preserve"> show the same analysis for White, Black, and Hispanic households respectively.</w:t>
      </w:r>
    </w:p>
    <w:p w14:paraId="0BE32AA3" w14:textId="0F8ED488" w:rsidR="00044A1B" w:rsidRDefault="00044A1B" w:rsidP="00044A1B">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sz w:val="22"/>
          <w:szCs w:val="22"/>
        </w:rPr>
        <w:tab/>
      </w:r>
      <w:r w:rsidR="0054301F" w:rsidRPr="00044A1B">
        <w:rPr>
          <w:rFonts w:ascii="Times New Roman" w:hAnsi="Times New Roman" w:cs="Times New Roman"/>
          <w:sz w:val="22"/>
          <w:szCs w:val="22"/>
        </w:rPr>
        <w:t xml:space="preserve">Figure </w:t>
      </w:r>
      <w:r w:rsidR="0039154A">
        <w:rPr>
          <w:rFonts w:ascii="Times New Roman" w:hAnsi="Times New Roman" w:cs="Times New Roman"/>
          <w:sz w:val="22"/>
          <w:szCs w:val="22"/>
        </w:rPr>
        <w:t>3</w:t>
      </w:r>
      <w:r w:rsidR="0054301F" w:rsidRPr="00044A1B">
        <w:rPr>
          <w:rFonts w:ascii="Times New Roman" w:hAnsi="Times New Roman" w:cs="Times New Roman"/>
          <w:sz w:val="22"/>
          <w:szCs w:val="22"/>
        </w:rPr>
        <w:t xml:space="preserve"> shows that there is a positive relationship between the poverty of zip codes where HCV households </w:t>
      </w:r>
      <w:proofErr w:type="gramStart"/>
      <w:r w:rsidR="0054301F" w:rsidRPr="00044A1B">
        <w:rPr>
          <w:rFonts w:ascii="Times New Roman" w:hAnsi="Times New Roman" w:cs="Times New Roman"/>
          <w:sz w:val="22"/>
          <w:szCs w:val="22"/>
        </w:rPr>
        <w:t>rent</w:t>
      </w:r>
      <w:proofErr w:type="gramEnd"/>
      <w:r w:rsidR="0054301F" w:rsidRPr="00044A1B">
        <w:rPr>
          <w:rFonts w:ascii="Times New Roman" w:hAnsi="Times New Roman" w:cs="Times New Roman"/>
          <w:sz w:val="22"/>
          <w:szCs w:val="22"/>
        </w:rPr>
        <w:t xml:space="preserve"> and the number of units rented. The relationship trends upwards and the trend gets steeper </w:t>
      </w:r>
      <w:r w:rsidRPr="00044A1B">
        <w:rPr>
          <w:rFonts w:ascii="Times New Roman" w:hAnsi="Times New Roman" w:cs="Times New Roman"/>
          <w:sz w:val="22"/>
          <w:szCs w:val="22"/>
        </w:rPr>
        <w:t xml:space="preserve">for later years. This reflects that most HCV households live in high poverty neighborhoods and that the number of HCV households living in high poverty neighborhoods is increasing each year in LA. This regression has a p-value of </w:t>
      </w:r>
      <w:r w:rsidRPr="00044A1B">
        <w:rPr>
          <w:rFonts w:ascii="Times New Roman" w:hAnsi="Times New Roman" w:cs="Times New Roman"/>
          <w:color w:val="000000"/>
          <w:sz w:val="22"/>
          <w:szCs w:val="22"/>
        </w:rPr>
        <w:t>&lt; 2.2e-16</w:t>
      </w:r>
      <w:r w:rsidRPr="00044A1B">
        <w:rPr>
          <w:rFonts w:ascii="Times New Roman" w:hAnsi="Times New Roman" w:cs="Times New Roman"/>
          <w:color w:val="000000"/>
          <w:sz w:val="22"/>
          <w:szCs w:val="22"/>
        </w:rPr>
        <w:t>showing that there is a statistically significant relationship between the number of units rented by HCV households in a zip code and the poverty level in that zip code.</w:t>
      </w:r>
    </w:p>
    <w:p w14:paraId="516FE6E5" w14:textId="5F9B8714" w:rsidR="00044A1B" w:rsidRDefault="00044A1B" w:rsidP="00044A1B">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ab/>
        <w:t xml:space="preserve">Figure </w:t>
      </w:r>
      <w:r w:rsidR="0039154A">
        <w:rPr>
          <w:rFonts w:ascii="Times New Roman" w:hAnsi="Times New Roman" w:cs="Times New Roman"/>
          <w:color w:val="000000"/>
          <w:sz w:val="22"/>
          <w:szCs w:val="22"/>
        </w:rPr>
        <w:t>4</w:t>
      </w:r>
      <w:r>
        <w:rPr>
          <w:rFonts w:ascii="Times New Roman" w:hAnsi="Times New Roman" w:cs="Times New Roman"/>
          <w:color w:val="000000"/>
          <w:sz w:val="22"/>
          <w:szCs w:val="22"/>
        </w:rPr>
        <w:t xml:space="preserve">, Figure </w:t>
      </w:r>
      <w:r w:rsidR="0039154A">
        <w:rPr>
          <w:rFonts w:ascii="Times New Roman" w:hAnsi="Times New Roman" w:cs="Times New Roman"/>
          <w:color w:val="000000"/>
          <w:sz w:val="22"/>
          <w:szCs w:val="22"/>
        </w:rPr>
        <w:t>5</w:t>
      </w:r>
      <w:r>
        <w:rPr>
          <w:rFonts w:ascii="Times New Roman" w:hAnsi="Times New Roman" w:cs="Times New Roman"/>
          <w:color w:val="000000"/>
          <w:sz w:val="22"/>
          <w:szCs w:val="22"/>
        </w:rPr>
        <w:t xml:space="preserve">, and Figure </w:t>
      </w:r>
      <w:r w:rsidR="0039154A">
        <w:rPr>
          <w:rFonts w:ascii="Times New Roman" w:hAnsi="Times New Roman" w:cs="Times New Roman"/>
          <w:color w:val="000000"/>
          <w:sz w:val="22"/>
          <w:szCs w:val="22"/>
        </w:rPr>
        <w:t>6</w:t>
      </w:r>
      <w:r>
        <w:rPr>
          <w:rFonts w:ascii="Times New Roman" w:hAnsi="Times New Roman" w:cs="Times New Roman"/>
          <w:color w:val="000000"/>
          <w:sz w:val="22"/>
          <w:szCs w:val="22"/>
        </w:rPr>
        <w:t xml:space="preserve"> show the same analysis conducted for white, Black, and Hispanic households. The regression of number of </w:t>
      </w:r>
      <w:r w:rsidRPr="0039154A">
        <w:rPr>
          <w:rFonts w:ascii="Times New Roman" w:hAnsi="Times New Roman" w:cs="Times New Roman"/>
          <w:color w:val="000000"/>
          <w:sz w:val="22"/>
          <w:szCs w:val="22"/>
        </w:rPr>
        <w:t xml:space="preserve">units rented by white HCV households on poverty level and the regression of the number of units rented by Black HCV households by poverty level are both statistically significant, with respective p-values of </w:t>
      </w:r>
      <w:r w:rsidRPr="0039154A">
        <w:rPr>
          <w:rFonts w:ascii="Times New Roman" w:hAnsi="Times New Roman" w:cs="Times New Roman"/>
          <w:color w:val="000000"/>
          <w:sz w:val="22"/>
          <w:szCs w:val="22"/>
        </w:rPr>
        <w:t>6.273156e-27</w:t>
      </w:r>
      <w:r w:rsidRPr="0039154A">
        <w:rPr>
          <w:rFonts w:ascii="Times New Roman" w:hAnsi="Times New Roman" w:cs="Times New Roman"/>
          <w:color w:val="000000"/>
          <w:sz w:val="22"/>
          <w:szCs w:val="22"/>
        </w:rPr>
        <w:t xml:space="preserve"> and </w:t>
      </w:r>
      <w:r w:rsidRPr="0039154A">
        <w:rPr>
          <w:rFonts w:ascii="Times New Roman" w:hAnsi="Times New Roman" w:cs="Times New Roman"/>
          <w:color w:val="000000"/>
          <w:sz w:val="22"/>
          <w:szCs w:val="22"/>
        </w:rPr>
        <w:t>1.904072e-31</w:t>
      </w:r>
      <w:r w:rsidRPr="0039154A">
        <w:rPr>
          <w:rFonts w:ascii="Times New Roman" w:hAnsi="Times New Roman" w:cs="Times New Roman"/>
          <w:color w:val="000000"/>
          <w:sz w:val="22"/>
          <w:szCs w:val="22"/>
        </w:rPr>
        <w:t xml:space="preserve">. However, the p-value for the analysis of </w:t>
      </w:r>
      <w:r w:rsidR="0039154A" w:rsidRPr="0039154A">
        <w:rPr>
          <w:rFonts w:ascii="Times New Roman" w:hAnsi="Times New Roman" w:cs="Times New Roman"/>
          <w:color w:val="000000"/>
          <w:sz w:val="22"/>
          <w:szCs w:val="22"/>
        </w:rPr>
        <w:t xml:space="preserve">the number of </w:t>
      </w:r>
      <w:r w:rsidRPr="0039154A">
        <w:rPr>
          <w:rFonts w:ascii="Times New Roman" w:hAnsi="Times New Roman" w:cs="Times New Roman"/>
          <w:color w:val="000000"/>
          <w:sz w:val="22"/>
          <w:szCs w:val="22"/>
        </w:rPr>
        <w:t>Hispanic HCV households renting units</w:t>
      </w:r>
      <w:r w:rsidR="0039154A" w:rsidRPr="0039154A">
        <w:rPr>
          <w:rFonts w:ascii="Times New Roman" w:hAnsi="Times New Roman" w:cs="Times New Roman"/>
          <w:color w:val="000000"/>
          <w:sz w:val="22"/>
          <w:szCs w:val="22"/>
        </w:rPr>
        <w:t xml:space="preserve"> on the poverty level of a given zip code was 0.8193, meaning that the analysis is not statistically significant.</w:t>
      </w:r>
      <w:r w:rsidR="0039154A">
        <w:rPr>
          <w:rFonts w:ascii="Times New Roman" w:hAnsi="Times New Roman" w:cs="Times New Roman"/>
          <w:color w:val="000000"/>
          <w:sz w:val="22"/>
          <w:szCs w:val="22"/>
        </w:rPr>
        <w:t xml:space="preserve"> </w:t>
      </w:r>
    </w:p>
    <w:p w14:paraId="4FD9698A" w14:textId="663FD20E" w:rsidR="0039154A" w:rsidRDefault="0039154A" w:rsidP="00044A1B">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ab/>
        <w:t xml:space="preserve">Unlike the trends for all HCV households, Figure 4 shows that there is a negative relationship between the </w:t>
      </w:r>
      <w:r w:rsidR="00173A23">
        <w:rPr>
          <w:rFonts w:ascii="Times New Roman" w:hAnsi="Times New Roman" w:cs="Times New Roman"/>
          <w:color w:val="000000"/>
          <w:sz w:val="22"/>
          <w:szCs w:val="22"/>
        </w:rPr>
        <w:t xml:space="preserve">poverty level in a zip code and the number of white HCV households living in that zip code. </w:t>
      </w:r>
      <w:r>
        <w:rPr>
          <w:rFonts w:ascii="Times New Roman" w:hAnsi="Times New Roman" w:cs="Times New Roman"/>
          <w:color w:val="000000"/>
          <w:sz w:val="22"/>
          <w:szCs w:val="22"/>
        </w:rPr>
        <w:t xml:space="preserve"> This trend is true for all years and the later years in the data set show that regression line starts lower on the y-axis, meaning that HCV </w:t>
      </w:r>
      <w:r w:rsidR="00173A23">
        <w:rPr>
          <w:rFonts w:ascii="Times New Roman" w:hAnsi="Times New Roman" w:cs="Times New Roman"/>
          <w:color w:val="000000"/>
          <w:sz w:val="22"/>
          <w:szCs w:val="22"/>
        </w:rPr>
        <w:t>households</w:t>
      </w:r>
      <w:r>
        <w:rPr>
          <w:rFonts w:ascii="Times New Roman" w:hAnsi="Times New Roman" w:cs="Times New Roman"/>
          <w:color w:val="000000"/>
          <w:sz w:val="22"/>
          <w:szCs w:val="22"/>
        </w:rPr>
        <w:t xml:space="preserve"> in LA are living in neighborhoods with </w:t>
      </w:r>
      <w:r w:rsidR="00173A23">
        <w:rPr>
          <w:rFonts w:ascii="Times New Roman" w:hAnsi="Times New Roman" w:cs="Times New Roman"/>
          <w:color w:val="000000"/>
          <w:sz w:val="22"/>
          <w:szCs w:val="22"/>
        </w:rPr>
        <w:t>decreasing poverty rates.</w:t>
      </w:r>
    </w:p>
    <w:p w14:paraId="58607653" w14:textId="098DFF23" w:rsidR="00044A1B" w:rsidRPr="00173A23" w:rsidRDefault="00173A23" w:rsidP="00044A1B">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ab/>
        <w:t xml:space="preserve">Figure 5 shows an upward trend in the regression, meaning that the higher the poverty rate in a zip code the greater the number of Black HCV households in the neighborhood.  However, </w:t>
      </w:r>
      <w:proofErr w:type="gramStart"/>
      <w:r>
        <w:rPr>
          <w:rFonts w:ascii="Times New Roman" w:hAnsi="Times New Roman" w:cs="Times New Roman"/>
          <w:color w:val="000000"/>
          <w:sz w:val="22"/>
          <w:szCs w:val="22"/>
        </w:rPr>
        <w:t>similar to</w:t>
      </w:r>
      <w:proofErr w:type="gramEnd"/>
      <w:r>
        <w:rPr>
          <w:rFonts w:ascii="Times New Roman" w:hAnsi="Times New Roman" w:cs="Times New Roman"/>
          <w:color w:val="000000"/>
          <w:sz w:val="22"/>
          <w:szCs w:val="22"/>
        </w:rPr>
        <w:t xml:space="preserve"> Figure 4, the later years included in this graph start lower on the y-axis. The regression is also getting slightly less steep for later years, indicating that while zip codes with higher levels of poverty have more Black HCV households </w:t>
      </w:r>
      <w:proofErr w:type="gramStart"/>
      <w:r>
        <w:rPr>
          <w:rFonts w:ascii="Times New Roman" w:hAnsi="Times New Roman" w:cs="Times New Roman"/>
          <w:color w:val="000000"/>
          <w:sz w:val="22"/>
          <w:szCs w:val="22"/>
        </w:rPr>
        <w:t>this trends</w:t>
      </w:r>
      <w:proofErr w:type="gramEnd"/>
      <w:r>
        <w:rPr>
          <w:rFonts w:ascii="Times New Roman" w:hAnsi="Times New Roman" w:cs="Times New Roman"/>
          <w:color w:val="000000"/>
          <w:sz w:val="22"/>
          <w:szCs w:val="22"/>
        </w:rPr>
        <w:t xml:space="preserve"> is becoming slightly less severe over time.</w:t>
      </w:r>
    </w:p>
    <w:p w14:paraId="43CCFE61" w14:textId="24E765EA" w:rsidR="0054301F" w:rsidRPr="00751B7B" w:rsidRDefault="00044A1B" w:rsidP="00751B7B">
      <w:pPr>
        <w:ind w:firstLine="720"/>
        <w:rPr>
          <w:rFonts w:ascii="Times New Roman" w:hAnsi="Times New Roman" w:cs="Times New Roman"/>
        </w:rPr>
      </w:pPr>
      <w:r>
        <w:rPr>
          <w:rFonts w:ascii="Times New Roman" w:hAnsi="Times New Roman" w:cs="Times New Roman"/>
        </w:rPr>
        <w:t xml:space="preserve"> </w:t>
      </w:r>
    </w:p>
    <w:p w14:paraId="2F42C1A0" w14:textId="77777777" w:rsidR="00173A23" w:rsidRDefault="00173A23" w:rsidP="00F00BAA">
      <w:pPr>
        <w:rPr>
          <w:rFonts w:ascii="Times New Roman" w:hAnsi="Times New Roman" w:cs="Times New Roman"/>
          <w:b/>
          <w:bCs/>
        </w:rPr>
      </w:pPr>
    </w:p>
    <w:p w14:paraId="4D4A5943" w14:textId="77777777" w:rsidR="00173A23" w:rsidRDefault="00173A23" w:rsidP="00F00BAA">
      <w:pPr>
        <w:rPr>
          <w:rFonts w:ascii="Times New Roman" w:hAnsi="Times New Roman" w:cs="Times New Roman"/>
          <w:b/>
          <w:bCs/>
        </w:rPr>
      </w:pPr>
    </w:p>
    <w:p w14:paraId="52B0471D" w14:textId="77777777" w:rsidR="00173A23" w:rsidRDefault="00173A23" w:rsidP="00F00BAA">
      <w:pPr>
        <w:rPr>
          <w:rFonts w:ascii="Times New Roman" w:hAnsi="Times New Roman" w:cs="Times New Roman"/>
          <w:b/>
          <w:bCs/>
        </w:rPr>
      </w:pPr>
    </w:p>
    <w:p w14:paraId="0A25A032" w14:textId="77777777" w:rsidR="00173A23" w:rsidRDefault="00173A23" w:rsidP="00F00BAA">
      <w:pPr>
        <w:rPr>
          <w:rFonts w:ascii="Times New Roman" w:hAnsi="Times New Roman" w:cs="Times New Roman"/>
          <w:b/>
          <w:bCs/>
        </w:rPr>
      </w:pPr>
    </w:p>
    <w:p w14:paraId="0D244C82" w14:textId="77777777" w:rsidR="00173A23" w:rsidRDefault="00173A23" w:rsidP="00F00BAA">
      <w:pPr>
        <w:rPr>
          <w:rFonts w:ascii="Times New Roman" w:hAnsi="Times New Roman" w:cs="Times New Roman"/>
          <w:b/>
          <w:bCs/>
        </w:rPr>
      </w:pPr>
    </w:p>
    <w:p w14:paraId="0D1A5AA5" w14:textId="77777777" w:rsidR="00173A23" w:rsidRDefault="00173A23" w:rsidP="00F00BAA">
      <w:pPr>
        <w:rPr>
          <w:rFonts w:ascii="Times New Roman" w:hAnsi="Times New Roman" w:cs="Times New Roman"/>
          <w:b/>
          <w:bCs/>
        </w:rPr>
      </w:pPr>
    </w:p>
    <w:p w14:paraId="6B8FEBD3" w14:textId="77777777" w:rsidR="00173A23" w:rsidRDefault="00173A23" w:rsidP="00F00BAA">
      <w:pPr>
        <w:rPr>
          <w:rFonts w:ascii="Times New Roman" w:hAnsi="Times New Roman" w:cs="Times New Roman"/>
          <w:b/>
          <w:bCs/>
        </w:rPr>
      </w:pPr>
    </w:p>
    <w:p w14:paraId="1F255C9F" w14:textId="77777777" w:rsidR="00173A23" w:rsidRDefault="00173A23" w:rsidP="00F00BAA">
      <w:pPr>
        <w:rPr>
          <w:rFonts w:ascii="Times New Roman" w:hAnsi="Times New Roman" w:cs="Times New Roman"/>
          <w:b/>
          <w:bCs/>
        </w:rPr>
      </w:pPr>
    </w:p>
    <w:p w14:paraId="13104108" w14:textId="77777777" w:rsidR="00173A23" w:rsidRDefault="00173A23" w:rsidP="00F00BAA">
      <w:pPr>
        <w:rPr>
          <w:rFonts w:ascii="Times New Roman" w:hAnsi="Times New Roman" w:cs="Times New Roman"/>
          <w:b/>
          <w:bCs/>
        </w:rPr>
      </w:pPr>
    </w:p>
    <w:p w14:paraId="1B300CA5" w14:textId="775F0358" w:rsidR="00F54F84" w:rsidRDefault="00751B7B" w:rsidP="00F00BAA">
      <w:pPr>
        <w:rPr>
          <w:rFonts w:ascii="Times New Roman" w:hAnsi="Times New Roman" w:cs="Times New Roman"/>
          <w:b/>
          <w:bCs/>
        </w:rPr>
      </w:pPr>
      <w:r>
        <w:rPr>
          <w:rFonts w:ascii="Times New Roman" w:hAnsi="Times New Roman" w:cs="Times New Roman"/>
          <w:b/>
          <w:bCs/>
        </w:rPr>
        <w:lastRenderedPageBreak/>
        <w:t xml:space="preserve">Figure </w:t>
      </w:r>
      <w:r w:rsidR="0039154A">
        <w:rPr>
          <w:rFonts w:ascii="Times New Roman" w:hAnsi="Times New Roman" w:cs="Times New Roman"/>
          <w:b/>
          <w:bCs/>
        </w:rPr>
        <w:t>3</w:t>
      </w:r>
      <w:r>
        <w:rPr>
          <w:rFonts w:ascii="Times New Roman" w:hAnsi="Times New Roman" w:cs="Times New Roman"/>
          <w:b/>
          <w:bCs/>
        </w:rPr>
        <w:t xml:space="preserve">: Regression of total number of units rented by HCV households on zip code poverty </w:t>
      </w:r>
      <w:proofErr w:type="gramStart"/>
      <w:r>
        <w:rPr>
          <w:rFonts w:ascii="Times New Roman" w:hAnsi="Times New Roman" w:cs="Times New Roman"/>
          <w:b/>
          <w:bCs/>
        </w:rPr>
        <w:t>rate</w:t>
      </w:r>
      <w:proofErr w:type="gramEnd"/>
    </w:p>
    <w:p w14:paraId="7F26DEAF" w14:textId="7570DF41" w:rsidR="00751B7B" w:rsidRDefault="00E872E0" w:rsidP="00751B7B">
      <w:pPr>
        <w:rPr>
          <w:rFonts w:ascii="Times New Roman" w:hAnsi="Times New Roman" w:cs="Times New Roman"/>
          <w:b/>
          <w:bCs/>
        </w:rPr>
      </w:pPr>
      <w:r>
        <w:rPr>
          <w:rFonts w:ascii="Times New Roman" w:hAnsi="Times New Roman" w:cs="Times New Roman"/>
          <w:b/>
          <w:bCs/>
          <w:noProof/>
        </w:rPr>
        <w:drawing>
          <wp:inline distT="0" distB="0" distL="0" distR="0" wp14:anchorId="4FE73FEA" wp14:editId="13E13AD5">
            <wp:extent cx="5176299" cy="3105779"/>
            <wp:effectExtent l="0" t="0" r="5715" b="0"/>
            <wp:docPr id="658653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53369" name="Picture 6586533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3912" cy="3134347"/>
                    </a:xfrm>
                    <a:prstGeom prst="rect">
                      <a:avLst/>
                    </a:prstGeom>
                  </pic:spPr>
                </pic:pic>
              </a:graphicData>
            </a:graphic>
          </wp:inline>
        </w:drawing>
      </w:r>
    </w:p>
    <w:p w14:paraId="60E13BE3" w14:textId="639335D7" w:rsidR="006A0E06" w:rsidRDefault="00751B7B" w:rsidP="00F00BAA">
      <w:pPr>
        <w:rPr>
          <w:rFonts w:ascii="Times New Roman" w:hAnsi="Times New Roman" w:cs="Times New Roman"/>
          <w:b/>
          <w:bCs/>
        </w:rPr>
      </w:pPr>
      <w:r>
        <w:rPr>
          <w:rFonts w:ascii="Times New Roman" w:hAnsi="Times New Roman" w:cs="Times New Roman"/>
          <w:b/>
          <w:bCs/>
        </w:rPr>
        <w:t xml:space="preserve">Figure </w:t>
      </w:r>
      <w:r w:rsidR="0039154A">
        <w:rPr>
          <w:rFonts w:ascii="Times New Roman" w:hAnsi="Times New Roman" w:cs="Times New Roman"/>
          <w:b/>
          <w:bCs/>
        </w:rPr>
        <w:t>4</w:t>
      </w:r>
      <w:r>
        <w:rPr>
          <w:rFonts w:ascii="Times New Roman" w:hAnsi="Times New Roman" w:cs="Times New Roman"/>
          <w:b/>
          <w:bCs/>
        </w:rPr>
        <w:t xml:space="preserve">: Regression of total number of units rented by </w:t>
      </w:r>
      <w:r>
        <w:rPr>
          <w:rFonts w:ascii="Times New Roman" w:hAnsi="Times New Roman" w:cs="Times New Roman"/>
          <w:b/>
          <w:bCs/>
        </w:rPr>
        <w:t xml:space="preserve">white </w:t>
      </w:r>
      <w:r>
        <w:rPr>
          <w:rFonts w:ascii="Times New Roman" w:hAnsi="Times New Roman" w:cs="Times New Roman"/>
          <w:b/>
          <w:bCs/>
        </w:rPr>
        <w:t xml:space="preserve">HCV households on zip code poverty </w:t>
      </w:r>
      <w:proofErr w:type="gramStart"/>
      <w:r>
        <w:rPr>
          <w:rFonts w:ascii="Times New Roman" w:hAnsi="Times New Roman" w:cs="Times New Roman"/>
          <w:b/>
          <w:bCs/>
        </w:rPr>
        <w:t>rate</w:t>
      </w:r>
      <w:proofErr w:type="gramEnd"/>
    </w:p>
    <w:p w14:paraId="4FFAA9AD" w14:textId="2E9EA94C" w:rsidR="006A0E06" w:rsidRDefault="006A0E06" w:rsidP="00F00BAA">
      <w:pPr>
        <w:rPr>
          <w:rFonts w:ascii="Times New Roman" w:hAnsi="Times New Roman" w:cs="Times New Roman"/>
          <w:b/>
          <w:bCs/>
        </w:rPr>
      </w:pPr>
      <w:r>
        <w:rPr>
          <w:rFonts w:ascii="Times New Roman" w:hAnsi="Times New Roman" w:cs="Times New Roman"/>
          <w:b/>
          <w:bCs/>
          <w:noProof/>
        </w:rPr>
        <w:drawing>
          <wp:inline distT="0" distB="0" distL="0" distR="0" wp14:anchorId="17D188D3" wp14:editId="49D53864">
            <wp:extent cx="4813191" cy="3609892"/>
            <wp:effectExtent l="0" t="0" r="6985" b="0"/>
            <wp:docPr id="933257619"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57619" name="Picture 11"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5951" cy="3641962"/>
                    </a:xfrm>
                    <a:prstGeom prst="rect">
                      <a:avLst/>
                    </a:prstGeom>
                  </pic:spPr>
                </pic:pic>
              </a:graphicData>
            </a:graphic>
          </wp:inline>
        </w:drawing>
      </w:r>
    </w:p>
    <w:p w14:paraId="6C296D12" w14:textId="15D3FCAC" w:rsidR="0054301F" w:rsidRDefault="0054301F" w:rsidP="0054301F">
      <w:pPr>
        <w:rPr>
          <w:rFonts w:ascii="Times New Roman" w:hAnsi="Times New Roman" w:cs="Times New Roman"/>
          <w:b/>
          <w:bCs/>
        </w:rPr>
      </w:pPr>
      <w:r>
        <w:rPr>
          <w:rFonts w:ascii="Times New Roman" w:hAnsi="Times New Roman" w:cs="Times New Roman"/>
          <w:b/>
          <w:bCs/>
        </w:rPr>
        <w:t xml:space="preserve">Figure </w:t>
      </w:r>
      <w:r w:rsidR="0039154A">
        <w:rPr>
          <w:rFonts w:ascii="Times New Roman" w:hAnsi="Times New Roman" w:cs="Times New Roman"/>
          <w:b/>
          <w:bCs/>
        </w:rPr>
        <w:t>5</w:t>
      </w:r>
      <w:r>
        <w:rPr>
          <w:rFonts w:ascii="Times New Roman" w:hAnsi="Times New Roman" w:cs="Times New Roman"/>
          <w:b/>
          <w:bCs/>
        </w:rPr>
        <w:t xml:space="preserve">: Regression of total number of units rented by </w:t>
      </w:r>
      <w:r>
        <w:rPr>
          <w:rFonts w:ascii="Times New Roman" w:hAnsi="Times New Roman" w:cs="Times New Roman"/>
          <w:b/>
          <w:bCs/>
        </w:rPr>
        <w:t>Black</w:t>
      </w:r>
      <w:r>
        <w:rPr>
          <w:rFonts w:ascii="Times New Roman" w:hAnsi="Times New Roman" w:cs="Times New Roman"/>
          <w:b/>
          <w:bCs/>
        </w:rPr>
        <w:t xml:space="preserve"> HCV households on zip code poverty </w:t>
      </w:r>
      <w:proofErr w:type="gramStart"/>
      <w:r>
        <w:rPr>
          <w:rFonts w:ascii="Times New Roman" w:hAnsi="Times New Roman" w:cs="Times New Roman"/>
          <w:b/>
          <w:bCs/>
        </w:rPr>
        <w:t>rate</w:t>
      </w:r>
      <w:proofErr w:type="gramEnd"/>
    </w:p>
    <w:p w14:paraId="1E15B0A6" w14:textId="5DAB278E" w:rsidR="0054301F" w:rsidRPr="0054301F" w:rsidRDefault="0054301F" w:rsidP="0054301F">
      <w:pPr>
        <w:jc w:val="center"/>
        <w:rPr>
          <w:rFonts w:ascii="Times New Roman" w:hAnsi="Times New Roman" w:cs="Times New Roman"/>
        </w:rPr>
      </w:pPr>
      <w:r>
        <w:rPr>
          <w:rFonts w:ascii="Times New Roman" w:hAnsi="Times New Roman" w:cs="Times New Roman"/>
        </w:rPr>
        <w:lastRenderedPageBreak/>
        <w:t>[Figure coming soon. I created it but am running into issues exporting]</w:t>
      </w:r>
    </w:p>
    <w:p w14:paraId="5128DB80" w14:textId="77777777" w:rsidR="0054301F" w:rsidRDefault="0054301F" w:rsidP="0054301F">
      <w:pPr>
        <w:rPr>
          <w:rFonts w:ascii="Times New Roman" w:hAnsi="Times New Roman" w:cs="Times New Roman"/>
          <w:b/>
          <w:bCs/>
        </w:rPr>
      </w:pPr>
    </w:p>
    <w:p w14:paraId="0C4A41C8" w14:textId="56878113" w:rsidR="0054301F" w:rsidRDefault="0054301F" w:rsidP="0054301F">
      <w:pPr>
        <w:rPr>
          <w:rFonts w:ascii="Times New Roman" w:hAnsi="Times New Roman" w:cs="Times New Roman"/>
          <w:b/>
          <w:bCs/>
        </w:rPr>
      </w:pPr>
      <w:r>
        <w:rPr>
          <w:rFonts w:ascii="Times New Roman" w:hAnsi="Times New Roman" w:cs="Times New Roman"/>
          <w:b/>
          <w:bCs/>
        </w:rPr>
        <w:t xml:space="preserve">Figure </w:t>
      </w:r>
      <w:r w:rsidR="0039154A">
        <w:rPr>
          <w:rFonts w:ascii="Times New Roman" w:hAnsi="Times New Roman" w:cs="Times New Roman"/>
          <w:b/>
          <w:bCs/>
        </w:rPr>
        <w:t>6</w:t>
      </w:r>
      <w:r>
        <w:rPr>
          <w:rFonts w:ascii="Times New Roman" w:hAnsi="Times New Roman" w:cs="Times New Roman"/>
          <w:b/>
          <w:bCs/>
        </w:rPr>
        <w:t xml:space="preserve">: Regression of total number of units rented by </w:t>
      </w:r>
      <w:r>
        <w:rPr>
          <w:rFonts w:ascii="Times New Roman" w:hAnsi="Times New Roman" w:cs="Times New Roman"/>
          <w:b/>
          <w:bCs/>
        </w:rPr>
        <w:t>Hispanic</w:t>
      </w:r>
      <w:r>
        <w:rPr>
          <w:rFonts w:ascii="Times New Roman" w:hAnsi="Times New Roman" w:cs="Times New Roman"/>
          <w:b/>
          <w:bCs/>
        </w:rPr>
        <w:t xml:space="preserve"> HCV households on zip code poverty </w:t>
      </w:r>
      <w:proofErr w:type="gramStart"/>
      <w:r>
        <w:rPr>
          <w:rFonts w:ascii="Times New Roman" w:hAnsi="Times New Roman" w:cs="Times New Roman"/>
          <w:b/>
          <w:bCs/>
        </w:rPr>
        <w:t>rate</w:t>
      </w:r>
      <w:proofErr w:type="gramEnd"/>
    </w:p>
    <w:p w14:paraId="08257CCF" w14:textId="77777777" w:rsidR="0054301F" w:rsidRPr="0054301F" w:rsidRDefault="0054301F" w:rsidP="0054301F">
      <w:pPr>
        <w:jc w:val="center"/>
        <w:rPr>
          <w:rFonts w:ascii="Times New Roman" w:hAnsi="Times New Roman" w:cs="Times New Roman"/>
        </w:rPr>
      </w:pPr>
      <w:r>
        <w:rPr>
          <w:rFonts w:ascii="Times New Roman" w:hAnsi="Times New Roman" w:cs="Times New Roman"/>
        </w:rPr>
        <w:t>[Figure coming soon. I created it but am running into issues exporting]</w:t>
      </w:r>
    </w:p>
    <w:p w14:paraId="6D5BC493" w14:textId="77777777" w:rsidR="007757E6" w:rsidRDefault="007757E6" w:rsidP="007757E6"/>
    <w:p w14:paraId="0C471606" w14:textId="1ABA18F9" w:rsidR="007757E6" w:rsidRDefault="007757E6" w:rsidP="007757E6">
      <w:pPr>
        <w:rPr>
          <w:rFonts w:ascii="Times New Roman" w:hAnsi="Times New Roman" w:cs="Times New Roman"/>
          <w:b/>
          <w:bCs/>
        </w:rPr>
      </w:pPr>
      <w:r w:rsidRPr="006A7C86">
        <w:rPr>
          <w:rFonts w:ascii="Times New Roman" w:hAnsi="Times New Roman" w:cs="Times New Roman"/>
          <w:b/>
          <w:bCs/>
        </w:rPr>
        <w:t>Limitations:</w:t>
      </w:r>
    </w:p>
    <w:p w14:paraId="51470E0D" w14:textId="5759E240" w:rsidR="00751B7B" w:rsidRDefault="00751B7B" w:rsidP="007757E6">
      <w:pPr>
        <w:rPr>
          <w:rFonts w:ascii="Times New Roman" w:hAnsi="Times New Roman" w:cs="Times New Roman"/>
        </w:rPr>
      </w:pPr>
      <w:r>
        <w:rPr>
          <w:rFonts w:ascii="Times New Roman" w:hAnsi="Times New Roman" w:cs="Times New Roman"/>
        </w:rPr>
        <w:tab/>
        <w:t xml:space="preserve">This analysis has several limitations </w:t>
      </w:r>
      <w:r w:rsidR="0054301F">
        <w:rPr>
          <w:rFonts w:ascii="Times New Roman" w:hAnsi="Times New Roman" w:cs="Times New Roman"/>
        </w:rPr>
        <w:t>related to the level of detail available in HUD’s Assisted Housing data set. Because the data given is aggregated at the zip code level it is not possible to conduct intersectional analysis related to specific demographic characteristics. For example, the analysis above shows that Black HCV households are more likely to live in higher poverty neighborhoods. While it would be possible to conduct a similar analysis to show how likely households led by a disabled head of household are to live in high poverty neighborhoods, it is not possible to examine how likely households with disabled Black heads of household are to live in high poverty neighborhoods. We know that a households intersectional identity shapes their house needs and the systemic barriers they face. However, intersectional analysis cannot be completed using these data.</w:t>
      </w:r>
    </w:p>
    <w:p w14:paraId="56754282" w14:textId="2CD525D4" w:rsidR="0054301F" w:rsidRPr="00751B7B" w:rsidRDefault="0054301F" w:rsidP="007757E6">
      <w:pPr>
        <w:rPr>
          <w:rFonts w:ascii="Times New Roman" w:hAnsi="Times New Roman" w:cs="Times New Roman"/>
        </w:rPr>
      </w:pPr>
      <w:r>
        <w:rPr>
          <w:rFonts w:ascii="Times New Roman" w:hAnsi="Times New Roman" w:cs="Times New Roman"/>
        </w:rPr>
        <w:tab/>
        <w:t xml:space="preserve">Additionally, to protect the privacy of HCV households, most demographic data is not available in the HUD Assisted Housing data set if there are 11 or fewer HCV households </w:t>
      </w:r>
      <w:proofErr w:type="gramStart"/>
      <w:r>
        <w:rPr>
          <w:rFonts w:ascii="Times New Roman" w:hAnsi="Times New Roman" w:cs="Times New Roman"/>
        </w:rPr>
        <w:t>in a given</w:t>
      </w:r>
      <w:proofErr w:type="gramEnd"/>
      <w:r>
        <w:rPr>
          <w:rFonts w:ascii="Times New Roman" w:hAnsi="Times New Roman" w:cs="Times New Roman"/>
        </w:rPr>
        <w:t xml:space="preserve"> zip code. Because of this, the above analysis which examines the neighborhoods poverty levels of different HCV households could not be conducted for additional race and ethnicity groups included in the data set because they had over 20% of their data points missing which would make the analysis less reliable. </w:t>
      </w:r>
    </w:p>
    <w:p w14:paraId="341509CB" w14:textId="2A246518" w:rsidR="007757E6" w:rsidRPr="006A7C86" w:rsidRDefault="007757E6" w:rsidP="007757E6">
      <w:pPr>
        <w:rPr>
          <w:rFonts w:ascii="Times New Roman" w:hAnsi="Times New Roman" w:cs="Times New Roman"/>
          <w:b/>
          <w:bCs/>
        </w:rPr>
      </w:pPr>
      <w:r w:rsidRPr="006A7C86">
        <w:rPr>
          <w:rFonts w:ascii="Times New Roman" w:hAnsi="Times New Roman" w:cs="Times New Roman"/>
          <w:b/>
          <w:bCs/>
        </w:rPr>
        <w:t>Future Directions:</w:t>
      </w:r>
    </w:p>
    <w:p w14:paraId="2719B230" w14:textId="17B0F0E8" w:rsidR="008E7C72" w:rsidRPr="006A7C86" w:rsidRDefault="008E7C72" w:rsidP="00CE2BCA">
      <w:pPr>
        <w:ind w:firstLine="720"/>
        <w:rPr>
          <w:rFonts w:ascii="Times New Roman" w:hAnsi="Times New Roman" w:cs="Times New Roman"/>
        </w:rPr>
      </w:pPr>
      <w:r w:rsidRPr="006A7C86">
        <w:rPr>
          <w:rFonts w:ascii="Times New Roman" w:hAnsi="Times New Roman" w:cs="Times New Roman"/>
        </w:rPr>
        <w:t xml:space="preserve">In addition to the analysis included in this document, I plan to complete further analysis of HCV use in Los Angeles as part of my dissertation. One of my future aims is to compare the </w:t>
      </w:r>
      <w:r w:rsidR="00CE2BCA" w:rsidRPr="006A7C86">
        <w:rPr>
          <w:rFonts w:ascii="Times New Roman" w:hAnsi="Times New Roman" w:cs="Times New Roman"/>
        </w:rPr>
        <w:t>number of vouchers issued</w:t>
      </w:r>
      <w:r w:rsidRPr="006A7C86">
        <w:rPr>
          <w:rFonts w:ascii="Times New Roman" w:hAnsi="Times New Roman" w:cs="Times New Roman"/>
        </w:rPr>
        <w:t xml:space="preserve"> and demographics of </w:t>
      </w:r>
      <w:r w:rsidR="00CE2BCA" w:rsidRPr="006A7C86">
        <w:rPr>
          <w:rFonts w:ascii="Times New Roman" w:hAnsi="Times New Roman" w:cs="Times New Roman"/>
        </w:rPr>
        <w:t xml:space="preserve">the households they were issued to with the number of vouchers </w:t>
      </w:r>
      <w:proofErr w:type="gramStart"/>
      <w:r w:rsidR="00CE2BCA" w:rsidRPr="006A7C86">
        <w:rPr>
          <w:rFonts w:ascii="Times New Roman" w:hAnsi="Times New Roman" w:cs="Times New Roman"/>
        </w:rPr>
        <w:t>actually used</w:t>
      </w:r>
      <w:proofErr w:type="gramEnd"/>
      <w:r w:rsidR="00CE2BCA" w:rsidRPr="006A7C86">
        <w:rPr>
          <w:rFonts w:ascii="Times New Roman" w:hAnsi="Times New Roman" w:cs="Times New Roman"/>
        </w:rPr>
        <w:t xml:space="preserve"> to rent a unit and the demographics of the households that were able to use their voucher. Demographic data collected at both the time the voucher is issued and when the voucher unit is leased up include household race/ethnicity, disability status, whether the household is experiencing homelessness, annual income, the household’s prior zip code and zip code it is used in, and the date the voucher is issued and when it is used. These data are collected by HUD but are not publicly available but have been previously shared with researchers to examine housing voucher use in Los Angeles. In 2020, Abt Associated released a report that examines the difference between the number of vouchers issued to people experiencing homelessness versus the number of vouchers used by people experiencing homelessness.</w:t>
      </w:r>
      <w:r w:rsidR="006A7C86" w:rsidRPr="006A7C86">
        <w:rPr>
          <w:rStyle w:val="EndnoteReference"/>
          <w:rFonts w:ascii="Times New Roman" w:hAnsi="Times New Roman" w:cs="Times New Roman"/>
        </w:rPr>
        <w:endnoteReference w:id="10"/>
      </w:r>
      <w:r w:rsidR="00CE2BCA" w:rsidRPr="006A7C86">
        <w:rPr>
          <w:rFonts w:ascii="Times New Roman" w:hAnsi="Times New Roman" w:cs="Times New Roman"/>
        </w:rPr>
        <w:t xml:space="preserve"> I plan to request access to these data from HUD’s Office of Policy Development and Research.</w:t>
      </w:r>
    </w:p>
    <w:p w14:paraId="7F1AE37B" w14:textId="5273AEB6" w:rsidR="00CB5709" w:rsidRPr="006A7C86" w:rsidRDefault="00CB5709" w:rsidP="00CB5709">
      <w:pPr>
        <w:spacing w:before="240"/>
        <w:rPr>
          <w:rFonts w:ascii="Times New Roman" w:hAnsi="Times New Roman" w:cs="Times New Roman"/>
        </w:rPr>
      </w:pPr>
      <w:r w:rsidRPr="006A7C86">
        <w:rPr>
          <w:rFonts w:ascii="Times New Roman" w:hAnsi="Times New Roman" w:cs="Times New Roman"/>
        </w:rPr>
        <w:tab/>
        <w:t xml:space="preserve">The analysis of HCV issuance and use data will inform the development of a survey on landlords in Los Angeles. The survey will collect data on landlord decision making, and the considerations that shape a landlord’s decision to rent to a voucher holder. The survey will collect data on four different realms that preliminary analysis and prior research has shown impact landlord decision making when working with voucher holders, these are: </w:t>
      </w:r>
      <w:r w:rsidRPr="006A7C86">
        <w:rPr>
          <w:rFonts w:ascii="Times New Roman" w:hAnsi="Times New Roman" w:cs="Times New Roman"/>
        </w:rPr>
        <w:t>(1) biases and preconceived notions about voucher holders and sub-groups within the voucher holder population,</w:t>
      </w:r>
      <w:r w:rsidRPr="006A7C86">
        <w:rPr>
          <w:rStyle w:val="EndnoteReference"/>
          <w:rFonts w:ascii="Times New Roman" w:hAnsi="Times New Roman" w:cs="Times New Roman"/>
        </w:rPr>
        <w:endnoteReference w:id="11"/>
      </w:r>
      <w:r w:rsidRPr="006A7C86">
        <w:rPr>
          <w:rFonts w:ascii="Times New Roman" w:hAnsi="Times New Roman" w:cs="Times New Roman"/>
        </w:rPr>
        <w:t xml:space="preserve"> (2) experience working with agencies that administer </w:t>
      </w:r>
      <w:r w:rsidRPr="006A7C86">
        <w:rPr>
          <w:rFonts w:ascii="Times New Roman" w:hAnsi="Times New Roman" w:cs="Times New Roman"/>
        </w:rPr>
        <w:lastRenderedPageBreak/>
        <w:t>housing voucher like public housing authorities or nonprofits,</w:t>
      </w:r>
      <w:r w:rsidRPr="006A7C86">
        <w:rPr>
          <w:rStyle w:val="EndnoteReference"/>
          <w:rFonts w:ascii="Times New Roman" w:hAnsi="Times New Roman" w:cs="Times New Roman"/>
        </w:rPr>
        <w:endnoteReference w:id="12"/>
      </w:r>
      <w:r w:rsidRPr="006A7C86">
        <w:rPr>
          <w:rFonts w:ascii="Times New Roman" w:hAnsi="Times New Roman" w:cs="Times New Roman"/>
        </w:rPr>
        <w:t xml:space="preserve"> (3) impact of incentives intended to encourage landlord participation,</w:t>
      </w:r>
      <w:r w:rsidRPr="006A7C86">
        <w:rPr>
          <w:rStyle w:val="EndnoteReference"/>
          <w:rFonts w:ascii="Times New Roman" w:hAnsi="Times New Roman" w:cs="Times New Roman"/>
        </w:rPr>
        <w:endnoteReference w:id="13"/>
      </w:r>
      <w:r w:rsidRPr="006A7C86">
        <w:rPr>
          <w:rFonts w:ascii="Times New Roman" w:hAnsi="Times New Roman" w:cs="Times New Roman"/>
        </w:rPr>
        <w:t xml:space="preserve"> and (4) willingness to price discriminate against voucher holders. </w:t>
      </w:r>
    </w:p>
    <w:p w14:paraId="6FDD6707" w14:textId="4595EF54" w:rsidR="00204154" w:rsidRDefault="00204154" w:rsidP="00CB5709"/>
    <w:p w14:paraId="011E6252" w14:textId="4C91C1ED" w:rsidR="00CE2BCA" w:rsidRDefault="00CE2BCA" w:rsidP="008E7C72"/>
    <w:sectPr w:rsidR="00CE2BC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6ACE" w14:textId="77777777" w:rsidR="00DE3DE2" w:rsidRDefault="00DE3DE2" w:rsidP="00AB4A45">
      <w:pPr>
        <w:spacing w:after="0" w:line="240" w:lineRule="auto"/>
      </w:pPr>
      <w:r>
        <w:separator/>
      </w:r>
    </w:p>
  </w:endnote>
  <w:endnote w:type="continuationSeparator" w:id="0">
    <w:p w14:paraId="62F8E66F" w14:textId="77777777" w:rsidR="00DE3DE2" w:rsidRDefault="00DE3DE2" w:rsidP="00AB4A45">
      <w:pPr>
        <w:spacing w:after="0" w:line="240" w:lineRule="auto"/>
      </w:pPr>
      <w:r>
        <w:continuationSeparator/>
      </w:r>
    </w:p>
  </w:endnote>
  <w:endnote w:id="1">
    <w:p w14:paraId="093BB2A0" w14:textId="77777777" w:rsidR="00CB5709" w:rsidRPr="0038628D" w:rsidRDefault="00CB5709" w:rsidP="00CB5709">
      <w:pPr>
        <w:pStyle w:val="EndnoteText"/>
        <w:rPr>
          <w:rFonts w:ascii="Times New Roman" w:hAnsi="Times New Roman" w:cs="Times New Roman"/>
        </w:rPr>
      </w:pPr>
      <w:r w:rsidRPr="0038628D">
        <w:rPr>
          <w:rStyle w:val="EndnoteReference"/>
          <w:rFonts w:ascii="Times New Roman" w:hAnsi="Times New Roman" w:cs="Times New Roman"/>
        </w:rPr>
        <w:endnoteRef/>
      </w:r>
      <w:r w:rsidRPr="0038628D">
        <w:rPr>
          <w:rFonts w:ascii="Times New Roman" w:hAnsi="Times New Roman" w:cs="Times New Roman"/>
        </w:rPr>
        <w:t xml:space="preserve"> Goodman, L., Kaul, K., &amp; Stegman, m. (2022) Leveraging Financing to Encourage Landlords to </w:t>
      </w:r>
    </w:p>
    <w:p w14:paraId="52405653" w14:textId="77777777" w:rsidR="00CB5709" w:rsidRPr="0038628D" w:rsidRDefault="00CB5709" w:rsidP="00CB5709">
      <w:pPr>
        <w:pStyle w:val="EndnoteText"/>
        <w:rPr>
          <w:rFonts w:ascii="Times New Roman" w:hAnsi="Times New Roman" w:cs="Times New Roman"/>
        </w:rPr>
      </w:pPr>
      <w:r w:rsidRPr="0038628D">
        <w:rPr>
          <w:rFonts w:ascii="Times New Roman" w:hAnsi="Times New Roman" w:cs="Times New Roman"/>
        </w:rPr>
        <w:t xml:space="preserve">Accept Housing Choice Vouchers. Urban Institute. </w:t>
      </w:r>
    </w:p>
    <w:p w14:paraId="093CA2D2" w14:textId="77777777" w:rsidR="00CB5709" w:rsidRPr="0038628D" w:rsidRDefault="00CB5709" w:rsidP="00CB5709">
      <w:pPr>
        <w:pStyle w:val="EndnoteText"/>
        <w:rPr>
          <w:rFonts w:ascii="Times New Roman" w:hAnsi="Times New Roman" w:cs="Times New Roman"/>
        </w:rPr>
      </w:pPr>
      <w:r w:rsidRPr="0038628D">
        <w:rPr>
          <w:rFonts w:ascii="Times New Roman" w:hAnsi="Times New Roman" w:cs="Times New Roman"/>
        </w:rPr>
        <w:t>https://www.urban.org/sites/default/files/2022-09/Leveraging%20Financing%20to%20Encourage%20Landlords%20to%20Accept%20Housing%20Choice%20Vouchers.pdf</w:t>
      </w:r>
    </w:p>
  </w:endnote>
  <w:endnote w:id="2">
    <w:p w14:paraId="763EFEA5" w14:textId="77777777" w:rsidR="00CB5709" w:rsidRPr="004A4889" w:rsidRDefault="00CB5709" w:rsidP="00CB5709">
      <w:pPr>
        <w:pStyle w:val="EndnoteText"/>
        <w:rPr>
          <w:rFonts w:ascii="Times New Roman" w:hAnsi="Times New Roman" w:cs="Times New Roman"/>
        </w:rPr>
      </w:pPr>
      <w:r w:rsidRPr="004A4889">
        <w:rPr>
          <w:rStyle w:val="EndnoteReference"/>
          <w:rFonts w:ascii="Times New Roman" w:hAnsi="Times New Roman" w:cs="Times New Roman"/>
        </w:rPr>
        <w:endnoteRef/>
      </w:r>
      <w:r w:rsidRPr="004A4889">
        <w:rPr>
          <w:rFonts w:ascii="Times New Roman" w:hAnsi="Times New Roman" w:cs="Times New Roman"/>
        </w:rPr>
        <w:t xml:space="preserve"> Fischer, W. (2015). Research Shows Housing Vouchers Reduce Hardship and Provide Platform for Long-Term Gains for Children. </w:t>
      </w:r>
      <w:r w:rsidRPr="004A4889">
        <w:rPr>
          <w:rFonts w:ascii="Times New Roman" w:hAnsi="Times New Roman" w:cs="Times New Roman"/>
          <w:i/>
          <w:iCs/>
        </w:rPr>
        <w:t>Center on Budget and Policy Priorities</w:t>
      </w:r>
      <w:r w:rsidRPr="004A4889">
        <w:rPr>
          <w:rFonts w:ascii="Times New Roman" w:hAnsi="Times New Roman" w:cs="Times New Roman"/>
        </w:rPr>
        <w:t>. https://www.cbpp.org/research/research-shows-housing-vouchers-reduce-hardship-and-provide-platform-for-long-term-gains</w:t>
      </w:r>
    </w:p>
  </w:endnote>
  <w:endnote w:id="3">
    <w:p w14:paraId="4879106D" w14:textId="77777777" w:rsidR="00CB5709" w:rsidRPr="005B1235" w:rsidRDefault="00CB5709" w:rsidP="00CB5709">
      <w:pPr>
        <w:pStyle w:val="EndnoteText"/>
        <w:rPr>
          <w:rFonts w:ascii="Times New Roman" w:hAnsi="Times New Roman" w:cs="Times New Roman"/>
        </w:rPr>
      </w:pPr>
      <w:r w:rsidRPr="004A4889">
        <w:rPr>
          <w:rStyle w:val="EndnoteReference"/>
          <w:rFonts w:ascii="Times New Roman" w:hAnsi="Times New Roman" w:cs="Times New Roman"/>
        </w:rPr>
        <w:endnoteRef/>
      </w:r>
      <w:r w:rsidRPr="004A4889">
        <w:rPr>
          <w:rFonts w:ascii="Times New Roman" w:hAnsi="Times New Roman" w:cs="Times New Roman"/>
        </w:rPr>
        <w:t xml:space="preserve"> https://abc7.com/section-8-housing-city-of-los-angeles-hacla-</w:t>
      </w:r>
      <w:r w:rsidRPr="005B1235">
        <w:rPr>
          <w:rFonts w:ascii="Times New Roman" w:hAnsi="Times New Roman" w:cs="Times New Roman"/>
        </w:rPr>
        <w:t>public/13240363/#:~:text=Our%20data%20team%20found%20that,%2C%2085%25%20are%20being%20used.</w:t>
      </w:r>
    </w:p>
  </w:endnote>
  <w:endnote w:id="4">
    <w:p w14:paraId="6778026F" w14:textId="77777777" w:rsidR="00CB5709" w:rsidRPr="005B1235" w:rsidRDefault="00CB5709" w:rsidP="00CB5709">
      <w:pPr>
        <w:pStyle w:val="EndnoteText"/>
        <w:rPr>
          <w:rFonts w:ascii="Times New Roman" w:hAnsi="Times New Roman" w:cs="Times New Roman"/>
        </w:rPr>
      </w:pPr>
      <w:r w:rsidRPr="005B1235">
        <w:rPr>
          <w:rStyle w:val="EndnoteReference"/>
          <w:rFonts w:ascii="Times New Roman" w:hAnsi="Times New Roman" w:cs="Times New Roman"/>
        </w:rPr>
        <w:endnoteRef/>
      </w:r>
      <w:r w:rsidRPr="005B1235">
        <w:rPr>
          <w:rFonts w:ascii="Times New Roman" w:hAnsi="Times New Roman" w:cs="Times New Roman"/>
        </w:rPr>
        <w:t xml:space="preserve"> </w:t>
      </w:r>
      <w:r w:rsidRPr="005B1235">
        <w:rPr>
          <w:rFonts w:ascii="Times New Roman" w:hAnsi="Times New Roman" w:cs="Times New Roman"/>
          <w:i/>
          <w:iCs/>
        </w:rPr>
        <w:t>Ibid.</w:t>
      </w:r>
    </w:p>
  </w:endnote>
  <w:endnote w:id="5">
    <w:p w14:paraId="1FE69F46" w14:textId="77777777" w:rsidR="00CB5709" w:rsidRPr="00821F6A" w:rsidRDefault="00CB5709" w:rsidP="00CB5709">
      <w:pPr>
        <w:pStyle w:val="EndnoteText"/>
        <w:rPr>
          <w:rFonts w:ascii="Times New Roman" w:hAnsi="Times New Roman" w:cs="Times New Roman"/>
        </w:rPr>
      </w:pPr>
      <w:r w:rsidRPr="004A4889">
        <w:rPr>
          <w:rStyle w:val="EndnoteReference"/>
          <w:rFonts w:ascii="Times New Roman" w:hAnsi="Times New Roman" w:cs="Times New Roman"/>
        </w:rPr>
        <w:endnoteRef/>
      </w:r>
      <w:r w:rsidRPr="004A4889">
        <w:rPr>
          <w:rFonts w:ascii="Times New Roman" w:hAnsi="Times New Roman" w:cs="Times New Roman"/>
        </w:rPr>
        <w:t xml:space="preserve"> Khouri, A. (2022). LA City Council votes to ban lo</w:t>
      </w:r>
      <w:r w:rsidRPr="00821F6A">
        <w:rPr>
          <w:rFonts w:ascii="Times New Roman" w:hAnsi="Times New Roman" w:cs="Times New Roman"/>
        </w:rPr>
        <w:t xml:space="preserve">w-income Section 8 rental discrimination. </w:t>
      </w:r>
      <w:r w:rsidRPr="00821F6A">
        <w:rPr>
          <w:rFonts w:ascii="Times New Roman" w:hAnsi="Times New Roman" w:cs="Times New Roman"/>
          <w:i/>
          <w:iCs/>
        </w:rPr>
        <w:t>Los Angeles Times</w:t>
      </w:r>
      <w:r w:rsidRPr="00821F6A">
        <w:rPr>
          <w:rFonts w:ascii="Times New Roman" w:hAnsi="Times New Roman" w:cs="Times New Roman"/>
        </w:rPr>
        <w:t>. https://www.latimes.com/business/la-fi-section-8-discrimination-20190618-story.html</w:t>
      </w:r>
    </w:p>
  </w:endnote>
  <w:endnote w:id="6">
    <w:p w14:paraId="6D78F9D3" w14:textId="77777777" w:rsidR="00CB5709" w:rsidRPr="00821F6A" w:rsidRDefault="00CB5709" w:rsidP="00CB5709">
      <w:pPr>
        <w:pStyle w:val="EndnoteText"/>
        <w:rPr>
          <w:rFonts w:ascii="Times New Roman" w:hAnsi="Times New Roman" w:cs="Times New Roman"/>
        </w:rPr>
      </w:pPr>
      <w:r w:rsidRPr="00821F6A">
        <w:rPr>
          <w:rStyle w:val="EndnoteReference"/>
          <w:rFonts w:ascii="Times New Roman" w:hAnsi="Times New Roman" w:cs="Times New Roman"/>
        </w:rPr>
        <w:endnoteRef/>
      </w:r>
      <w:r w:rsidRPr="00821F6A">
        <w:rPr>
          <w:rFonts w:ascii="Times New Roman" w:hAnsi="Times New Roman" w:cs="Times New Roman"/>
        </w:rPr>
        <w:t xml:space="preserve"> NBC Los Angeles. (2019). LA County Bans Discrimination Against Section 8 Tenants. </w:t>
      </w:r>
      <w:r w:rsidRPr="00821F6A">
        <w:rPr>
          <w:rFonts w:ascii="Times New Roman" w:hAnsi="Times New Roman" w:cs="Times New Roman"/>
          <w:i/>
          <w:iCs/>
        </w:rPr>
        <w:t>NBC Los Angeles</w:t>
      </w:r>
      <w:r w:rsidRPr="00821F6A">
        <w:rPr>
          <w:rFonts w:ascii="Times New Roman" w:hAnsi="Times New Roman" w:cs="Times New Roman"/>
        </w:rPr>
        <w:t>. https://www.nbclosangeles.com/news/la-bans-discrimination-against-section-8-tenants/149356/</w:t>
      </w:r>
    </w:p>
  </w:endnote>
  <w:endnote w:id="7">
    <w:p w14:paraId="5514F2BC" w14:textId="77777777" w:rsidR="00CB5709" w:rsidRPr="006A7C86" w:rsidRDefault="00CB5709" w:rsidP="006A7C86">
      <w:pPr>
        <w:pStyle w:val="EndnoteText"/>
        <w:rPr>
          <w:rFonts w:ascii="Times New Roman" w:hAnsi="Times New Roman" w:cs="Times New Roman"/>
        </w:rPr>
      </w:pPr>
      <w:r w:rsidRPr="00821F6A">
        <w:rPr>
          <w:rStyle w:val="EndnoteReference"/>
          <w:rFonts w:ascii="Times New Roman" w:hAnsi="Times New Roman" w:cs="Times New Roman"/>
        </w:rPr>
        <w:endnoteRef/>
      </w:r>
      <w:r w:rsidRPr="00821F6A">
        <w:rPr>
          <w:rFonts w:ascii="Times New Roman" w:hAnsi="Times New Roman" w:cs="Times New Roman"/>
        </w:rPr>
        <w:t xml:space="preserve"> Abraham, R. (2023). LA Isn’t Enforcing Its Section 8 Discrimination Ban. Could This Lawsuit Change the Tide? </w:t>
      </w:r>
      <w:proofErr w:type="spellStart"/>
      <w:r w:rsidRPr="00821F6A">
        <w:rPr>
          <w:rFonts w:ascii="Times New Roman" w:hAnsi="Times New Roman" w:cs="Times New Roman"/>
          <w:i/>
          <w:iCs/>
        </w:rPr>
        <w:t>Shelterforce</w:t>
      </w:r>
      <w:proofErr w:type="spellEnd"/>
      <w:r w:rsidRPr="00821F6A">
        <w:rPr>
          <w:rFonts w:ascii="Times New Roman" w:hAnsi="Times New Roman" w:cs="Times New Roman"/>
        </w:rPr>
        <w:t xml:space="preserve">. </w:t>
      </w:r>
      <w:r w:rsidRPr="006A7C86">
        <w:rPr>
          <w:rFonts w:ascii="Times New Roman" w:hAnsi="Times New Roman" w:cs="Times New Roman"/>
        </w:rPr>
        <w:t>https://shelterforce.org/2023/05/26/la-isnt-enforcing-its-section-8-discrimination-ban-could-this-lawsuit-change-the-tide/</w:t>
      </w:r>
    </w:p>
  </w:endnote>
  <w:endnote w:id="8">
    <w:p w14:paraId="1FB10378" w14:textId="77777777" w:rsidR="00CB5709" w:rsidRPr="006A7C86" w:rsidRDefault="00CB5709" w:rsidP="006A7C86">
      <w:pPr>
        <w:pStyle w:val="EndnoteText"/>
        <w:rPr>
          <w:rFonts w:ascii="Times New Roman" w:hAnsi="Times New Roman" w:cs="Times New Roman"/>
        </w:rPr>
      </w:pPr>
      <w:r w:rsidRPr="006A7C86">
        <w:rPr>
          <w:rStyle w:val="EndnoteReference"/>
          <w:rFonts w:ascii="Times New Roman" w:hAnsi="Times New Roman" w:cs="Times New Roman"/>
        </w:rPr>
        <w:endnoteRef/>
      </w:r>
      <w:r w:rsidRPr="006A7C86">
        <w:rPr>
          <w:rFonts w:ascii="Times New Roman" w:hAnsi="Times New Roman" w:cs="Times New Roman"/>
        </w:rPr>
        <w:t xml:space="preserve"> Khouri, A. (2022). California outlawed Section 8 housing discrimination. Why it </w:t>
      </w:r>
      <w:proofErr w:type="gramStart"/>
      <w:r w:rsidRPr="006A7C86">
        <w:rPr>
          <w:rFonts w:ascii="Times New Roman" w:hAnsi="Times New Roman" w:cs="Times New Roman"/>
        </w:rPr>
        <w:t>still persists</w:t>
      </w:r>
      <w:proofErr w:type="gramEnd"/>
      <w:r w:rsidRPr="006A7C86">
        <w:rPr>
          <w:rFonts w:ascii="Times New Roman" w:hAnsi="Times New Roman" w:cs="Times New Roman"/>
        </w:rPr>
        <w:t xml:space="preserve">. </w:t>
      </w:r>
      <w:r w:rsidRPr="006A7C86">
        <w:rPr>
          <w:rFonts w:ascii="Times New Roman" w:hAnsi="Times New Roman" w:cs="Times New Roman"/>
          <w:i/>
          <w:iCs/>
        </w:rPr>
        <w:t>Los Angeles Times</w:t>
      </w:r>
      <w:r w:rsidRPr="006A7C86">
        <w:rPr>
          <w:rFonts w:ascii="Times New Roman" w:hAnsi="Times New Roman" w:cs="Times New Roman"/>
        </w:rPr>
        <w:t>. https://www.latimes.com/california/story/2022-11-19/california-outlawed-section-8-housing-discrimination-why-it-still-persists</w:t>
      </w:r>
    </w:p>
  </w:endnote>
  <w:endnote w:id="9">
    <w:p w14:paraId="39252CFC" w14:textId="4C3B9537" w:rsidR="006A7C86" w:rsidRPr="006A7C86" w:rsidRDefault="006A7C86" w:rsidP="006A7C86">
      <w:pPr>
        <w:pStyle w:val="EndnoteText"/>
        <w:rPr>
          <w:rFonts w:ascii="Times New Roman" w:hAnsi="Times New Roman" w:cs="Times New Roman"/>
        </w:rPr>
      </w:pPr>
      <w:r w:rsidRPr="006A7C86">
        <w:rPr>
          <w:rStyle w:val="EndnoteReference"/>
          <w:rFonts w:ascii="Times New Roman" w:hAnsi="Times New Roman" w:cs="Times New Roman"/>
          <w:highlight w:val="yellow"/>
        </w:rPr>
        <w:endnoteRef/>
      </w:r>
      <w:r w:rsidRPr="006A7C86">
        <w:rPr>
          <w:rFonts w:ascii="Times New Roman" w:hAnsi="Times New Roman" w:cs="Times New Roman"/>
          <w:highlight w:val="yellow"/>
        </w:rPr>
        <w:t xml:space="preserve"> </w:t>
      </w:r>
      <w:hyperlink r:id="rId1" w:anchor="codebook_2009-2023" w:history="1">
        <w:r w:rsidRPr="006A7C86">
          <w:rPr>
            <w:rStyle w:val="Hyperlink"/>
            <w:rFonts w:ascii="Times New Roman" w:hAnsi="Times New Roman" w:cs="Times New Roman"/>
            <w:highlight w:val="yellow"/>
          </w:rPr>
          <w:t>Assisted Housing: National and Local | HUD USER</w:t>
        </w:r>
      </w:hyperlink>
    </w:p>
  </w:endnote>
  <w:endnote w:id="10">
    <w:p w14:paraId="7A16A7AE" w14:textId="651B4596" w:rsidR="006A7C86" w:rsidRPr="006A7C86" w:rsidRDefault="006A7C86" w:rsidP="006A7C86">
      <w:pPr>
        <w:spacing w:after="0" w:line="240" w:lineRule="auto"/>
        <w:rPr>
          <w:rFonts w:ascii="Times New Roman" w:hAnsi="Times New Roman" w:cs="Times New Roman"/>
          <w:b/>
          <w:bCs/>
          <w:sz w:val="20"/>
          <w:szCs w:val="20"/>
        </w:rPr>
      </w:pPr>
      <w:r w:rsidRPr="006A7C86">
        <w:rPr>
          <w:rStyle w:val="EndnoteReference"/>
          <w:rFonts w:ascii="Times New Roman" w:hAnsi="Times New Roman" w:cs="Times New Roman"/>
          <w:sz w:val="20"/>
          <w:szCs w:val="20"/>
          <w:highlight w:val="yellow"/>
        </w:rPr>
        <w:endnoteRef/>
      </w:r>
      <w:r w:rsidRPr="006A7C86">
        <w:rPr>
          <w:rFonts w:ascii="Times New Roman" w:hAnsi="Times New Roman" w:cs="Times New Roman"/>
          <w:sz w:val="20"/>
          <w:szCs w:val="20"/>
          <w:highlight w:val="yellow"/>
        </w:rPr>
        <w:t xml:space="preserve"> </w:t>
      </w:r>
      <w:hyperlink r:id="rId2" w:history="1">
        <w:r w:rsidRPr="006A7C86">
          <w:rPr>
            <w:rStyle w:val="Hyperlink"/>
            <w:rFonts w:ascii="Times New Roman" w:hAnsi="Times New Roman" w:cs="Times New Roman"/>
            <w:sz w:val="20"/>
            <w:szCs w:val="20"/>
            <w:highlight w:val="yellow"/>
          </w:rPr>
          <w:t>Abt Single-Sided Body Template (hiltonfoundation.org)</w:t>
        </w:r>
      </w:hyperlink>
    </w:p>
  </w:endnote>
  <w:endnote w:id="11">
    <w:p w14:paraId="240B36EB" w14:textId="77777777" w:rsidR="00CB5709" w:rsidRPr="006A7C86" w:rsidRDefault="00CB5709" w:rsidP="006A7C86">
      <w:pPr>
        <w:pStyle w:val="EndnoteText"/>
        <w:rPr>
          <w:rFonts w:ascii="Times New Roman" w:hAnsi="Times New Roman" w:cs="Times New Roman"/>
        </w:rPr>
      </w:pPr>
      <w:r w:rsidRPr="006A7C86">
        <w:rPr>
          <w:rStyle w:val="EndnoteReference"/>
          <w:rFonts w:ascii="Times New Roman" w:hAnsi="Times New Roman" w:cs="Times New Roman"/>
        </w:rPr>
        <w:endnoteRef/>
      </w:r>
      <w:r w:rsidRPr="006A7C86">
        <w:rPr>
          <w:rFonts w:ascii="Times New Roman" w:hAnsi="Times New Roman" w:cs="Times New Roman"/>
        </w:rPr>
        <w:t xml:space="preserve"> </w:t>
      </w:r>
      <w:bookmarkStart w:id="0" w:name="_Hlk157447315"/>
      <w:r w:rsidRPr="006A7C86">
        <w:rPr>
          <w:rFonts w:ascii="Times New Roman" w:hAnsi="Times New Roman" w:cs="Times New Roman"/>
        </w:rPr>
        <w:t xml:space="preserve">Cunningham, M., Galvez, M., Aranda, C. L., Santos, R., </w:t>
      </w:r>
      <w:proofErr w:type="spellStart"/>
      <w:r w:rsidRPr="006A7C86">
        <w:rPr>
          <w:rFonts w:ascii="Times New Roman" w:hAnsi="Times New Roman" w:cs="Times New Roman"/>
        </w:rPr>
        <w:t>Wissoker</w:t>
      </w:r>
      <w:proofErr w:type="spellEnd"/>
      <w:r w:rsidRPr="006A7C86">
        <w:rPr>
          <w:rFonts w:ascii="Times New Roman" w:hAnsi="Times New Roman" w:cs="Times New Roman"/>
        </w:rPr>
        <w:t xml:space="preserve">, D., Oneto, A., </w:t>
      </w:r>
      <w:proofErr w:type="spellStart"/>
      <w:r w:rsidRPr="006A7C86">
        <w:rPr>
          <w:rFonts w:ascii="Times New Roman" w:hAnsi="Times New Roman" w:cs="Times New Roman"/>
        </w:rPr>
        <w:t>Pitingolo</w:t>
      </w:r>
      <w:proofErr w:type="spellEnd"/>
      <w:r w:rsidRPr="006A7C86">
        <w:rPr>
          <w:rFonts w:ascii="Times New Roman" w:hAnsi="Times New Roman" w:cs="Times New Roman"/>
        </w:rPr>
        <w:t xml:space="preserve">, R., &amp; Crawford, J. (2018). </w:t>
      </w:r>
      <w:r w:rsidRPr="006A7C86">
        <w:rPr>
          <w:rFonts w:ascii="Times New Roman" w:hAnsi="Times New Roman" w:cs="Times New Roman"/>
          <w:i/>
          <w:iCs/>
        </w:rPr>
        <w:t>A Pilot Study of Landlord Acceptance of Housing Choice Vouchers</w:t>
      </w:r>
      <w:r w:rsidRPr="006A7C86">
        <w:rPr>
          <w:rFonts w:ascii="Times New Roman" w:hAnsi="Times New Roman" w:cs="Times New Roman"/>
        </w:rPr>
        <w:t>. U.S. Department of Housing and Urban Development. https://www.huduser.gov/portal//portal/sites/default/files/pdf/Landlord-Acceptance-of-Housing-Choice-Vouchers.pdf</w:t>
      </w:r>
      <w:bookmarkEnd w:id="0"/>
    </w:p>
  </w:endnote>
  <w:endnote w:id="12">
    <w:p w14:paraId="5D46A132" w14:textId="77777777" w:rsidR="00CB5709" w:rsidRPr="0038628D" w:rsidRDefault="00CB5709" w:rsidP="00CB5709">
      <w:pPr>
        <w:pStyle w:val="EndnoteText"/>
        <w:rPr>
          <w:rFonts w:ascii="Times New Roman" w:hAnsi="Times New Roman" w:cs="Times New Roman"/>
        </w:rPr>
      </w:pPr>
      <w:r w:rsidRPr="0038628D">
        <w:rPr>
          <w:rStyle w:val="EndnoteReference"/>
          <w:rFonts w:ascii="Times New Roman" w:hAnsi="Times New Roman" w:cs="Times New Roman"/>
        </w:rPr>
        <w:endnoteRef/>
      </w:r>
      <w:r w:rsidRPr="0038628D">
        <w:rPr>
          <w:rFonts w:ascii="Times New Roman" w:hAnsi="Times New Roman" w:cs="Times New Roman"/>
        </w:rPr>
        <w:t xml:space="preserve"> </w:t>
      </w:r>
      <w:r w:rsidRPr="005D0B29">
        <w:rPr>
          <w:rFonts w:ascii="Times New Roman" w:hAnsi="Times New Roman" w:cs="Times New Roman"/>
        </w:rPr>
        <w:t>Garboden, P., Rosen, E., Creig, M., DeLuca, S., &amp; Edin, K. (2018).</w:t>
      </w:r>
      <w:r w:rsidRPr="00604E2A">
        <w:rPr>
          <w:rFonts w:ascii="Times New Roman" w:hAnsi="Times New Roman" w:cs="Times New Roman"/>
          <w:i/>
          <w:iCs/>
        </w:rPr>
        <w:t xml:space="preserve"> Urban Landlords and the Housing Choice Voucher Program: A Research Report. </w:t>
      </w:r>
      <w:r w:rsidRPr="00604E2A">
        <w:rPr>
          <w:rFonts w:ascii="Times New Roman" w:hAnsi="Times New Roman" w:cs="Times New Roman"/>
        </w:rPr>
        <w:t>US. Department of Housing and Urban Development. https://www.huduser.gov/portal/sites/default/files/pdf/Urban-Landlords-HCV-Program.pdf</w:t>
      </w:r>
    </w:p>
  </w:endnote>
  <w:endnote w:id="13">
    <w:p w14:paraId="79A2F478" w14:textId="77777777" w:rsidR="00CB5709" w:rsidRDefault="00CB5709" w:rsidP="00CB5709">
      <w:pPr>
        <w:pStyle w:val="EndnoteText"/>
      </w:pPr>
      <w:r w:rsidRPr="0038628D">
        <w:rPr>
          <w:rStyle w:val="EndnoteReference"/>
          <w:rFonts w:ascii="Times New Roman" w:hAnsi="Times New Roman" w:cs="Times New Roman"/>
        </w:rPr>
        <w:endnoteRef/>
      </w:r>
      <w:r w:rsidRPr="0038628D">
        <w:rPr>
          <w:rFonts w:ascii="Times New Roman" w:hAnsi="Times New Roman" w:cs="Times New Roman"/>
        </w:rPr>
        <w:t xml:space="preserve"> </w:t>
      </w:r>
      <w:r w:rsidRPr="0038628D">
        <w:rPr>
          <w:rFonts w:ascii="Times New Roman" w:hAnsi="Times New Roman" w:cs="Times New Roman"/>
          <w:i/>
          <w:iCs/>
        </w:rP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A0C7" w14:textId="77777777" w:rsidR="00DE3DE2" w:rsidRDefault="00DE3DE2" w:rsidP="00AB4A45">
      <w:pPr>
        <w:spacing w:after="0" w:line="240" w:lineRule="auto"/>
      </w:pPr>
      <w:r>
        <w:separator/>
      </w:r>
    </w:p>
  </w:footnote>
  <w:footnote w:type="continuationSeparator" w:id="0">
    <w:p w14:paraId="664E18A5" w14:textId="77777777" w:rsidR="00DE3DE2" w:rsidRDefault="00DE3DE2" w:rsidP="00AB4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4389" w14:textId="19C903F3" w:rsidR="007757E6" w:rsidRDefault="007757E6">
    <w:pPr>
      <w:pStyle w:val="Header"/>
    </w:pPr>
    <w:r>
      <w:t>Alex Sizemore</w:t>
    </w:r>
  </w:p>
  <w:p w14:paraId="6B01E025" w14:textId="2B3F9386" w:rsidR="007757E6" w:rsidRDefault="007757E6">
    <w:pPr>
      <w:pStyle w:val="Header"/>
    </w:pPr>
    <w:r>
      <w:t>Quantitative Analysis</w:t>
    </w:r>
  </w:p>
  <w:p w14:paraId="14AC5F23" w14:textId="33B937B2" w:rsidR="007757E6" w:rsidRDefault="007757E6">
    <w:pPr>
      <w:pStyle w:val="Header"/>
    </w:pPr>
    <w:r>
      <w:t>Winter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F9D"/>
    <w:multiLevelType w:val="hybridMultilevel"/>
    <w:tmpl w:val="9E687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A00D3"/>
    <w:multiLevelType w:val="hybridMultilevel"/>
    <w:tmpl w:val="8BE4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017D5"/>
    <w:multiLevelType w:val="hybridMultilevel"/>
    <w:tmpl w:val="0B5408E4"/>
    <w:lvl w:ilvl="0" w:tplc="5A3C1C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839504">
    <w:abstractNumId w:val="0"/>
  </w:num>
  <w:num w:numId="2" w16cid:durableId="1360815029">
    <w:abstractNumId w:val="1"/>
  </w:num>
  <w:num w:numId="3" w16cid:durableId="1332757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05"/>
    <w:rsid w:val="00014005"/>
    <w:rsid w:val="00044A1B"/>
    <w:rsid w:val="000839B1"/>
    <w:rsid w:val="00173A23"/>
    <w:rsid w:val="00204154"/>
    <w:rsid w:val="00260048"/>
    <w:rsid w:val="002E6B11"/>
    <w:rsid w:val="003658CB"/>
    <w:rsid w:val="00365B0A"/>
    <w:rsid w:val="0039154A"/>
    <w:rsid w:val="003C53A0"/>
    <w:rsid w:val="003C73C1"/>
    <w:rsid w:val="0054301F"/>
    <w:rsid w:val="005A4E17"/>
    <w:rsid w:val="005A680B"/>
    <w:rsid w:val="005D4F0E"/>
    <w:rsid w:val="006305FB"/>
    <w:rsid w:val="006A0E06"/>
    <w:rsid w:val="006A6EFE"/>
    <w:rsid w:val="006A7C86"/>
    <w:rsid w:val="00751B7B"/>
    <w:rsid w:val="007757E6"/>
    <w:rsid w:val="008445E8"/>
    <w:rsid w:val="008E63BA"/>
    <w:rsid w:val="008E7C72"/>
    <w:rsid w:val="009505BE"/>
    <w:rsid w:val="00965A77"/>
    <w:rsid w:val="00972763"/>
    <w:rsid w:val="009736D7"/>
    <w:rsid w:val="00AA7FCE"/>
    <w:rsid w:val="00AB4A45"/>
    <w:rsid w:val="00C55DF3"/>
    <w:rsid w:val="00CB5709"/>
    <w:rsid w:val="00CE2BCA"/>
    <w:rsid w:val="00D4026B"/>
    <w:rsid w:val="00D81F56"/>
    <w:rsid w:val="00DE3DE2"/>
    <w:rsid w:val="00E561A0"/>
    <w:rsid w:val="00E872E0"/>
    <w:rsid w:val="00EF783E"/>
    <w:rsid w:val="00F00BAA"/>
    <w:rsid w:val="00F34AF0"/>
    <w:rsid w:val="00F5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69C1"/>
  <w15:chartTrackingRefBased/>
  <w15:docId w15:val="{DEEE4755-61F9-4DA8-87D5-4342E0F5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A45"/>
  </w:style>
  <w:style w:type="paragraph" w:styleId="Footer">
    <w:name w:val="footer"/>
    <w:basedOn w:val="Normal"/>
    <w:link w:val="FooterChar"/>
    <w:uiPriority w:val="99"/>
    <w:unhideWhenUsed/>
    <w:rsid w:val="00AB4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A45"/>
  </w:style>
  <w:style w:type="character" w:styleId="Hyperlink">
    <w:name w:val="Hyperlink"/>
    <w:basedOn w:val="DefaultParagraphFont"/>
    <w:uiPriority w:val="99"/>
    <w:unhideWhenUsed/>
    <w:rsid w:val="00F00BAA"/>
    <w:rPr>
      <w:color w:val="0563C1" w:themeColor="hyperlink"/>
      <w:u w:val="single"/>
    </w:rPr>
  </w:style>
  <w:style w:type="character" w:styleId="UnresolvedMention">
    <w:name w:val="Unresolved Mention"/>
    <w:basedOn w:val="DefaultParagraphFont"/>
    <w:uiPriority w:val="99"/>
    <w:semiHidden/>
    <w:unhideWhenUsed/>
    <w:rsid w:val="00F00BAA"/>
    <w:rPr>
      <w:color w:val="605E5C"/>
      <w:shd w:val="clear" w:color="auto" w:fill="E1DFDD"/>
    </w:rPr>
  </w:style>
  <w:style w:type="paragraph" w:styleId="ListParagraph">
    <w:name w:val="List Paragraph"/>
    <w:basedOn w:val="Normal"/>
    <w:uiPriority w:val="34"/>
    <w:qFormat/>
    <w:rsid w:val="00F00BAA"/>
    <w:pPr>
      <w:ind w:left="720"/>
      <w:contextualSpacing/>
    </w:pPr>
  </w:style>
  <w:style w:type="paragraph" w:styleId="EndnoteText">
    <w:name w:val="endnote text"/>
    <w:basedOn w:val="Normal"/>
    <w:link w:val="EndnoteTextChar"/>
    <w:uiPriority w:val="99"/>
    <w:semiHidden/>
    <w:unhideWhenUsed/>
    <w:rsid w:val="00CB5709"/>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semiHidden/>
    <w:rsid w:val="00CB5709"/>
    <w:rPr>
      <w:kern w:val="0"/>
      <w:sz w:val="20"/>
      <w:szCs w:val="20"/>
      <w14:ligatures w14:val="none"/>
    </w:rPr>
  </w:style>
  <w:style w:type="character" w:styleId="EndnoteReference">
    <w:name w:val="endnote reference"/>
    <w:basedOn w:val="DefaultParagraphFont"/>
    <w:uiPriority w:val="99"/>
    <w:semiHidden/>
    <w:unhideWhenUsed/>
    <w:rsid w:val="00CB5709"/>
    <w:rPr>
      <w:vertAlign w:val="superscript"/>
    </w:rPr>
  </w:style>
  <w:style w:type="paragraph" w:styleId="FootnoteText">
    <w:name w:val="footnote text"/>
    <w:basedOn w:val="Normal"/>
    <w:link w:val="FootnoteTextChar"/>
    <w:uiPriority w:val="99"/>
    <w:semiHidden/>
    <w:unhideWhenUsed/>
    <w:rsid w:val="006A7C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7C86"/>
    <w:rPr>
      <w:sz w:val="20"/>
      <w:szCs w:val="20"/>
    </w:rPr>
  </w:style>
  <w:style w:type="character" w:styleId="FootnoteReference">
    <w:name w:val="footnote reference"/>
    <w:basedOn w:val="DefaultParagraphFont"/>
    <w:uiPriority w:val="99"/>
    <w:semiHidden/>
    <w:unhideWhenUsed/>
    <w:rsid w:val="006A7C86"/>
    <w:rPr>
      <w:vertAlign w:val="superscript"/>
    </w:rPr>
  </w:style>
  <w:style w:type="table" w:styleId="TableGrid">
    <w:name w:val="Table Grid"/>
    <w:basedOn w:val="TableNormal"/>
    <w:uiPriority w:val="39"/>
    <w:rsid w:val="003C7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4A1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3187">
      <w:bodyDiv w:val="1"/>
      <w:marLeft w:val="0"/>
      <w:marRight w:val="0"/>
      <w:marTop w:val="0"/>
      <w:marBottom w:val="0"/>
      <w:divBdr>
        <w:top w:val="none" w:sz="0" w:space="0" w:color="auto"/>
        <w:left w:val="none" w:sz="0" w:space="0" w:color="auto"/>
        <w:bottom w:val="none" w:sz="0" w:space="0" w:color="auto"/>
        <w:right w:val="none" w:sz="0" w:space="0" w:color="auto"/>
      </w:divBdr>
    </w:div>
    <w:div w:id="706755908">
      <w:bodyDiv w:val="1"/>
      <w:marLeft w:val="0"/>
      <w:marRight w:val="0"/>
      <w:marTop w:val="0"/>
      <w:marBottom w:val="0"/>
      <w:divBdr>
        <w:top w:val="none" w:sz="0" w:space="0" w:color="auto"/>
        <w:left w:val="none" w:sz="0" w:space="0" w:color="auto"/>
        <w:bottom w:val="none" w:sz="0" w:space="0" w:color="auto"/>
        <w:right w:val="none" w:sz="0" w:space="0" w:color="auto"/>
      </w:divBdr>
    </w:div>
    <w:div w:id="1339191479">
      <w:bodyDiv w:val="1"/>
      <w:marLeft w:val="0"/>
      <w:marRight w:val="0"/>
      <w:marTop w:val="0"/>
      <w:marBottom w:val="0"/>
      <w:divBdr>
        <w:top w:val="none" w:sz="0" w:space="0" w:color="auto"/>
        <w:left w:val="none" w:sz="0" w:space="0" w:color="auto"/>
        <w:bottom w:val="none" w:sz="0" w:space="0" w:color="auto"/>
        <w:right w:val="none" w:sz="0" w:space="0" w:color="auto"/>
      </w:divBdr>
    </w:div>
    <w:div w:id="21261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www.hiltonfoundation.org/wp-content/uploads/2022/07/Abt_Voucher-Report_FINAL_7.8.22.pdf" TargetMode="External"/><Relationship Id="rId1" Type="http://schemas.openxmlformats.org/officeDocument/2006/relationships/hyperlink" Target="https://www.huduser.gov/portal/datasets/assths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41AE0-4E5D-467D-B6BA-14E3AB26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Sizemore</dc:creator>
  <cp:keywords/>
  <dc:description/>
  <cp:lastModifiedBy>Alex Sizemore</cp:lastModifiedBy>
  <cp:revision>2</cp:revision>
  <dcterms:created xsi:type="dcterms:W3CDTF">2024-03-05T18:26:00Z</dcterms:created>
  <dcterms:modified xsi:type="dcterms:W3CDTF">2024-03-05T18:26:00Z</dcterms:modified>
</cp:coreProperties>
</file>