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0B32" w14:textId="0513CB89" w:rsidR="00D53BC5" w:rsidRPr="00D53BC5" w:rsidRDefault="00C82F62" w:rsidP="00FD54DE">
      <w:pPr>
        <w:pStyle w:val="Heading2"/>
      </w:pPr>
      <w:r>
        <w:t>Revising</w:t>
      </w:r>
      <w:r w:rsidR="006846C6">
        <w:t xml:space="preserve"> </w:t>
      </w:r>
      <w:r w:rsidR="00557F7C">
        <w:t>Statistical Evidence Required for Establishing Disparate Impact</w:t>
      </w:r>
      <w:r w:rsidR="00D20517">
        <w:t xml:space="preserve"> Claims</w:t>
      </w:r>
    </w:p>
    <w:p w14:paraId="3F4D4305" w14:textId="05F6576B" w:rsidR="00A437EB" w:rsidRDefault="00B34D02" w:rsidP="00FD54DE">
      <w:pPr>
        <w:spacing w:after="0" w:line="240" w:lineRule="auto"/>
        <w:ind w:firstLine="720"/>
      </w:pPr>
      <w:r>
        <w:t>Equal</w:t>
      </w:r>
      <w:r w:rsidR="00FD54DE" w:rsidRPr="00FD54DE">
        <w:t xml:space="preserve"> opportunity in employment and housing is a core right in the United States</w:t>
      </w:r>
      <w:r w:rsidR="00E37005">
        <w:t>. This right is</w:t>
      </w:r>
      <w:r w:rsidR="00FD54DE" w:rsidRPr="00FD54DE">
        <w:t xml:space="preserve"> enforced through anti-discrimination </w:t>
      </w:r>
      <w:r w:rsidR="00FD54DE">
        <w:t>cases brought</w:t>
      </w:r>
      <w:r w:rsidR="00FD54DE" w:rsidRPr="00FD54DE">
        <w:t xml:space="preserve"> under Title VI/VII of the Civil Rights Act and the Fair Housing Act. </w:t>
      </w:r>
      <w:r w:rsidR="00FD54DE">
        <w:t>Recently, there has been</w:t>
      </w:r>
      <w:r w:rsidR="00FD54DE" w:rsidRPr="00FD54DE">
        <w:t xml:space="preserve"> a surge in Fair Housing and Equal Opportunity complaints</w:t>
      </w:r>
      <w:r w:rsidR="00FD54DE">
        <w:t xml:space="preserve"> while</w:t>
      </w:r>
      <w:r w:rsidR="00FD54DE" w:rsidRPr="00FD54DE">
        <w:t xml:space="preserve"> </w:t>
      </w:r>
      <w:r w:rsidR="00FD54DE">
        <w:t xml:space="preserve">concurrently, </w:t>
      </w:r>
      <w:r w:rsidR="00FD54DE" w:rsidRPr="00FD54DE">
        <w:t>less than 1% of employment cases</w:t>
      </w:r>
      <w:r w:rsidR="00FD54DE">
        <w:t xml:space="preserve"> brought to courts have</w:t>
      </w:r>
      <w:r w:rsidR="00FD54DE" w:rsidRPr="00FD54DE">
        <w:t xml:space="preserve"> establish</w:t>
      </w:r>
      <w:r w:rsidR="00FD54DE">
        <w:t>ed</w:t>
      </w:r>
      <w:r w:rsidR="00FD54DE" w:rsidRPr="00FD54DE">
        <w:t xml:space="preserve"> discrimination</w:t>
      </w:r>
      <w:r w:rsidR="00FA11C4">
        <w:t>.</w:t>
      </w:r>
      <w:r w:rsidR="00FA11C4">
        <w:rPr>
          <w:rStyle w:val="FootnoteReference"/>
        </w:rPr>
        <w:footnoteReference w:id="1"/>
      </w:r>
      <w:r w:rsidR="00FD54DE" w:rsidRPr="00FD54DE">
        <w:t xml:space="preserve">Increasingly, </w:t>
      </w:r>
      <w:r w:rsidR="000357B5">
        <w:t xml:space="preserve">these </w:t>
      </w:r>
      <w:r w:rsidR="00FD54DE" w:rsidRPr="00FD54DE">
        <w:t>cases</w:t>
      </w:r>
      <w:r w:rsidR="00FD54DE">
        <w:t xml:space="preserve"> </w:t>
      </w:r>
      <w:r w:rsidR="00FD54DE" w:rsidRPr="00FD54DE">
        <w:t>stem from ostensibly neutral actions that disproportionately affect protected classes. For example, landlords use former-incarceration status to screen</w:t>
      </w:r>
      <w:r w:rsidR="00FD54DE">
        <w:t xml:space="preserve"> out</w:t>
      </w:r>
      <w:r w:rsidR="00FD54DE" w:rsidRPr="00FD54DE">
        <w:t xml:space="preserve"> tenants</w:t>
      </w:r>
      <w:r w:rsidR="000357B5">
        <w:t xml:space="preserve">, which may cause racial </w:t>
      </w:r>
      <w:r w:rsidR="00E44B5A">
        <w:t>disparities</w:t>
      </w:r>
      <w:r w:rsidR="00156C91">
        <w:t xml:space="preserve"> in housing access</w:t>
      </w:r>
      <w:r w:rsidR="00FD4EF7">
        <w:t>.</w:t>
      </w:r>
      <w:r w:rsidR="00CF2DBD">
        <w:rPr>
          <w:rStyle w:val="FootnoteReference"/>
        </w:rPr>
        <w:footnoteReference w:id="2"/>
      </w:r>
      <w:r w:rsidR="00FD4EF7">
        <w:t xml:space="preserve"> </w:t>
      </w:r>
      <w:r w:rsidR="000357B5">
        <w:t xml:space="preserve">Additionally, </w:t>
      </w:r>
      <w:r w:rsidR="002A3864">
        <w:t xml:space="preserve">some </w:t>
      </w:r>
      <w:r w:rsidR="000357B5">
        <w:t xml:space="preserve">justice programs </w:t>
      </w:r>
      <w:r w:rsidR="002C6C8F">
        <w:t>use</w:t>
      </w:r>
      <w:r w:rsidR="000357B5">
        <w:t xml:space="preserve"> algorithmic </w:t>
      </w:r>
      <w:r w:rsidR="00FD54DE" w:rsidRPr="00FD54DE">
        <w:t>decision-making</w:t>
      </w:r>
      <w:r w:rsidR="000357B5">
        <w:t xml:space="preserve">, </w:t>
      </w:r>
      <w:r w:rsidR="002C6C8F">
        <w:t xml:space="preserve">potentially </w:t>
      </w:r>
      <w:r w:rsidR="00FD54DE" w:rsidRPr="00FD54DE">
        <w:t xml:space="preserve">leading to </w:t>
      </w:r>
      <w:r w:rsidR="000357B5">
        <w:t>discriminatory</w:t>
      </w:r>
      <w:r w:rsidR="00FD54DE" w:rsidRPr="00FD54DE">
        <w:t xml:space="preserve"> </w:t>
      </w:r>
      <w:r w:rsidR="000357B5">
        <w:t>harms</w:t>
      </w:r>
      <w:r w:rsidR="00457F2A">
        <w:t xml:space="preserve"> by</w:t>
      </w:r>
      <w:r w:rsidR="002C6C8F">
        <w:t xml:space="preserve"> perpetuating existing biases found in historical data</w:t>
      </w:r>
      <w:r w:rsidR="005B085B">
        <w:t>.</w:t>
      </w:r>
      <w:r w:rsidR="005B085B">
        <w:rPr>
          <w:rStyle w:val="FootnoteReference"/>
        </w:rPr>
        <w:footnoteReference w:id="3"/>
      </w:r>
      <w:r w:rsidR="006D496D">
        <w:t xml:space="preserve"> </w:t>
      </w:r>
    </w:p>
    <w:p w14:paraId="01A2ED05" w14:textId="7921102D" w:rsidR="00EA0B45" w:rsidRDefault="00FD54DE" w:rsidP="00CF2DBD">
      <w:pPr>
        <w:spacing w:after="0" w:line="240" w:lineRule="auto"/>
        <w:ind w:firstLine="720"/>
      </w:pPr>
      <w:r>
        <w:t>These cases may be challenged through disparate</w:t>
      </w:r>
      <w:r w:rsidR="00AF3361">
        <w:t xml:space="preserve"> impact </w:t>
      </w:r>
      <w:r>
        <w:t xml:space="preserve">claims, which are resolved by courts using a </w:t>
      </w:r>
      <w:r w:rsidR="00FD4EF7">
        <w:t>three-part test</w:t>
      </w:r>
      <w:r w:rsidR="00AF3361">
        <w:t>.</w:t>
      </w:r>
      <w:r w:rsidR="00AF3361">
        <w:rPr>
          <w:rStyle w:val="FootnoteReference"/>
        </w:rPr>
        <w:footnoteReference w:id="4"/>
      </w:r>
      <w:r w:rsidR="00AF3361">
        <w:t xml:space="preserve"> The first step requires </w:t>
      </w:r>
      <w:r w:rsidR="00CF2DBD">
        <w:t>demonstrating</w:t>
      </w:r>
      <w:r w:rsidR="00AF3361">
        <w:t xml:space="preserve"> a disparity using statistical evidence</w:t>
      </w:r>
      <w:r w:rsidR="00457F2A">
        <w:t>. This requires</w:t>
      </w:r>
      <w:r w:rsidR="000357B5">
        <w:t xml:space="preserve"> showing </w:t>
      </w:r>
      <w:r>
        <w:t>a</w:t>
      </w:r>
      <w:r w:rsidR="00135A94">
        <w:t xml:space="preserve"> protected class is adversely </w:t>
      </w:r>
      <w:r w:rsidR="000357B5">
        <w:t>affected</w:t>
      </w:r>
      <w:r w:rsidR="00135A94">
        <w:t xml:space="preserve"> at a </w:t>
      </w:r>
      <w:r w:rsidR="005B085B">
        <w:t>four-fifths</w:t>
      </w:r>
      <w:r w:rsidR="00135A94">
        <w:t xml:space="preserve"> </w:t>
      </w:r>
      <w:r w:rsidR="000357B5">
        <w:t>rate relative to a comparator population</w:t>
      </w:r>
      <w:r w:rsidR="00135A94">
        <w:t xml:space="preserve"> </w:t>
      </w:r>
      <w:r w:rsidR="005B085B">
        <w:t>(</w:t>
      </w:r>
      <w:r w:rsidR="00FD4EF7">
        <w:t xml:space="preserve">the </w:t>
      </w:r>
      <w:r w:rsidR="005B085B">
        <w:t>four-fifth</w:t>
      </w:r>
      <w:r w:rsidR="00FD4EF7">
        <w:t>s</w:t>
      </w:r>
      <w:r w:rsidR="005B085B">
        <w:t xml:space="preserve"> rule</w:t>
      </w:r>
      <w:r w:rsidR="00457F2A">
        <w:t>) and</w:t>
      </w:r>
      <w:r w:rsidR="00135A94">
        <w:t xml:space="preserve"> </w:t>
      </w:r>
      <w:r w:rsidR="00457F2A">
        <w:t>showing the effect is</w:t>
      </w:r>
      <w:r w:rsidR="00135A94">
        <w:t xml:space="preserve"> </w:t>
      </w:r>
      <w:r w:rsidR="000357B5">
        <w:t xml:space="preserve">statistically significant </w:t>
      </w:r>
      <w:r w:rsidR="005B085B">
        <w:t>(</w:t>
      </w:r>
      <w:r w:rsidR="00FD4EF7">
        <w:t xml:space="preserve">the </w:t>
      </w:r>
      <w:r w:rsidR="005B085B">
        <w:t>significance rule)</w:t>
      </w:r>
      <w:r w:rsidR="001D157D">
        <w:t>.</w:t>
      </w:r>
      <w:r w:rsidR="000357B5" w:rsidRPr="000357B5">
        <w:rPr>
          <w:rStyle w:val="FootnoteReference"/>
        </w:rPr>
        <w:t xml:space="preserve"> </w:t>
      </w:r>
      <w:r w:rsidR="000357B5">
        <w:rPr>
          <w:rStyle w:val="FootnoteReference"/>
        </w:rPr>
        <w:footnoteReference w:id="5"/>
      </w:r>
      <w:r w:rsidR="00DC36CA">
        <w:t xml:space="preserve"> The intent of </w:t>
      </w:r>
      <w:r>
        <w:t>these</w:t>
      </w:r>
      <w:r w:rsidR="00DC36CA">
        <w:t xml:space="preserve"> </w:t>
      </w:r>
      <w:r w:rsidR="000357B5">
        <w:t>rules</w:t>
      </w:r>
      <w:r w:rsidR="00DC36CA">
        <w:t xml:space="preserve"> is </w:t>
      </w:r>
      <w:r w:rsidR="00557F7C">
        <w:t>to standardize</w:t>
      </w:r>
      <w:r w:rsidR="00DC36CA">
        <w:t xml:space="preserve"> </w:t>
      </w:r>
      <w:r w:rsidR="00A550C0">
        <w:t>the</w:t>
      </w:r>
      <w:r w:rsidR="00DC36CA">
        <w:t xml:space="preserve"> </w:t>
      </w:r>
      <w:r w:rsidR="00A550C0">
        <w:t>identification</w:t>
      </w:r>
      <w:r w:rsidR="00DC36CA">
        <w:t xml:space="preserve"> </w:t>
      </w:r>
      <w:r w:rsidR="00A550C0">
        <w:t xml:space="preserve">of </w:t>
      </w:r>
      <w:r w:rsidR="00DC36CA">
        <w:t xml:space="preserve">disparities by providing </w:t>
      </w:r>
      <w:r w:rsidR="00457F2A">
        <w:t>clear</w:t>
      </w:r>
      <w:r w:rsidR="00DC36CA">
        <w:t xml:space="preserve"> guidelines</w:t>
      </w:r>
      <w:r w:rsidR="00A550C0">
        <w:t>.</w:t>
      </w:r>
    </w:p>
    <w:p w14:paraId="0207C00F" w14:textId="648D9B64" w:rsidR="007757E8" w:rsidRDefault="005B085B" w:rsidP="00DC36CA">
      <w:pPr>
        <w:spacing w:after="0" w:line="240" w:lineRule="auto"/>
        <w:ind w:firstLine="720"/>
      </w:pPr>
      <w:r>
        <w:t xml:space="preserve">While initially </w:t>
      </w:r>
      <w:r w:rsidR="000357B5">
        <w:t xml:space="preserve">these rules </w:t>
      </w:r>
      <w:r>
        <w:t xml:space="preserve">appear to </w:t>
      </w:r>
      <w:r w:rsidR="007C3748">
        <w:t>apply</w:t>
      </w:r>
      <w:r>
        <w:t xml:space="preserve"> neutral</w:t>
      </w:r>
      <w:r w:rsidR="00CF2DBD">
        <w:t>ly</w:t>
      </w:r>
      <w:r w:rsidR="00144286">
        <w:t xml:space="preserve"> to cases</w:t>
      </w:r>
      <w:r>
        <w:t xml:space="preserve">, meeting the bar set by the four-fifths rule and significance rule can vary </w:t>
      </w:r>
      <w:r w:rsidR="00144286">
        <w:t>depending</w:t>
      </w:r>
      <w:r>
        <w:t xml:space="preserve"> on </w:t>
      </w:r>
      <w:r w:rsidR="00FD54DE">
        <w:t>statistical factors</w:t>
      </w:r>
      <w:r w:rsidR="00A550C0">
        <w:t xml:space="preserve"> unrelated to the case</w:t>
      </w:r>
      <w:r w:rsidR="006D496D">
        <w:t xml:space="preserve">. For instance, </w:t>
      </w:r>
      <w:r w:rsidR="00CF2DBD">
        <w:t>finding a</w:t>
      </w:r>
      <w:r w:rsidR="006D496D">
        <w:t xml:space="preserve"> 20% </w:t>
      </w:r>
      <w:r w:rsidR="001B1CA8">
        <w:t xml:space="preserve">effect size </w:t>
      </w:r>
      <w:r w:rsidR="006D496D">
        <w:t>depend</w:t>
      </w:r>
      <w:r w:rsidR="000357B5">
        <w:t>s</w:t>
      </w:r>
      <w:r w:rsidR="006D496D">
        <w:t xml:space="preserve"> on the baseline occurrence of an event</w:t>
      </w:r>
      <w:r w:rsidR="000357B5">
        <w:t xml:space="preserve"> and</w:t>
      </w:r>
      <w:r w:rsidR="00144286">
        <w:t xml:space="preserve"> the</w:t>
      </w:r>
      <w:r w:rsidR="000357B5">
        <w:t xml:space="preserve"> measure considered,</w:t>
      </w:r>
      <w:r w:rsidR="00CF2DBD">
        <w:t xml:space="preserve"> and </w:t>
      </w:r>
      <w:r w:rsidR="00144286">
        <w:t xml:space="preserve">statistical </w:t>
      </w:r>
      <w:r w:rsidR="007C3748">
        <w:t>s</w:t>
      </w:r>
      <w:r w:rsidR="00CF2DBD">
        <w:t>ignificance</w:t>
      </w:r>
      <w:r w:rsidR="006D496D">
        <w:t xml:space="preserve"> depend</w:t>
      </w:r>
      <w:r w:rsidR="00842497">
        <w:t>s</w:t>
      </w:r>
      <w:r w:rsidR="007757E8">
        <w:t xml:space="preserve"> </w:t>
      </w:r>
      <w:r w:rsidR="00984A37">
        <w:t xml:space="preserve">on </w:t>
      </w:r>
      <w:r w:rsidR="007757E8">
        <w:t>statistical power</w:t>
      </w:r>
      <w:r w:rsidR="00FD54DE">
        <w:t>,</w:t>
      </w:r>
      <w:r w:rsidR="006D496D">
        <w:t xml:space="preserve"> sample size</w:t>
      </w:r>
      <w:r w:rsidR="00984A37">
        <w:t>, and the size of an effect</w:t>
      </w:r>
      <w:r w:rsidR="006D496D">
        <w:t>.</w:t>
      </w:r>
      <w:r w:rsidR="00FD4EF7">
        <w:rPr>
          <w:rStyle w:val="FootnoteReference"/>
        </w:rPr>
        <w:footnoteReference w:id="6"/>
      </w:r>
      <w:r w:rsidR="006D496D">
        <w:t xml:space="preserve"> </w:t>
      </w:r>
      <w:r w:rsidR="00DC36CA">
        <w:t xml:space="preserve">These factors can make </w:t>
      </w:r>
      <w:r w:rsidR="000357B5">
        <w:t>determining disparities</w:t>
      </w:r>
      <w:r w:rsidR="00FD54DE">
        <w:t xml:space="preserve"> highly variable under </w:t>
      </w:r>
      <w:r w:rsidR="000357B5">
        <w:t xml:space="preserve">seemingly </w:t>
      </w:r>
      <w:r w:rsidR="00FD54DE">
        <w:t>static rules</w:t>
      </w:r>
      <w:r w:rsidR="00DC36CA">
        <w:t xml:space="preserve"> and place an undue burden on </w:t>
      </w:r>
      <w:r w:rsidR="0038629B">
        <w:t>plaintiffs</w:t>
      </w:r>
      <w:r w:rsidR="00DC36CA">
        <w:t xml:space="preserve">. To better align with the intent of disparate impact </w:t>
      </w:r>
      <w:r w:rsidR="000357B5">
        <w:t>cases</w:t>
      </w:r>
      <w:r w:rsidR="00DC36CA">
        <w:t>, courts may need to adjust rule</w:t>
      </w:r>
      <w:r w:rsidR="007C3748">
        <w:t xml:space="preserve">s </w:t>
      </w:r>
      <w:r w:rsidR="00DC36CA">
        <w:t xml:space="preserve">to account for </w:t>
      </w:r>
      <w:r w:rsidR="00C75052">
        <w:t>additional</w:t>
      </w:r>
      <w:r w:rsidR="00DC36CA">
        <w:t xml:space="preserve"> </w:t>
      </w:r>
      <w:r w:rsidR="007C3748">
        <w:t xml:space="preserve">measurement </w:t>
      </w:r>
      <w:r w:rsidR="00DC36CA">
        <w:t xml:space="preserve">factors. </w:t>
      </w:r>
      <w:r w:rsidR="006D496D">
        <w:t xml:space="preserve">This is particularly important </w:t>
      </w:r>
      <w:r w:rsidR="0038629B">
        <w:t xml:space="preserve">to investigate </w:t>
      </w:r>
      <w:r w:rsidR="007C3748">
        <w:t xml:space="preserve">since more policies are now based </w:t>
      </w:r>
      <w:r w:rsidR="006D496D">
        <w:t>on algorithmic data mining techniques, which present unique challenges for disparate impact cases.</w:t>
      </w:r>
      <w:r w:rsidR="00CF2DBD">
        <w:rPr>
          <w:rStyle w:val="FootnoteReference"/>
        </w:rPr>
        <w:footnoteReference w:id="7"/>
      </w:r>
      <w:r w:rsidR="006D496D">
        <w:t xml:space="preserve"> </w:t>
      </w:r>
    </w:p>
    <w:p w14:paraId="1B028FEC" w14:textId="7844298C" w:rsidR="006D496D" w:rsidRDefault="006D496D" w:rsidP="009E463D">
      <w:pPr>
        <w:spacing w:after="0" w:line="240" w:lineRule="auto"/>
        <w:ind w:firstLine="720"/>
      </w:pPr>
      <w:r>
        <w:t>In th</w:t>
      </w:r>
      <w:r w:rsidR="00DC36CA">
        <w:t xml:space="preserve">is </w:t>
      </w:r>
      <w:r>
        <w:t xml:space="preserve">study, we </w:t>
      </w:r>
      <w:r w:rsidR="00DC36CA">
        <w:t xml:space="preserve">propose to </w:t>
      </w:r>
      <w:r w:rsidR="00FD4EF7">
        <w:t xml:space="preserve">explore how </w:t>
      </w:r>
      <w:r w:rsidR="00DC36CA">
        <w:t xml:space="preserve">measurement factors like </w:t>
      </w:r>
      <w:r w:rsidR="00F24992">
        <w:t>baseline event</w:t>
      </w:r>
      <w:r w:rsidR="00DC36CA">
        <w:t xml:space="preserve"> rate</w:t>
      </w:r>
      <w:r w:rsidR="007C3748">
        <w:t>s</w:t>
      </w:r>
      <w:r w:rsidR="00DC36CA">
        <w:t>, sample size</w:t>
      </w:r>
      <w:r w:rsidR="00473625">
        <w:t>s</w:t>
      </w:r>
      <w:r w:rsidR="000357B5">
        <w:t xml:space="preserve">, </w:t>
      </w:r>
      <w:r w:rsidR="00DC36CA">
        <w:t>and effect size</w:t>
      </w:r>
      <w:r w:rsidR="007C3748">
        <w:t>s</w:t>
      </w:r>
      <w:r w:rsidR="00DC36CA">
        <w:t xml:space="preserve"> </w:t>
      </w:r>
      <w:r w:rsidR="009E463D">
        <w:t xml:space="preserve">influence our ability to robustly detect disparate impacts. The aim is to identify and propose </w:t>
      </w:r>
      <w:r w:rsidR="00473625">
        <w:t>new statistical</w:t>
      </w:r>
      <w:r w:rsidR="009E463D">
        <w:t xml:space="preserve"> rules for courts that would improve detection. We propose to do these explorations using </w:t>
      </w:r>
      <w:r>
        <w:t>a series of simulations</w:t>
      </w:r>
      <w:r w:rsidR="009E463D">
        <w:t xml:space="preserve"> that will 1) demonstrate </w:t>
      </w:r>
      <w:r w:rsidR="00FD4EF7">
        <w:t>how obvious disparate impacts may not be captured by the current set of rules</w:t>
      </w:r>
      <w:r w:rsidR="009E463D">
        <w:t xml:space="preserve">; &amp; 2) </w:t>
      </w:r>
      <w:r w:rsidR="007757E8">
        <w:t xml:space="preserve">identify </w:t>
      </w:r>
      <w:r w:rsidR="001B1CA8">
        <w:t>a</w:t>
      </w:r>
      <w:r w:rsidR="008364B8">
        <w:t xml:space="preserve"> range of</w:t>
      </w:r>
      <w:r w:rsidR="001B1CA8">
        <w:t xml:space="preserve"> functional relationship</w:t>
      </w:r>
      <w:r w:rsidR="008364B8">
        <w:t>s</w:t>
      </w:r>
      <w:r w:rsidR="001B1CA8">
        <w:t xml:space="preserve"> between effect sizes and significance levels that courts may wish to use to determine disparities</w:t>
      </w:r>
      <w:r w:rsidR="008364B8">
        <w:t xml:space="preserve">, </w:t>
      </w:r>
      <w:r w:rsidR="00F80662">
        <w:t>incorporating</w:t>
      </w:r>
      <w:r w:rsidR="008364B8">
        <w:t xml:space="preserve"> additional relevant statistical measures</w:t>
      </w:r>
      <w:r w:rsidR="001B1CA8">
        <w:t>.</w:t>
      </w:r>
      <w:r w:rsidR="00984A37">
        <w:t xml:space="preserve"> </w:t>
      </w:r>
    </w:p>
    <w:sectPr w:rsidR="006D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0C63" w14:textId="77777777" w:rsidR="00915FCD" w:rsidRDefault="00915FCD" w:rsidP="00AF3361">
      <w:pPr>
        <w:spacing w:after="0" w:line="240" w:lineRule="auto"/>
      </w:pPr>
      <w:r>
        <w:separator/>
      </w:r>
    </w:p>
  </w:endnote>
  <w:endnote w:type="continuationSeparator" w:id="0">
    <w:p w14:paraId="0C92EBA2" w14:textId="77777777" w:rsidR="00915FCD" w:rsidRDefault="00915FCD" w:rsidP="00AF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7FC0" w14:textId="77777777" w:rsidR="00915FCD" w:rsidRDefault="00915FCD" w:rsidP="00AF3361">
      <w:pPr>
        <w:spacing w:after="0" w:line="240" w:lineRule="auto"/>
      </w:pPr>
      <w:r>
        <w:separator/>
      </w:r>
    </w:p>
  </w:footnote>
  <w:footnote w:type="continuationSeparator" w:id="0">
    <w:p w14:paraId="40AAB5E6" w14:textId="77777777" w:rsidR="00915FCD" w:rsidRDefault="00915FCD" w:rsidP="00AF3361">
      <w:pPr>
        <w:spacing w:after="0" w:line="240" w:lineRule="auto"/>
      </w:pPr>
      <w:r>
        <w:continuationSeparator/>
      </w:r>
    </w:p>
  </w:footnote>
  <w:footnote w:id="1">
    <w:p w14:paraId="1419E6C1" w14:textId="44DD8244" w:rsidR="00FA11C4" w:rsidRPr="001D157D" w:rsidRDefault="00FA11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6C133E" w:rsidRPr="001D157D">
          <w:rPr>
            <w:rStyle w:val="Hyperlink"/>
            <w:i/>
            <w:iCs/>
          </w:rPr>
          <w:t xml:space="preserve">State of Fair Housing – Annual Report to Congress, </w:t>
        </w:r>
        <w:r w:rsidR="006C133E" w:rsidRPr="001D157D">
          <w:rPr>
            <w:rStyle w:val="Hyperlink"/>
          </w:rPr>
          <w:t>2022</w:t>
        </w:r>
      </w:hyperlink>
      <w:r w:rsidR="006C133E">
        <w:rPr>
          <w:rStyle w:val="Hyperlink"/>
        </w:rPr>
        <w:t xml:space="preserve">; </w:t>
      </w:r>
      <w:hyperlink r:id="rId2" w:history="1">
        <w:r w:rsidRPr="00FA11C4">
          <w:rPr>
            <w:rStyle w:val="Hyperlink"/>
          </w:rPr>
          <w:t>Jameel, Shapiro, and Yerardi, 2019</w:t>
        </w:r>
      </w:hyperlink>
      <w:r>
        <w:t xml:space="preserve"> </w:t>
      </w:r>
    </w:p>
  </w:footnote>
  <w:footnote w:id="2">
    <w:p w14:paraId="1B64ADA2" w14:textId="51339E21" w:rsidR="00CF2DBD" w:rsidRDefault="00CF2D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5E2CFA">
          <w:rPr>
            <w:rStyle w:val="Hyperlink"/>
          </w:rPr>
          <w:t>Griswold et al., 2023</w:t>
        </w:r>
      </w:hyperlink>
    </w:p>
  </w:footnote>
  <w:footnote w:id="3">
    <w:p w14:paraId="5156201C" w14:textId="74E474EA" w:rsidR="005B085B" w:rsidRDefault="005B08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5B085B">
          <w:rPr>
            <w:rStyle w:val="Hyperlink"/>
          </w:rPr>
          <w:t>Osoba &amp; Welser, 2017</w:t>
        </w:r>
      </w:hyperlink>
      <w:r>
        <w:t>.</w:t>
      </w:r>
    </w:p>
  </w:footnote>
  <w:footnote w:id="4">
    <w:p w14:paraId="58BE4DDE" w14:textId="456FF175" w:rsidR="00AF3361" w:rsidRDefault="00AF33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anchor="C" w:history="1">
        <w:r w:rsidRPr="00E16A69">
          <w:rPr>
            <w:rStyle w:val="Hyperlink"/>
          </w:rPr>
          <w:t>Title V</w:t>
        </w:r>
        <w:r w:rsidR="00E16A69" w:rsidRPr="00E16A69">
          <w:rPr>
            <w:rStyle w:val="Hyperlink"/>
          </w:rPr>
          <w:t>I Legal Manual, Section VII, Sec. C</w:t>
        </w:r>
      </w:hyperlink>
      <w:r w:rsidR="00E16A69">
        <w:t xml:space="preserve"> </w:t>
      </w:r>
    </w:p>
  </w:footnote>
  <w:footnote w:id="5">
    <w:p w14:paraId="189CC112" w14:textId="77777777" w:rsidR="000357B5" w:rsidRDefault="000357B5" w:rsidP="000357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anchor="G" w:history="1">
        <w:r>
          <w:rPr>
            <w:rStyle w:val="Hyperlink"/>
          </w:rPr>
          <w:t>Title VI Legal Manual, Section VII, 1 (C) ii - iv</w:t>
        </w:r>
      </w:hyperlink>
    </w:p>
  </w:footnote>
  <w:footnote w:id="6">
    <w:p w14:paraId="4F89B5B7" w14:textId="68875729" w:rsidR="00FD4EF7" w:rsidRDefault="00FD4E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FD4EF7">
          <w:rPr>
            <w:rStyle w:val="Hyperlink"/>
          </w:rPr>
          <w:t>Cohen, 2013</w:t>
        </w:r>
      </w:hyperlink>
      <w:r>
        <w:t xml:space="preserve">; </w:t>
      </w:r>
      <w:hyperlink r:id="rId8" w:history="1">
        <w:r w:rsidR="001B1CA8" w:rsidRPr="001B1CA8">
          <w:rPr>
            <w:rStyle w:val="Hyperlink"/>
          </w:rPr>
          <w:t xml:space="preserve">Kim </w:t>
        </w:r>
        <w:r w:rsidR="00B74221">
          <w:rPr>
            <w:rStyle w:val="Hyperlink"/>
          </w:rPr>
          <w:t>&amp;</w:t>
        </w:r>
        <w:r w:rsidR="001B1CA8" w:rsidRPr="001B1CA8">
          <w:rPr>
            <w:rStyle w:val="Hyperlink"/>
          </w:rPr>
          <w:t xml:space="preserve"> Choi, 2019</w:t>
        </w:r>
      </w:hyperlink>
      <w:r w:rsidR="001B1CA8">
        <w:t xml:space="preserve">; </w:t>
      </w:r>
      <w:hyperlink r:id="rId9" w:history="1">
        <w:r w:rsidR="001B1CA8" w:rsidRPr="001B1CA8">
          <w:rPr>
            <w:rStyle w:val="Hyperlink"/>
          </w:rPr>
          <w:t>Spanos, 2017</w:t>
        </w:r>
      </w:hyperlink>
      <w:r w:rsidR="00984A37">
        <w:t xml:space="preserve">; </w:t>
      </w:r>
      <w:hyperlink r:id="rId10" w:history="1">
        <w:r w:rsidR="00984A37" w:rsidRPr="00984A37">
          <w:rPr>
            <w:rStyle w:val="Hyperlink"/>
          </w:rPr>
          <w:t xml:space="preserve">Grossman, Nyarko, </w:t>
        </w:r>
        <w:r w:rsidR="00B74221">
          <w:rPr>
            <w:rStyle w:val="Hyperlink"/>
          </w:rPr>
          <w:t>&amp;</w:t>
        </w:r>
        <w:r w:rsidR="00984A37" w:rsidRPr="00984A37">
          <w:rPr>
            <w:rStyle w:val="Hyperlink"/>
          </w:rPr>
          <w:t xml:space="preserve"> Goel, 2023</w:t>
        </w:r>
      </w:hyperlink>
      <w:r w:rsidR="00984A37">
        <w:t xml:space="preserve"> </w:t>
      </w:r>
    </w:p>
  </w:footnote>
  <w:footnote w:id="7">
    <w:p w14:paraId="78B51043" w14:textId="2CAF64A7" w:rsidR="00CF2DBD" w:rsidRDefault="00CF2D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="00984A37" w:rsidRPr="00984A37">
          <w:rPr>
            <w:rStyle w:val="Hyperlink"/>
          </w:rPr>
          <w:t>Barocas &amp; Selbst, 2016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40"/>
    <w:rsid w:val="000357B5"/>
    <w:rsid w:val="00135A94"/>
    <w:rsid w:val="00144286"/>
    <w:rsid w:val="00156C91"/>
    <w:rsid w:val="00194A40"/>
    <w:rsid w:val="001B1CA8"/>
    <w:rsid w:val="001C30E2"/>
    <w:rsid w:val="001D157D"/>
    <w:rsid w:val="001F5DDC"/>
    <w:rsid w:val="002A3864"/>
    <w:rsid w:val="002C6C8F"/>
    <w:rsid w:val="00373653"/>
    <w:rsid w:val="0038629B"/>
    <w:rsid w:val="003A338B"/>
    <w:rsid w:val="00457F2A"/>
    <w:rsid w:val="00473625"/>
    <w:rsid w:val="00482B41"/>
    <w:rsid w:val="005407E7"/>
    <w:rsid w:val="00557F7C"/>
    <w:rsid w:val="005B085B"/>
    <w:rsid w:val="005E2CFA"/>
    <w:rsid w:val="006846C6"/>
    <w:rsid w:val="00696393"/>
    <w:rsid w:val="006C133E"/>
    <w:rsid w:val="006D496D"/>
    <w:rsid w:val="007757E8"/>
    <w:rsid w:val="007B3B73"/>
    <w:rsid w:val="007C3748"/>
    <w:rsid w:val="008364B8"/>
    <w:rsid w:val="00842497"/>
    <w:rsid w:val="008A1212"/>
    <w:rsid w:val="00915FCD"/>
    <w:rsid w:val="00984A37"/>
    <w:rsid w:val="009E463D"/>
    <w:rsid w:val="009F37B8"/>
    <w:rsid w:val="00A437EB"/>
    <w:rsid w:val="00A550C0"/>
    <w:rsid w:val="00AB091D"/>
    <w:rsid w:val="00AF3361"/>
    <w:rsid w:val="00B34D02"/>
    <w:rsid w:val="00B74221"/>
    <w:rsid w:val="00B92581"/>
    <w:rsid w:val="00C75052"/>
    <w:rsid w:val="00C82F62"/>
    <w:rsid w:val="00CF2DBD"/>
    <w:rsid w:val="00D20517"/>
    <w:rsid w:val="00D528E8"/>
    <w:rsid w:val="00D53BC5"/>
    <w:rsid w:val="00DC36CA"/>
    <w:rsid w:val="00DD52E2"/>
    <w:rsid w:val="00E16A69"/>
    <w:rsid w:val="00E37005"/>
    <w:rsid w:val="00E44B5A"/>
    <w:rsid w:val="00EA0B45"/>
    <w:rsid w:val="00EA7B32"/>
    <w:rsid w:val="00EC74E8"/>
    <w:rsid w:val="00F24992"/>
    <w:rsid w:val="00F80662"/>
    <w:rsid w:val="00FA11C4"/>
    <w:rsid w:val="00FD4EF7"/>
    <w:rsid w:val="00F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DACA"/>
  <w15:chartTrackingRefBased/>
  <w15:docId w15:val="{41E498A5-5046-4689-983D-2A483610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33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3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3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6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A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C36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111/abac.12172" TargetMode="External"/><Relationship Id="rId3" Type="http://schemas.openxmlformats.org/officeDocument/2006/relationships/hyperlink" Target="https://www.rand.org/pubs/research_reports/RRA2689-1.html" TargetMode="External"/><Relationship Id="rId7" Type="http://schemas.openxmlformats.org/officeDocument/2006/relationships/hyperlink" Target="https://www.jstor.org/stable/pdf/24758720.pdf?refreqid=fastly-default%3A24937b1ae04c24243be4456ee301795d&amp;ab_segments=&amp;origin=&amp;initiator=&amp;acceptTC=1" TargetMode="External"/><Relationship Id="rId2" Type="http://schemas.openxmlformats.org/officeDocument/2006/relationships/hyperlink" Target="https://www.washingtonpost.com/graphics/2019/business/discrimination-complaint-outcomes/" TargetMode="External"/><Relationship Id="rId1" Type="http://schemas.openxmlformats.org/officeDocument/2006/relationships/hyperlink" Target="https://www.hud.gov/sites/dfiles/FHEO/documents/FHEO%20Annual%20Report%20FY%202022.pdf" TargetMode="External"/><Relationship Id="rId6" Type="http://schemas.openxmlformats.org/officeDocument/2006/relationships/hyperlink" Target="https://www.justice.gov/crt/fcs/T6Manual7" TargetMode="External"/><Relationship Id="rId11" Type="http://schemas.openxmlformats.org/officeDocument/2006/relationships/hyperlink" Target="https://www.jstor.org/stable/pdf/24758720.pdf?refreqid=fastly-default%3A24937b1ae04c24243be4456ee301795d&amp;ab_segments=&amp;origin=&amp;initiator=&amp;acceptTC=1" TargetMode="External"/><Relationship Id="rId5" Type="http://schemas.openxmlformats.org/officeDocument/2006/relationships/hyperlink" Target="https://www.justice.gov/crt/fcs/T6Manual7" TargetMode="External"/><Relationship Id="rId10" Type="http://schemas.openxmlformats.org/officeDocument/2006/relationships/hyperlink" Target="https://5harad.com/papers/disparate-impact.pdf" TargetMode="External"/><Relationship Id="rId4" Type="http://schemas.openxmlformats.org/officeDocument/2006/relationships/hyperlink" Target="https://www.rand.org/pubs/research_reports/RR1744.html" TargetMode="External"/><Relationship Id="rId9" Type="http://schemas.openxmlformats.org/officeDocument/2006/relationships/hyperlink" Target="https://onlinelibrary.wiley.com/doi/full/10.1111/joes.12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C287A-1256-4A71-8B8E-07A966E22F6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Griswold</dc:creator>
  <cp:keywords/>
  <dc:description/>
  <cp:lastModifiedBy>Max Griswold</cp:lastModifiedBy>
  <cp:revision>20</cp:revision>
  <dcterms:created xsi:type="dcterms:W3CDTF">2023-12-01T23:50:00Z</dcterms:created>
  <dcterms:modified xsi:type="dcterms:W3CDTF">2023-12-02T00:00:00Z</dcterms:modified>
</cp:coreProperties>
</file>