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120" w:after="0"/>
        <w:jc w:val="center"/>
      </w:pPr>
      <w:r>
        <w:rPr>
          <w:rFonts w:ascii="Nimbus Sans" w:hAnsi="Nimbus Sans"/>
          <w:b/>
          <w:color w:val="4D5765"/>
          <w:sz w:val="18"/>
        </w:rPr>
        <w:t>PROYECTO CAPSTONE  |  DOCUMENTO 03</w:t>
      </w:r>
    </w:p>
    <w:p>
      <w:pPr>
        <w:pStyle w:val="Title"/>
        <w:spacing w:before="1460" w:after="0"/>
        <w:jc w:val="center"/>
      </w:pPr>
      <w:r>
        <w:rPr>
          <w:rFonts w:ascii="Nimbus Sans" w:hAnsi="Nimbus Sans"/>
          <w:b/>
          <w:color w:val="000000"/>
          <w:sz w:val="68"/>
        </w:rPr>
        <w:t>UniPlan</w:t>
      </w:r>
    </w:p>
    <w:p>
      <w:pPr>
        <w:spacing w:before="160" w:after="0"/>
        <w:jc w:val="center"/>
      </w:pPr>
      <w:r>
        <w:rPr>
          <w:rFonts w:ascii="Nimbus Sans" w:hAnsi="Nimbus Sans"/>
          <w:b w:val="0"/>
          <w:color w:val="364454"/>
          <w:sz w:val="24"/>
        </w:rPr>
        <w:t>Sistema web de planificación de horarios universitarios</w:t>
      </w:r>
    </w:p>
    <w:p>
      <w:pPr>
        <w:spacing w:before="700" w:after="0"/>
        <w:jc w:val="center"/>
      </w:pPr>
      <w:r>
        <w:rPr>
          <w:rFonts w:ascii="Nimbus Sans" w:hAnsi="Nimbus Sans"/>
          <w:b/>
          <w:color w:val="000000"/>
          <w:sz w:val="30"/>
        </w:rPr>
        <w:t>Registro de stakeholders</w:t>
      </w:r>
    </w:p>
    <w:p>
      <w:pPr>
        <w:spacing w:before="1820" w:after="100"/>
        <w:jc w:val="center"/>
      </w:pPr>
      <w:r>
        <w:rPr>
          <w:rFonts w:ascii="Nimbus Sans" w:hAnsi="Nimbus Sans"/>
          <w:b/>
          <w:color w:val="4D5765"/>
          <w:sz w:val="18"/>
        </w:rPr>
        <w:t>Integrantes</w:t>
      </w:r>
    </w:p>
    <w:p>
      <w:pPr>
        <w:spacing w:before="0" w:after="0"/>
        <w:jc w:val="center"/>
      </w:pPr>
      <w:r>
        <w:rPr>
          <w:rFonts w:ascii="Nimbus Sans" w:hAnsi="Nimbus Sans"/>
          <w:b w:val="0"/>
          <w:color w:val="000000"/>
          <w:sz w:val="24"/>
        </w:rPr>
        <w:t>Maximiliano Guzmán   ·   Ivan Tobar</w:t>
      </w:r>
    </w:p>
    <w:p>
      <w:pPr>
        <w:spacing w:before="460" w:after="100"/>
        <w:jc w:val="center"/>
      </w:pPr>
      <w:r>
        <w:rPr>
          <w:rFonts w:ascii="Nimbus Sans" w:hAnsi="Nimbus Sans"/>
          <w:b/>
          <w:color w:val="4D5765"/>
          <w:sz w:val="18"/>
        </w:rPr>
        <w:t>Fecha de elaboración</w:t>
      </w:r>
    </w:p>
    <w:p>
      <w:pPr>
        <w:spacing w:before="0" w:after="0"/>
        <w:jc w:val="center"/>
      </w:pPr>
      <w:r>
        <w:rPr>
          <w:rFonts w:ascii="Nimbus Sans" w:hAnsi="Nimbus Sans"/>
          <w:b w:val="0"/>
          <w:color w:val="000000"/>
          <w:sz w:val="24"/>
        </w:rPr>
        <w:t>04-10-2026</w:t>
      </w:r>
    </w:p>
    <w:p>
      <w:pPr>
        <w:spacing w:before="740" w:after="0"/>
        <w:jc w:val="center"/>
      </w:pPr>
      <w:r>
        <w:rPr>
          <w:rFonts w:ascii="Nimbus Sans" w:hAnsi="Nimbus Sans"/>
          <w:b w:val="0"/>
          <w:color w:val="4D5765"/>
          <w:sz w:val="20"/>
        </w:rPr>
        <w:t>Kanban y Backlog</w:t>
      </w:r>
    </w:p>
    <w:p>
      <w:r>
        <w:br w:type="page"/>
      </w:r>
    </w:p>
    <w:p>
      <w:pPr>
        <w:pStyle w:val="Title"/>
      </w:pPr>
      <w:r>
        <w:t>Registro de stakeholders</w:t>
      </w:r>
    </w:p>
    <w:p>
      <w:pPr>
        <w:keepLines/>
      </w:pPr>
      <w:r>
        <w:t>UniPlan  |  UNICARIBE  |  Versión de trabajo 01</w:t>
      </w:r>
    </w:p>
    <w:p>
      <w:pPr>
        <w:keepLines/>
      </w:pPr>
      <w:r>
        <w:t>El registro identifica a cada interesado por su nombre o por la denominación de su grupo. El único contacto conocido del equipo con UNICARIBE es un profesional informático externo, cuyo nombre no se ha consignado. Los demás actores institucionales se describen por su función; sus valoraciones y expectativas orientan el trabajo del proyecto.</w:t>
      </w:r>
    </w:p>
    <w:p>
      <w:pPr>
        <w:pStyle w:val="Heading1"/>
      </w:pPr>
      <w:r>
        <w:t>Identificación del registro</w:t>
      </w:r>
    </w:p>
    <w:tbl>
      <w:tblPr>
        <w:tblW w:type="auto" w:w="0"/>
        <w:jc w:val="center"/>
        <w:tblLayout w:type="fixed"/>
        <w:tblLook w:firstColumn="1" w:firstRow="1" w:lastColumn="0" w:lastRow="0" w:noHBand="0" w:noVBand="1" w:val="04A0"/>
      </w:tblPr>
      <w:tblGrid>
        <w:gridCol w:w="2880"/>
        <w:gridCol w:w="6912"/>
      </w:tblGrid>
      <w:tr>
        <w:trPr>
          <w:tblHeader w:val="true"/>
        </w:trPr>
        <w:tc>
          <w:tcPr>
            <w:tcW w:type="dxa" w:w="4896"/>
            <w:shd w:fill="243247"/>
            <w:vAlign w:val="center"/>
            <w:tcBorders>
              <w:top w:val="single" w:sz="5" w:color="D9D9D9"/>
              <w:left w:val="single" w:sz="5" w:color="D9D9D9"/>
              <w:bottom w:val="single" w:sz="5" w:color="D9D9D9"/>
              <w:right w:val="single" w:sz="5" w:color="D9D9D9"/>
            </w:tcBorders>
            <w:tcMar>
              <w:top w:w="85" w:type="dxa"/>
              <w:bottom w:w="85" w:type="dxa"/>
              <w:left w:w="108" w:type="dxa"/>
              <w:right w:w="108" w:type="dxa"/>
            </w:tcMar>
          </w:tcPr>
          <w:p>
            <w:pPr>
              <w:spacing w:after="0" w:line="254" w:lineRule="auto"/>
            </w:pPr>
            <w:r>
              <w:rPr>
                <w:rFonts w:ascii="Nimbus Sans" w:hAnsi="Nimbus Sans"/>
                <w:b/>
                <w:color w:val="FFFFFF"/>
                <w:sz w:val="17"/>
              </w:rPr>
              <w:t>Campo</w:t>
            </w:r>
          </w:p>
        </w:tc>
        <w:tc>
          <w:tcPr>
            <w:tcW w:type="dxa" w:w="4896"/>
            <w:shd w:fill="243247"/>
            <w:vAlign w:val="center"/>
            <w:tcBorders>
              <w:top w:val="single" w:sz="5" w:color="D9D9D9"/>
              <w:left w:val="single" w:sz="5" w:color="D9D9D9"/>
              <w:bottom w:val="single" w:sz="5" w:color="D9D9D9"/>
              <w:right w:val="single" w:sz="5" w:color="D9D9D9"/>
            </w:tcBorders>
            <w:tcMar>
              <w:top w:w="85" w:type="dxa"/>
              <w:bottom w:w="85" w:type="dxa"/>
              <w:left w:w="108" w:type="dxa"/>
              <w:right w:w="108" w:type="dxa"/>
            </w:tcMar>
          </w:tcPr>
          <w:p>
            <w:pPr>
              <w:spacing w:after="0" w:line="254" w:lineRule="auto"/>
            </w:pPr>
            <w:r>
              <w:rPr>
                <w:rFonts w:ascii="Nimbus Sans" w:hAnsi="Nimbus Sans"/>
                <w:b/>
                <w:color w:val="FFFFFF"/>
                <w:sz w:val="17"/>
              </w:rPr>
              <w:t>Definición</w:t>
            </w:r>
          </w:p>
        </w:tc>
      </w:tr>
      <w:tr>
        <w:trPr>
          <w:cantSplit/>
        </w:trPr>
        <w:tc>
          <w:tcPr>
            <w:tcW w:type="dxa" w:w="2880"/>
            <w:vAlign w:val="center"/>
            <w:tcBorders>
              <w:top w:val="single" w:sz="5" w:color="D9D9D9"/>
              <w:left w:val="single" w:sz="5" w:color="D9D9D9"/>
              <w:bottom w:val="single" w:sz="5" w:color="D9D9D9"/>
              <w:right w:val="single" w:sz="5" w:color="D9D9D9"/>
            </w:tcBorders>
            <w:tcMar>
              <w:top w:w="85" w:type="dxa"/>
              <w:bottom w:w="85" w:type="dxa"/>
              <w:left w:w="108" w:type="dxa"/>
              <w:right w:w="108" w:type="dxa"/>
            </w:tcMar>
          </w:tcPr>
          <w:p>
            <w:pPr>
              <w:spacing w:after="0" w:line="254" w:lineRule="auto"/>
            </w:pPr>
            <w:r>
              <w:rPr>
                <w:rFonts w:ascii="Nimbus Sans" w:hAnsi="Nimbus Sans"/>
                <w:sz w:val="17"/>
              </w:rPr>
              <w:t>Proyecto</w:t>
            </w:r>
          </w:p>
        </w:tc>
        <w:tc>
          <w:tcPr>
            <w:tcW w:type="dxa" w:w="6912"/>
            <w:vAlign w:val="center"/>
            <w:tcBorders>
              <w:top w:val="single" w:sz="5" w:color="D9D9D9"/>
              <w:left w:val="single" w:sz="5" w:color="D9D9D9"/>
              <w:bottom w:val="single" w:sz="5" w:color="D9D9D9"/>
              <w:right w:val="single" w:sz="5" w:color="D9D9D9"/>
            </w:tcBorders>
            <w:tcMar>
              <w:top w:w="85" w:type="dxa"/>
              <w:bottom w:w="85" w:type="dxa"/>
              <w:left w:w="108" w:type="dxa"/>
              <w:right w:w="108" w:type="dxa"/>
            </w:tcMar>
          </w:tcPr>
          <w:p>
            <w:pPr>
              <w:spacing w:after="0" w:line="254" w:lineRule="auto"/>
            </w:pPr>
            <w:r>
              <w:rPr>
                <w:rFonts w:ascii="Nimbus Sans" w:hAnsi="Nimbus Sans"/>
                <w:sz w:val="17"/>
              </w:rPr>
              <w:t>UniPlan — Sistema web de planificación de horarios universitarios.</w:t>
            </w:r>
          </w:p>
        </w:tc>
      </w:tr>
      <w:tr>
        <w:trPr>
          <w:cantSplit/>
        </w:trPr>
        <w:tc>
          <w:tcPr>
            <w:tcW w:type="dxa" w:w="2880"/>
            <w:shd w:fill="F3F6F9"/>
            <w:vAlign w:val="center"/>
            <w:tcBorders>
              <w:top w:val="single" w:sz="5" w:color="D9D9D9"/>
              <w:left w:val="single" w:sz="5" w:color="D9D9D9"/>
              <w:bottom w:val="single" w:sz="5" w:color="D9D9D9"/>
              <w:right w:val="single" w:sz="5" w:color="D9D9D9"/>
            </w:tcBorders>
            <w:tcMar>
              <w:top w:w="85" w:type="dxa"/>
              <w:bottom w:w="85" w:type="dxa"/>
              <w:left w:w="108" w:type="dxa"/>
              <w:right w:w="108" w:type="dxa"/>
            </w:tcMar>
          </w:tcPr>
          <w:p>
            <w:pPr>
              <w:spacing w:after="0" w:line="254" w:lineRule="auto"/>
            </w:pPr>
            <w:r>
              <w:rPr>
                <w:rFonts w:ascii="Nimbus Sans" w:hAnsi="Nimbus Sans"/>
                <w:sz w:val="17"/>
              </w:rPr>
              <w:t>Institución del caso</w:t>
            </w:r>
          </w:p>
        </w:tc>
        <w:tc>
          <w:tcPr>
            <w:tcW w:type="dxa" w:w="6912"/>
            <w:shd w:fill="F3F6F9"/>
            <w:vAlign w:val="center"/>
            <w:tcBorders>
              <w:top w:val="single" w:sz="5" w:color="D9D9D9"/>
              <w:left w:val="single" w:sz="5" w:color="D9D9D9"/>
              <w:bottom w:val="single" w:sz="5" w:color="D9D9D9"/>
              <w:right w:val="single" w:sz="5" w:color="D9D9D9"/>
            </w:tcBorders>
            <w:tcMar>
              <w:top w:w="85" w:type="dxa"/>
              <w:bottom w:w="85" w:type="dxa"/>
              <w:left w:w="108" w:type="dxa"/>
              <w:right w:w="108" w:type="dxa"/>
            </w:tcMar>
          </w:tcPr>
          <w:p>
            <w:pPr>
              <w:spacing w:after="0" w:line="254" w:lineRule="auto"/>
            </w:pPr>
            <w:r>
              <w:rPr>
                <w:rFonts w:ascii="Nimbus Sans" w:hAnsi="Nimbus Sans"/>
                <w:sz w:val="17"/>
              </w:rPr>
              <w:t>UNICARIBE.</w:t>
            </w:r>
          </w:p>
        </w:tc>
      </w:tr>
      <w:tr>
        <w:trPr>
          <w:cantSplit/>
        </w:trPr>
        <w:tc>
          <w:tcPr>
            <w:tcW w:type="dxa" w:w="2880"/>
            <w:vAlign w:val="center"/>
            <w:tcBorders>
              <w:top w:val="single" w:sz="5" w:color="D9D9D9"/>
              <w:left w:val="single" w:sz="5" w:color="D9D9D9"/>
              <w:bottom w:val="single" w:sz="5" w:color="D9D9D9"/>
              <w:right w:val="single" w:sz="5" w:color="D9D9D9"/>
            </w:tcBorders>
            <w:tcMar>
              <w:top w:w="85" w:type="dxa"/>
              <w:bottom w:w="85" w:type="dxa"/>
              <w:left w:w="108" w:type="dxa"/>
              <w:right w:w="108" w:type="dxa"/>
            </w:tcMar>
          </w:tcPr>
          <w:p>
            <w:pPr>
              <w:spacing w:after="0" w:line="254" w:lineRule="auto"/>
            </w:pPr>
            <w:r>
              <w:rPr>
                <w:rFonts w:ascii="Nimbus Sans" w:hAnsi="Nimbus Sans"/>
                <w:sz w:val="17"/>
              </w:rPr>
              <w:t>Inicio del proyecto</w:t>
            </w:r>
          </w:p>
        </w:tc>
        <w:tc>
          <w:tcPr>
            <w:tcW w:type="dxa" w:w="6912"/>
            <w:vAlign w:val="center"/>
            <w:tcBorders>
              <w:top w:val="single" w:sz="5" w:color="D9D9D9"/>
              <w:left w:val="single" w:sz="5" w:color="D9D9D9"/>
              <w:bottom w:val="single" w:sz="5" w:color="D9D9D9"/>
              <w:right w:val="single" w:sz="5" w:color="D9D9D9"/>
            </w:tcBorders>
            <w:tcMar>
              <w:top w:w="85" w:type="dxa"/>
              <w:bottom w:w="85" w:type="dxa"/>
              <w:left w:w="108" w:type="dxa"/>
              <w:right w:w="108" w:type="dxa"/>
            </w:tcMar>
          </w:tcPr>
          <w:p>
            <w:pPr>
              <w:spacing w:after="0" w:line="254" w:lineRule="auto"/>
            </w:pPr>
            <w:r>
              <w:rPr>
                <w:rFonts w:ascii="Nimbus Sans" w:hAnsi="Nimbus Sans"/>
                <w:sz w:val="17"/>
              </w:rPr>
              <w:t>24-09-2026.</w:t>
            </w:r>
          </w:p>
        </w:tc>
      </w:tr>
      <w:tr>
        <w:trPr>
          <w:cantSplit/>
        </w:trPr>
        <w:tc>
          <w:tcPr>
            <w:tcW w:type="dxa" w:w="2880"/>
            <w:shd w:fill="F3F6F9"/>
            <w:vAlign w:val="center"/>
            <w:tcBorders>
              <w:top w:val="single" w:sz="5" w:color="D9D9D9"/>
              <w:left w:val="single" w:sz="5" w:color="D9D9D9"/>
              <w:bottom w:val="single" w:sz="5" w:color="D9D9D9"/>
              <w:right w:val="single" w:sz="5" w:color="D9D9D9"/>
            </w:tcBorders>
            <w:tcMar>
              <w:top w:w="85" w:type="dxa"/>
              <w:bottom w:w="85" w:type="dxa"/>
              <w:left w:w="108" w:type="dxa"/>
              <w:right w:w="108" w:type="dxa"/>
            </w:tcMar>
          </w:tcPr>
          <w:p>
            <w:pPr>
              <w:spacing w:after="0" w:line="254" w:lineRule="auto"/>
            </w:pPr>
            <w:r>
              <w:rPr>
                <w:rFonts w:ascii="Nimbus Sans" w:hAnsi="Nimbus Sans"/>
                <w:sz w:val="17"/>
              </w:rPr>
              <w:t>Contacto conocido</w:t>
            </w:r>
          </w:p>
        </w:tc>
        <w:tc>
          <w:tcPr>
            <w:tcW w:type="dxa" w:w="6912"/>
            <w:shd w:fill="F3F6F9"/>
            <w:vAlign w:val="center"/>
            <w:tcBorders>
              <w:top w:val="single" w:sz="5" w:color="D9D9D9"/>
              <w:left w:val="single" w:sz="5" w:color="D9D9D9"/>
              <w:bottom w:val="single" w:sz="5" w:color="D9D9D9"/>
              <w:right w:val="single" w:sz="5" w:color="D9D9D9"/>
            </w:tcBorders>
            <w:tcMar>
              <w:top w:w="85" w:type="dxa"/>
              <w:bottom w:w="85" w:type="dxa"/>
              <w:left w:w="108" w:type="dxa"/>
              <w:right w:w="108" w:type="dxa"/>
            </w:tcMar>
          </w:tcPr>
          <w:p>
            <w:pPr>
              <w:spacing w:after="0" w:line="254" w:lineRule="auto"/>
            </w:pPr>
            <w:r>
              <w:rPr>
                <w:rFonts w:ascii="Nimbus Sans" w:hAnsi="Nimbus Sans"/>
                <w:sz w:val="17"/>
              </w:rPr>
              <w:t>Un profesional informático que trabaja externamente con UNICARIBE; nombre y alcance de su vínculo no consignados.</w:t>
            </w:r>
          </w:p>
        </w:tc>
      </w:tr>
    </w:tbl>
    <w:p>
      <w:pPr>
        <w:spacing w:after="0"/>
      </w:pPr>
    </w:p>
    <w:p>
      <w:pPr>
        <w:pStyle w:val="Heading1"/>
      </w:pPr>
      <w:r>
        <w:t>Criterio para valorar a los interesados</w:t>
      </w:r>
    </w:p>
    <w:p>
      <w:pPr>
        <w:keepLines/>
      </w:pPr>
      <w:r>
        <w:t>Interés mide el posible impacto o necesidad de participación; influencia estima la capacidad de decidir o facilitar el proyecto. Alto, medio y bajo son hipótesis relativas. «Por confirmar» indica que falta información. Las valoraciones no acreditan cargos ni autorizaciones.</w:t>
      </w:r>
    </w:p>
    <w:p>
      <w:pPr>
        <w:pStyle w:val="Heading1"/>
      </w:pPr>
      <w:r>
        <w:t>Interesados y valoración inicial</w:t>
      </w:r>
    </w:p>
    <w:tbl>
      <w:tblPr>
        <w:tblW w:type="auto" w:w="0"/>
        <w:jc w:val="center"/>
        <w:tblLayout w:type="fixed"/>
        <w:tblLook w:firstColumn="1" w:firstRow="1" w:lastColumn="0" w:lastRow="0" w:noHBand="0" w:noVBand="1" w:val="04A0"/>
      </w:tblPr>
      <w:tblGrid>
        <w:gridCol w:w="2477"/>
        <w:gridCol w:w="4349"/>
        <w:gridCol w:w="1426"/>
        <w:gridCol w:w="1541"/>
      </w:tblGrid>
      <w:tr>
        <w:trPr>
          <w:tblHeader w:val="true"/>
        </w:trPr>
        <w:tc>
          <w:tcPr>
            <w:tcW w:type="dxa" w:w="2448"/>
            <w:shd w:fill="243247"/>
            <w:vAlign w:val="center"/>
            <w:tcBorders>
              <w:top w:val="single" w:sz="5" w:color="D9D9D9"/>
              <w:left w:val="single" w:sz="5" w:color="D9D9D9"/>
              <w:bottom w:val="single" w:sz="5" w:color="D9D9D9"/>
              <w:right w:val="single" w:sz="5" w:color="D9D9D9"/>
            </w:tcBorders>
            <w:tcMar>
              <w:top w:w="85" w:type="dxa"/>
              <w:bottom w:w="85" w:type="dxa"/>
              <w:left w:w="108" w:type="dxa"/>
              <w:right w:w="108" w:type="dxa"/>
            </w:tcMar>
          </w:tcPr>
          <w:p>
            <w:pPr>
              <w:spacing w:after="0" w:line="254" w:lineRule="auto"/>
            </w:pPr>
            <w:r>
              <w:rPr>
                <w:rFonts w:ascii="Nimbus Sans" w:hAnsi="Nimbus Sans"/>
                <w:b/>
                <w:color w:val="FFFFFF"/>
                <w:sz w:val="17"/>
              </w:rPr>
              <w:t>Nombre</w:t>
            </w:r>
          </w:p>
        </w:tc>
        <w:tc>
          <w:tcPr>
            <w:tcW w:type="dxa" w:w="2448"/>
            <w:shd w:fill="243247"/>
            <w:vAlign w:val="center"/>
            <w:tcBorders>
              <w:top w:val="single" w:sz="5" w:color="D9D9D9"/>
              <w:left w:val="single" w:sz="5" w:color="D9D9D9"/>
              <w:bottom w:val="single" w:sz="5" w:color="D9D9D9"/>
              <w:right w:val="single" w:sz="5" w:color="D9D9D9"/>
            </w:tcBorders>
            <w:tcMar>
              <w:top w:w="85" w:type="dxa"/>
              <w:bottom w:w="85" w:type="dxa"/>
              <w:left w:w="108" w:type="dxa"/>
              <w:right w:w="108" w:type="dxa"/>
            </w:tcMar>
          </w:tcPr>
          <w:p>
            <w:pPr>
              <w:spacing w:after="0" w:line="254" w:lineRule="auto"/>
            </w:pPr>
            <w:r>
              <w:rPr>
                <w:rFonts w:ascii="Nimbus Sans" w:hAnsi="Nimbus Sans"/>
                <w:b/>
                <w:color w:val="FFFFFF"/>
                <w:sz w:val="17"/>
              </w:rPr>
              <w:t>Rol en UniPlan</w:t>
            </w:r>
          </w:p>
        </w:tc>
        <w:tc>
          <w:tcPr>
            <w:tcW w:type="dxa" w:w="2448"/>
            <w:shd w:fill="243247"/>
            <w:vAlign w:val="center"/>
            <w:tcBorders>
              <w:top w:val="single" w:sz="5" w:color="D9D9D9"/>
              <w:left w:val="single" w:sz="5" w:color="D9D9D9"/>
              <w:bottom w:val="single" w:sz="5" w:color="D9D9D9"/>
              <w:right w:val="single" w:sz="5" w:color="D9D9D9"/>
            </w:tcBorders>
            <w:tcMar>
              <w:top w:w="85" w:type="dxa"/>
              <w:bottom w:w="85" w:type="dxa"/>
              <w:left w:w="108" w:type="dxa"/>
              <w:right w:w="108" w:type="dxa"/>
            </w:tcMar>
          </w:tcPr>
          <w:p>
            <w:pPr>
              <w:spacing w:after="0" w:line="254" w:lineRule="auto"/>
            </w:pPr>
            <w:r>
              <w:rPr>
                <w:rFonts w:ascii="Nimbus Sans" w:hAnsi="Nimbus Sans"/>
                <w:b/>
                <w:color w:val="FFFFFF"/>
                <w:sz w:val="17"/>
              </w:rPr>
              <w:t>Interés</w:t>
            </w:r>
          </w:p>
        </w:tc>
        <w:tc>
          <w:tcPr>
            <w:tcW w:type="dxa" w:w="2448"/>
            <w:shd w:fill="243247"/>
            <w:vAlign w:val="center"/>
            <w:tcBorders>
              <w:top w:val="single" w:sz="5" w:color="D9D9D9"/>
              <w:left w:val="single" w:sz="5" w:color="D9D9D9"/>
              <w:bottom w:val="single" w:sz="5" w:color="D9D9D9"/>
              <w:right w:val="single" w:sz="5" w:color="D9D9D9"/>
            </w:tcBorders>
            <w:tcMar>
              <w:top w:w="85" w:type="dxa"/>
              <w:bottom w:w="85" w:type="dxa"/>
              <w:left w:w="108" w:type="dxa"/>
              <w:right w:w="108" w:type="dxa"/>
            </w:tcMar>
          </w:tcPr>
          <w:p>
            <w:pPr>
              <w:spacing w:after="0" w:line="254" w:lineRule="auto"/>
            </w:pPr>
            <w:r>
              <w:rPr>
                <w:rFonts w:ascii="Nimbus Sans" w:hAnsi="Nimbus Sans"/>
                <w:b/>
                <w:color w:val="FFFFFF"/>
                <w:sz w:val="17"/>
              </w:rPr>
              <w:t>Influencia</w:t>
            </w:r>
          </w:p>
        </w:tc>
      </w:tr>
      <w:tr>
        <w:trPr>
          <w:cantSplit/>
        </w:trPr>
        <w:tc>
          <w:tcPr>
            <w:tcW w:type="dxa" w:w="2477"/>
            <w:vAlign w:val="center"/>
            <w:tcBorders>
              <w:top w:val="single" w:sz="5" w:color="D9D9D9"/>
              <w:left w:val="single" w:sz="5" w:color="D9D9D9"/>
              <w:bottom w:val="single" w:sz="5" w:color="D9D9D9"/>
              <w:right w:val="single" w:sz="5" w:color="D9D9D9"/>
            </w:tcBorders>
            <w:tcMar>
              <w:top w:w="85" w:type="dxa"/>
              <w:bottom w:w="85" w:type="dxa"/>
              <w:left w:w="108" w:type="dxa"/>
              <w:right w:w="108" w:type="dxa"/>
            </w:tcMar>
          </w:tcPr>
          <w:p>
            <w:pPr>
              <w:spacing w:after="0" w:line="254" w:lineRule="auto"/>
            </w:pPr>
            <w:r>
              <w:rPr>
                <w:rFonts w:ascii="Nimbus Sans" w:hAnsi="Nimbus Sans"/>
                <w:sz w:val="17"/>
              </w:rPr>
              <w:t>E01  Informático externo</w:t>
            </w:r>
          </w:p>
        </w:tc>
        <w:tc>
          <w:tcPr>
            <w:tcW w:type="dxa" w:w="4349"/>
            <w:vAlign w:val="center"/>
            <w:tcBorders>
              <w:top w:val="single" w:sz="5" w:color="D9D9D9"/>
              <w:left w:val="single" w:sz="5" w:color="D9D9D9"/>
              <w:bottom w:val="single" w:sz="5" w:color="D9D9D9"/>
              <w:right w:val="single" w:sz="5" w:color="D9D9D9"/>
            </w:tcBorders>
            <w:tcMar>
              <w:top w:w="85" w:type="dxa"/>
              <w:bottom w:w="85" w:type="dxa"/>
              <w:left w:w="108" w:type="dxa"/>
              <w:right w:w="108" w:type="dxa"/>
            </w:tcMar>
          </w:tcPr>
          <w:p>
            <w:pPr>
              <w:spacing w:after="0" w:line="254" w:lineRule="auto"/>
            </w:pPr>
            <w:r>
              <w:rPr>
                <w:rFonts w:ascii="Nimbus Sans" w:hAnsi="Nimbus Sans"/>
                <w:sz w:val="17"/>
              </w:rPr>
              <w:t>Profesional que trabaja externamente con UNICARIBE; único contacto conocido del equipo.</w:t>
            </w:r>
          </w:p>
        </w:tc>
        <w:tc>
          <w:tcPr>
            <w:tcW w:type="dxa" w:w="1426"/>
            <w:vAlign w:val="center"/>
            <w:tcBorders>
              <w:top w:val="single" w:sz="5" w:color="D9D9D9"/>
              <w:left w:val="single" w:sz="5" w:color="D9D9D9"/>
              <w:bottom w:val="single" w:sz="5" w:color="D9D9D9"/>
              <w:right w:val="single" w:sz="5" w:color="D9D9D9"/>
            </w:tcBorders>
            <w:tcMar>
              <w:top w:w="85" w:type="dxa"/>
              <w:bottom w:w="85" w:type="dxa"/>
              <w:left w:w="108" w:type="dxa"/>
              <w:right w:w="108" w:type="dxa"/>
            </w:tcMar>
          </w:tcPr>
          <w:p>
            <w:pPr>
              <w:spacing w:after="0" w:line="254" w:lineRule="auto"/>
            </w:pPr>
            <w:r>
              <w:rPr>
                <w:rFonts w:ascii="Nimbus Sans" w:hAnsi="Nimbus Sans"/>
                <w:sz w:val="17"/>
              </w:rPr>
              <w:t>Por confirmar</w:t>
            </w:r>
          </w:p>
        </w:tc>
        <w:tc>
          <w:tcPr>
            <w:tcW w:type="dxa" w:w="1541"/>
            <w:vAlign w:val="center"/>
            <w:tcBorders>
              <w:top w:val="single" w:sz="5" w:color="D9D9D9"/>
              <w:left w:val="single" w:sz="5" w:color="D9D9D9"/>
              <w:bottom w:val="single" w:sz="5" w:color="D9D9D9"/>
              <w:right w:val="single" w:sz="5" w:color="D9D9D9"/>
            </w:tcBorders>
            <w:tcMar>
              <w:top w:w="85" w:type="dxa"/>
              <w:bottom w:w="85" w:type="dxa"/>
              <w:left w:w="108" w:type="dxa"/>
              <w:right w:w="108" w:type="dxa"/>
            </w:tcMar>
          </w:tcPr>
          <w:p>
            <w:pPr>
              <w:spacing w:after="0" w:line="254" w:lineRule="auto"/>
            </w:pPr>
            <w:r>
              <w:rPr>
                <w:rFonts w:ascii="Nimbus Sans" w:hAnsi="Nimbus Sans"/>
                <w:sz w:val="17"/>
              </w:rPr>
              <w:t>Medio</w:t>
            </w:r>
          </w:p>
        </w:tc>
      </w:tr>
      <w:tr>
        <w:trPr>
          <w:cantSplit/>
        </w:trPr>
        <w:tc>
          <w:tcPr>
            <w:tcW w:type="dxa" w:w="2477"/>
            <w:shd w:fill="F3F6F9"/>
            <w:vAlign w:val="center"/>
            <w:tcBorders>
              <w:top w:val="single" w:sz="5" w:color="D9D9D9"/>
              <w:left w:val="single" w:sz="5" w:color="D9D9D9"/>
              <w:bottom w:val="single" w:sz="5" w:color="D9D9D9"/>
              <w:right w:val="single" w:sz="5" w:color="D9D9D9"/>
            </w:tcBorders>
            <w:tcMar>
              <w:top w:w="85" w:type="dxa"/>
              <w:bottom w:w="85" w:type="dxa"/>
              <w:left w:w="108" w:type="dxa"/>
              <w:right w:w="108" w:type="dxa"/>
            </w:tcMar>
          </w:tcPr>
          <w:p>
            <w:pPr>
              <w:spacing w:after="0" w:line="254" w:lineRule="auto"/>
            </w:pPr>
            <w:r>
              <w:rPr>
                <w:rFonts w:ascii="Nimbus Sans" w:hAnsi="Nimbus Sans"/>
                <w:sz w:val="17"/>
              </w:rPr>
              <w:t>E02  Autoridad UNICARIBE</w:t>
            </w:r>
          </w:p>
        </w:tc>
        <w:tc>
          <w:tcPr>
            <w:tcW w:type="dxa" w:w="4349"/>
            <w:shd w:fill="F3F6F9"/>
            <w:vAlign w:val="center"/>
            <w:tcBorders>
              <w:top w:val="single" w:sz="5" w:color="D9D9D9"/>
              <w:left w:val="single" w:sz="5" w:color="D9D9D9"/>
              <w:bottom w:val="single" w:sz="5" w:color="D9D9D9"/>
              <w:right w:val="single" w:sz="5" w:color="D9D9D9"/>
            </w:tcBorders>
            <w:tcMar>
              <w:top w:w="85" w:type="dxa"/>
              <w:bottom w:w="85" w:type="dxa"/>
              <w:left w:w="108" w:type="dxa"/>
              <w:right w:w="108" w:type="dxa"/>
            </w:tcMar>
          </w:tcPr>
          <w:p>
            <w:pPr>
              <w:spacing w:after="0" w:line="254" w:lineRule="auto"/>
            </w:pPr>
            <w:r>
              <w:rPr>
                <w:rFonts w:ascii="Nimbus Sans" w:hAnsi="Nimbus Sans"/>
                <w:sz w:val="17"/>
              </w:rPr>
              <w:t>Posible instancia de decisión sobre alcance y adopción; persona y atribuciones por identificar.</w:t>
            </w:r>
          </w:p>
        </w:tc>
        <w:tc>
          <w:tcPr>
            <w:tcW w:type="dxa" w:w="1426"/>
            <w:shd w:fill="F3F6F9"/>
            <w:vAlign w:val="center"/>
            <w:tcBorders>
              <w:top w:val="single" w:sz="5" w:color="D9D9D9"/>
              <w:left w:val="single" w:sz="5" w:color="D9D9D9"/>
              <w:bottom w:val="single" w:sz="5" w:color="D9D9D9"/>
              <w:right w:val="single" w:sz="5" w:color="D9D9D9"/>
            </w:tcBorders>
            <w:tcMar>
              <w:top w:w="85" w:type="dxa"/>
              <w:bottom w:w="85" w:type="dxa"/>
              <w:left w:w="108" w:type="dxa"/>
              <w:right w:w="108" w:type="dxa"/>
            </w:tcMar>
          </w:tcPr>
          <w:p>
            <w:pPr>
              <w:spacing w:after="0" w:line="254" w:lineRule="auto"/>
            </w:pPr>
            <w:r>
              <w:rPr>
                <w:rFonts w:ascii="Nimbus Sans" w:hAnsi="Nimbus Sans"/>
                <w:sz w:val="17"/>
              </w:rPr>
              <w:t>Alto</w:t>
            </w:r>
          </w:p>
        </w:tc>
        <w:tc>
          <w:tcPr>
            <w:tcW w:type="dxa" w:w="1541"/>
            <w:shd w:fill="F3F6F9"/>
            <w:vAlign w:val="center"/>
            <w:tcBorders>
              <w:top w:val="single" w:sz="5" w:color="D9D9D9"/>
              <w:left w:val="single" w:sz="5" w:color="D9D9D9"/>
              <w:bottom w:val="single" w:sz="5" w:color="D9D9D9"/>
              <w:right w:val="single" w:sz="5" w:color="D9D9D9"/>
            </w:tcBorders>
            <w:tcMar>
              <w:top w:w="85" w:type="dxa"/>
              <w:bottom w:w="85" w:type="dxa"/>
              <w:left w:w="108" w:type="dxa"/>
              <w:right w:w="108" w:type="dxa"/>
            </w:tcMar>
          </w:tcPr>
          <w:p>
            <w:pPr>
              <w:spacing w:after="0" w:line="254" w:lineRule="auto"/>
            </w:pPr>
            <w:r>
              <w:rPr>
                <w:rFonts w:ascii="Nimbus Sans" w:hAnsi="Nimbus Sans"/>
                <w:sz w:val="17"/>
              </w:rPr>
              <w:t>Alto</w:t>
            </w:r>
          </w:p>
        </w:tc>
      </w:tr>
      <w:tr>
        <w:trPr>
          <w:cantSplit/>
        </w:trPr>
        <w:tc>
          <w:tcPr>
            <w:tcW w:type="dxa" w:w="2477"/>
            <w:vAlign w:val="center"/>
            <w:tcBorders>
              <w:top w:val="single" w:sz="5" w:color="D9D9D9"/>
              <w:left w:val="single" w:sz="5" w:color="D9D9D9"/>
              <w:bottom w:val="single" w:sz="5" w:color="D9D9D9"/>
              <w:right w:val="single" w:sz="5" w:color="D9D9D9"/>
            </w:tcBorders>
            <w:tcMar>
              <w:top w:w="85" w:type="dxa"/>
              <w:bottom w:w="85" w:type="dxa"/>
              <w:left w:w="108" w:type="dxa"/>
              <w:right w:w="108" w:type="dxa"/>
            </w:tcMar>
          </w:tcPr>
          <w:p>
            <w:pPr>
              <w:spacing w:after="0" w:line="254" w:lineRule="auto"/>
            </w:pPr>
            <w:r>
              <w:rPr>
                <w:rFonts w:ascii="Nimbus Sans" w:hAnsi="Nimbus Sans"/>
                <w:sz w:val="17"/>
              </w:rPr>
              <w:t>E03  Personal planificador</w:t>
            </w:r>
          </w:p>
        </w:tc>
        <w:tc>
          <w:tcPr>
            <w:tcW w:type="dxa" w:w="4349"/>
            <w:vAlign w:val="center"/>
            <w:tcBorders>
              <w:top w:val="single" w:sz="5" w:color="D9D9D9"/>
              <w:left w:val="single" w:sz="5" w:color="D9D9D9"/>
              <w:bottom w:val="single" w:sz="5" w:color="D9D9D9"/>
              <w:right w:val="single" w:sz="5" w:color="D9D9D9"/>
            </w:tcBorders>
            <w:tcMar>
              <w:top w:w="85" w:type="dxa"/>
              <w:bottom w:w="85" w:type="dxa"/>
              <w:left w:w="108" w:type="dxa"/>
              <w:right w:w="108" w:type="dxa"/>
            </w:tcMar>
          </w:tcPr>
          <w:p>
            <w:pPr>
              <w:spacing w:after="0" w:line="254" w:lineRule="auto"/>
            </w:pPr>
            <w:r>
              <w:rPr>
                <w:rFonts w:ascii="Nimbus Sans" w:hAnsi="Nimbus Sans"/>
                <w:sz w:val="17"/>
              </w:rPr>
              <w:t>Usuarios del proceso que construyen, consultan y corrigen horarios académicos.</w:t>
            </w:r>
          </w:p>
        </w:tc>
        <w:tc>
          <w:tcPr>
            <w:tcW w:type="dxa" w:w="1426"/>
            <w:vAlign w:val="center"/>
            <w:tcBorders>
              <w:top w:val="single" w:sz="5" w:color="D9D9D9"/>
              <w:left w:val="single" w:sz="5" w:color="D9D9D9"/>
              <w:bottom w:val="single" w:sz="5" w:color="D9D9D9"/>
              <w:right w:val="single" w:sz="5" w:color="D9D9D9"/>
            </w:tcBorders>
            <w:tcMar>
              <w:top w:w="85" w:type="dxa"/>
              <w:bottom w:w="85" w:type="dxa"/>
              <w:left w:w="108" w:type="dxa"/>
              <w:right w:w="108" w:type="dxa"/>
            </w:tcMar>
          </w:tcPr>
          <w:p>
            <w:pPr>
              <w:spacing w:after="0" w:line="254" w:lineRule="auto"/>
            </w:pPr>
            <w:r>
              <w:rPr>
                <w:rFonts w:ascii="Nimbus Sans" w:hAnsi="Nimbus Sans"/>
                <w:sz w:val="17"/>
              </w:rPr>
              <w:t>Alto</w:t>
            </w:r>
          </w:p>
        </w:tc>
        <w:tc>
          <w:tcPr>
            <w:tcW w:type="dxa" w:w="1541"/>
            <w:vAlign w:val="center"/>
            <w:tcBorders>
              <w:top w:val="single" w:sz="5" w:color="D9D9D9"/>
              <w:left w:val="single" w:sz="5" w:color="D9D9D9"/>
              <w:bottom w:val="single" w:sz="5" w:color="D9D9D9"/>
              <w:right w:val="single" w:sz="5" w:color="D9D9D9"/>
            </w:tcBorders>
            <w:tcMar>
              <w:top w:w="85" w:type="dxa"/>
              <w:bottom w:w="85" w:type="dxa"/>
              <w:left w:w="108" w:type="dxa"/>
              <w:right w:w="108" w:type="dxa"/>
            </w:tcMar>
          </w:tcPr>
          <w:p>
            <w:pPr>
              <w:spacing w:after="0" w:line="254" w:lineRule="auto"/>
            </w:pPr>
            <w:r>
              <w:rPr>
                <w:rFonts w:ascii="Nimbus Sans" w:hAnsi="Nimbus Sans"/>
                <w:sz w:val="17"/>
              </w:rPr>
              <w:t>Alto</w:t>
            </w:r>
          </w:p>
        </w:tc>
      </w:tr>
      <w:tr>
        <w:trPr>
          <w:cantSplit/>
        </w:trPr>
        <w:tc>
          <w:tcPr>
            <w:tcW w:type="dxa" w:w="2477"/>
            <w:shd w:fill="F3F6F9"/>
            <w:vAlign w:val="center"/>
            <w:tcBorders>
              <w:top w:val="single" w:sz="5" w:color="D9D9D9"/>
              <w:left w:val="single" w:sz="5" w:color="D9D9D9"/>
              <w:bottom w:val="single" w:sz="5" w:color="D9D9D9"/>
              <w:right w:val="single" w:sz="5" w:color="D9D9D9"/>
            </w:tcBorders>
            <w:tcMar>
              <w:top w:w="85" w:type="dxa"/>
              <w:bottom w:w="85" w:type="dxa"/>
              <w:left w:w="108" w:type="dxa"/>
              <w:right w:w="108" w:type="dxa"/>
            </w:tcMar>
          </w:tcPr>
          <w:p>
            <w:pPr>
              <w:spacing w:after="0" w:line="254" w:lineRule="auto"/>
            </w:pPr>
            <w:r>
              <w:rPr>
                <w:rFonts w:ascii="Nimbus Sans" w:hAnsi="Nimbus Sans"/>
                <w:sz w:val="17"/>
              </w:rPr>
              <w:t>E04  Dirección académica</w:t>
            </w:r>
          </w:p>
        </w:tc>
        <w:tc>
          <w:tcPr>
            <w:tcW w:type="dxa" w:w="4349"/>
            <w:shd w:fill="F3F6F9"/>
            <w:vAlign w:val="center"/>
            <w:tcBorders>
              <w:top w:val="single" w:sz="5" w:color="D9D9D9"/>
              <w:left w:val="single" w:sz="5" w:color="D9D9D9"/>
              <w:bottom w:val="single" w:sz="5" w:color="D9D9D9"/>
              <w:right w:val="single" w:sz="5" w:color="D9D9D9"/>
            </w:tcBorders>
            <w:tcMar>
              <w:top w:w="85" w:type="dxa"/>
              <w:bottom w:w="85" w:type="dxa"/>
              <w:left w:w="108" w:type="dxa"/>
              <w:right w:w="108" w:type="dxa"/>
            </w:tcMar>
          </w:tcPr>
          <w:p>
            <w:pPr>
              <w:spacing w:after="0" w:line="254" w:lineRule="auto"/>
            </w:pPr>
            <w:r>
              <w:rPr>
                <w:rFonts w:ascii="Nimbus Sans" w:hAnsi="Nimbus Sans"/>
                <w:sz w:val="17"/>
              </w:rPr>
              <w:t>Posibles responsables de necesidades de facultades y carreras; sin contacto directo.</w:t>
            </w:r>
          </w:p>
        </w:tc>
        <w:tc>
          <w:tcPr>
            <w:tcW w:type="dxa" w:w="1426"/>
            <w:shd w:fill="F3F6F9"/>
            <w:vAlign w:val="center"/>
            <w:tcBorders>
              <w:top w:val="single" w:sz="5" w:color="D9D9D9"/>
              <w:left w:val="single" w:sz="5" w:color="D9D9D9"/>
              <w:bottom w:val="single" w:sz="5" w:color="D9D9D9"/>
              <w:right w:val="single" w:sz="5" w:color="D9D9D9"/>
            </w:tcBorders>
            <w:tcMar>
              <w:top w:w="85" w:type="dxa"/>
              <w:bottom w:w="85" w:type="dxa"/>
              <w:left w:w="108" w:type="dxa"/>
              <w:right w:w="108" w:type="dxa"/>
            </w:tcMar>
          </w:tcPr>
          <w:p>
            <w:pPr>
              <w:spacing w:after="0" w:line="254" w:lineRule="auto"/>
            </w:pPr>
            <w:r>
              <w:rPr>
                <w:rFonts w:ascii="Nimbus Sans" w:hAnsi="Nimbus Sans"/>
                <w:sz w:val="17"/>
              </w:rPr>
              <w:t>Alto</w:t>
            </w:r>
          </w:p>
        </w:tc>
        <w:tc>
          <w:tcPr>
            <w:tcW w:type="dxa" w:w="1541"/>
            <w:shd w:fill="F3F6F9"/>
            <w:vAlign w:val="center"/>
            <w:tcBorders>
              <w:top w:val="single" w:sz="5" w:color="D9D9D9"/>
              <w:left w:val="single" w:sz="5" w:color="D9D9D9"/>
              <w:bottom w:val="single" w:sz="5" w:color="D9D9D9"/>
              <w:right w:val="single" w:sz="5" w:color="D9D9D9"/>
            </w:tcBorders>
            <w:tcMar>
              <w:top w:w="85" w:type="dxa"/>
              <w:bottom w:w="85" w:type="dxa"/>
              <w:left w:w="108" w:type="dxa"/>
              <w:right w:w="108" w:type="dxa"/>
            </w:tcMar>
          </w:tcPr>
          <w:p>
            <w:pPr>
              <w:spacing w:after="0" w:line="254" w:lineRule="auto"/>
            </w:pPr>
            <w:r>
              <w:rPr>
                <w:rFonts w:ascii="Nimbus Sans" w:hAnsi="Nimbus Sans"/>
                <w:sz w:val="17"/>
              </w:rPr>
              <w:t>Medio</w:t>
            </w:r>
          </w:p>
        </w:tc>
      </w:tr>
      <w:tr>
        <w:trPr>
          <w:cantSplit/>
        </w:trPr>
        <w:tc>
          <w:tcPr>
            <w:tcW w:type="dxa" w:w="2477"/>
            <w:vAlign w:val="center"/>
            <w:tcBorders>
              <w:top w:val="single" w:sz="5" w:color="D9D9D9"/>
              <w:left w:val="single" w:sz="5" w:color="D9D9D9"/>
              <w:bottom w:val="single" w:sz="5" w:color="D9D9D9"/>
              <w:right w:val="single" w:sz="5" w:color="D9D9D9"/>
            </w:tcBorders>
            <w:tcMar>
              <w:top w:w="85" w:type="dxa"/>
              <w:bottom w:w="85" w:type="dxa"/>
              <w:left w:w="108" w:type="dxa"/>
              <w:right w:w="108" w:type="dxa"/>
            </w:tcMar>
          </w:tcPr>
          <w:p>
            <w:pPr>
              <w:spacing w:after="0" w:line="254" w:lineRule="auto"/>
            </w:pPr>
            <w:r>
              <w:rPr>
                <w:rFonts w:ascii="Nimbus Sans" w:hAnsi="Nimbus Sans"/>
                <w:sz w:val="17"/>
              </w:rPr>
              <w:t>E05  Docentes</w:t>
            </w:r>
          </w:p>
        </w:tc>
        <w:tc>
          <w:tcPr>
            <w:tcW w:type="dxa" w:w="4349"/>
            <w:vAlign w:val="center"/>
            <w:tcBorders>
              <w:top w:val="single" w:sz="5" w:color="D9D9D9"/>
              <w:left w:val="single" w:sz="5" w:color="D9D9D9"/>
              <w:bottom w:val="single" w:sz="5" w:color="D9D9D9"/>
              <w:right w:val="single" w:sz="5" w:color="D9D9D9"/>
            </w:tcBorders>
            <w:tcMar>
              <w:top w:w="85" w:type="dxa"/>
              <w:bottom w:w="85" w:type="dxa"/>
              <w:left w:w="108" w:type="dxa"/>
              <w:right w:w="108" w:type="dxa"/>
            </w:tcMar>
          </w:tcPr>
          <w:p>
            <w:pPr>
              <w:spacing w:after="0" w:line="254" w:lineRule="auto"/>
            </w:pPr>
            <w:r>
              <w:rPr>
                <w:rFonts w:ascii="Nimbus Sans" w:hAnsi="Nimbus Sans"/>
                <w:sz w:val="17"/>
              </w:rPr>
              <w:t>Grupo afectado por la asignación de horarios; participación por confirmar.</w:t>
            </w:r>
          </w:p>
        </w:tc>
        <w:tc>
          <w:tcPr>
            <w:tcW w:type="dxa" w:w="1426"/>
            <w:vAlign w:val="center"/>
            <w:tcBorders>
              <w:top w:val="single" w:sz="5" w:color="D9D9D9"/>
              <w:left w:val="single" w:sz="5" w:color="D9D9D9"/>
              <w:bottom w:val="single" w:sz="5" w:color="D9D9D9"/>
              <w:right w:val="single" w:sz="5" w:color="D9D9D9"/>
            </w:tcBorders>
            <w:tcMar>
              <w:top w:w="85" w:type="dxa"/>
              <w:bottom w:w="85" w:type="dxa"/>
              <w:left w:w="108" w:type="dxa"/>
              <w:right w:w="108" w:type="dxa"/>
            </w:tcMar>
          </w:tcPr>
          <w:p>
            <w:pPr>
              <w:spacing w:after="0" w:line="254" w:lineRule="auto"/>
            </w:pPr>
            <w:r>
              <w:rPr>
                <w:rFonts w:ascii="Nimbus Sans" w:hAnsi="Nimbus Sans"/>
                <w:sz w:val="17"/>
              </w:rPr>
              <w:t>Medio</w:t>
            </w:r>
          </w:p>
        </w:tc>
        <w:tc>
          <w:tcPr>
            <w:tcW w:type="dxa" w:w="1541"/>
            <w:vAlign w:val="center"/>
            <w:tcBorders>
              <w:top w:val="single" w:sz="5" w:color="D9D9D9"/>
              <w:left w:val="single" w:sz="5" w:color="D9D9D9"/>
              <w:bottom w:val="single" w:sz="5" w:color="D9D9D9"/>
              <w:right w:val="single" w:sz="5" w:color="D9D9D9"/>
            </w:tcBorders>
            <w:tcMar>
              <w:top w:w="85" w:type="dxa"/>
              <w:bottom w:w="85" w:type="dxa"/>
              <w:left w:w="108" w:type="dxa"/>
              <w:right w:w="108" w:type="dxa"/>
            </w:tcMar>
          </w:tcPr>
          <w:p>
            <w:pPr>
              <w:spacing w:after="0" w:line="254" w:lineRule="auto"/>
            </w:pPr>
            <w:r>
              <w:rPr>
                <w:rFonts w:ascii="Nimbus Sans" w:hAnsi="Nimbus Sans"/>
                <w:sz w:val="17"/>
              </w:rPr>
              <w:t>Bajo</w:t>
            </w:r>
          </w:p>
        </w:tc>
      </w:tr>
      <w:tr>
        <w:trPr>
          <w:cantSplit/>
        </w:trPr>
        <w:tc>
          <w:tcPr>
            <w:tcW w:type="dxa" w:w="2477"/>
            <w:shd w:fill="F3F6F9"/>
            <w:vAlign w:val="center"/>
            <w:tcBorders>
              <w:top w:val="single" w:sz="5" w:color="D9D9D9"/>
              <w:left w:val="single" w:sz="5" w:color="D9D9D9"/>
              <w:bottom w:val="single" w:sz="5" w:color="D9D9D9"/>
              <w:right w:val="single" w:sz="5" w:color="D9D9D9"/>
            </w:tcBorders>
            <w:tcMar>
              <w:top w:w="85" w:type="dxa"/>
              <w:bottom w:w="85" w:type="dxa"/>
              <w:left w:w="108" w:type="dxa"/>
              <w:right w:w="108" w:type="dxa"/>
            </w:tcMar>
          </w:tcPr>
          <w:p>
            <w:pPr>
              <w:spacing w:after="0" w:line="254" w:lineRule="auto"/>
            </w:pPr>
            <w:r>
              <w:rPr>
                <w:rFonts w:ascii="Nimbus Sans" w:hAnsi="Nimbus Sans"/>
                <w:sz w:val="17"/>
              </w:rPr>
              <w:t>E06  Referente técnico</w:t>
            </w:r>
          </w:p>
        </w:tc>
        <w:tc>
          <w:tcPr>
            <w:tcW w:type="dxa" w:w="4349"/>
            <w:shd w:fill="F3F6F9"/>
            <w:vAlign w:val="center"/>
            <w:tcBorders>
              <w:top w:val="single" w:sz="5" w:color="D9D9D9"/>
              <w:left w:val="single" w:sz="5" w:color="D9D9D9"/>
              <w:bottom w:val="single" w:sz="5" w:color="D9D9D9"/>
              <w:right w:val="single" w:sz="5" w:color="D9D9D9"/>
            </w:tcBorders>
            <w:tcMar>
              <w:top w:w="85" w:type="dxa"/>
              <w:bottom w:w="85" w:type="dxa"/>
              <w:left w:w="108" w:type="dxa"/>
              <w:right w:w="108" w:type="dxa"/>
            </w:tcMar>
          </w:tcPr>
          <w:p>
            <w:pPr>
              <w:spacing w:after="0" w:line="254" w:lineRule="auto"/>
            </w:pPr>
            <w:r>
              <w:rPr>
                <w:rFonts w:ascii="Nimbus Sans" w:hAnsi="Nimbus Sans"/>
                <w:sz w:val="17"/>
              </w:rPr>
              <w:t>Posible responsable institucional de acceso, datos y despliegue; por identificar.</w:t>
            </w:r>
          </w:p>
        </w:tc>
        <w:tc>
          <w:tcPr>
            <w:tcW w:type="dxa" w:w="1426"/>
            <w:shd w:fill="F3F6F9"/>
            <w:vAlign w:val="center"/>
            <w:tcBorders>
              <w:top w:val="single" w:sz="5" w:color="D9D9D9"/>
              <w:left w:val="single" w:sz="5" w:color="D9D9D9"/>
              <w:bottom w:val="single" w:sz="5" w:color="D9D9D9"/>
              <w:right w:val="single" w:sz="5" w:color="D9D9D9"/>
            </w:tcBorders>
            <w:tcMar>
              <w:top w:w="85" w:type="dxa"/>
              <w:bottom w:w="85" w:type="dxa"/>
              <w:left w:w="108" w:type="dxa"/>
              <w:right w:w="108" w:type="dxa"/>
            </w:tcMar>
          </w:tcPr>
          <w:p>
            <w:pPr>
              <w:spacing w:after="0" w:line="254" w:lineRule="auto"/>
            </w:pPr>
            <w:r>
              <w:rPr>
                <w:rFonts w:ascii="Nimbus Sans" w:hAnsi="Nimbus Sans"/>
                <w:sz w:val="17"/>
              </w:rPr>
              <w:t>Medio</w:t>
            </w:r>
          </w:p>
        </w:tc>
        <w:tc>
          <w:tcPr>
            <w:tcW w:type="dxa" w:w="1541"/>
            <w:shd w:fill="F3F6F9"/>
            <w:vAlign w:val="center"/>
            <w:tcBorders>
              <w:top w:val="single" w:sz="5" w:color="D9D9D9"/>
              <w:left w:val="single" w:sz="5" w:color="D9D9D9"/>
              <w:bottom w:val="single" w:sz="5" w:color="D9D9D9"/>
              <w:right w:val="single" w:sz="5" w:color="D9D9D9"/>
            </w:tcBorders>
            <w:tcMar>
              <w:top w:w="85" w:type="dxa"/>
              <w:bottom w:w="85" w:type="dxa"/>
              <w:left w:w="108" w:type="dxa"/>
              <w:right w:w="108" w:type="dxa"/>
            </w:tcMar>
          </w:tcPr>
          <w:p>
            <w:pPr>
              <w:spacing w:after="0" w:line="254" w:lineRule="auto"/>
            </w:pPr>
            <w:r>
              <w:rPr>
                <w:rFonts w:ascii="Nimbus Sans" w:hAnsi="Nimbus Sans"/>
                <w:sz w:val="17"/>
              </w:rPr>
              <w:t>Medio</w:t>
            </w:r>
          </w:p>
        </w:tc>
      </w:tr>
      <w:tr>
        <w:trPr>
          <w:cantSplit/>
        </w:trPr>
        <w:tc>
          <w:tcPr>
            <w:tcW w:type="dxa" w:w="2477"/>
            <w:vAlign w:val="center"/>
            <w:tcBorders>
              <w:top w:val="single" w:sz="5" w:color="D9D9D9"/>
              <w:left w:val="single" w:sz="5" w:color="D9D9D9"/>
              <w:bottom w:val="single" w:sz="5" w:color="D9D9D9"/>
              <w:right w:val="single" w:sz="5" w:color="D9D9D9"/>
            </w:tcBorders>
            <w:tcMar>
              <w:top w:w="85" w:type="dxa"/>
              <w:bottom w:w="85" w:type="dxa"/>
              <w:left w:w="108" w:type="dxa"/>
              <w:right w:w="108" w:type="dxa"/>
            </w:tcMar>
          </w:tcPr>
          <w:p>
            <w:pPr>
              <w:spacing w:after="0" w:line="254" w:lineRule="auto"/>
            </w:pPr>
            <w:r>
              <w:rPr>
                <w:rFonts w:ascii="Nimbus Sans" w:hAnsi="Nimbus Sans"/>
                <w:sz w:val="17"/>
              </w:rPr>
              <w:t>E07  Referente Academusoft</w:t>
            </w:r>
          </w:p>
        </w:tc>
        <w:tc>
          <w:tcPr>
            <w:tcW w:type="dxa" w:w="4349"/>
            <w:vAlign w:val="center"/>
            <w:tcBorders>
              <w:top w:val="single" w:sz="5" w:color="D9D9D9"/>
              <w:left w:val="single" w:sz="5" w:color="D9D9D9"/>
              <w:bottom w:val="single" w:sz="5" w:color="D9D9D9"/>
              <w:right w:val="single" w:sz="5" w:color="D9D9D9"/>
            </w:tcBorders>
            <w:tcMar>
              <w:top w:w="85" w:type="dxa"/>
              <w:bottom w:w="85" w:type="dxa"/>
              <w:left w:w="108" w:type="dxa"/>
              <w:right w:w="108" w:type="dxa"/>
            </w:tcMar>
          </w:tcPr>
          <w:p>
            <w:pPr>
              <w:spacing w:after="0" w:line="254" w:lineRule="auto"/>
            </w:pPr>
            <w:r>
              <w:rPr>
                <w:rFonts w:ascii="Nimbus Sans" w:hAnsi="Nimbus Sans"/>
                <w:sz w:val="17"/>
              </w:rPr>
              <w:t>Posible conocedor del formato y la carga del Excel; por identificar.</w:t>
            </w:r>
          </w:p>
        </w:tc>
        <w:tc>
          <w:tcPr>
            <w:tcW w:type="dxa" w:w="1426"/>
            <w:vAlign w:val="center"/>
            <w:tcBorders>
              <w:top w:val="single" w:sz="5" w:color="D9D9D9"/>
              <w:left w:val="single" w:sz="5" w:color="D9D9D9"/>
              <w:bottom w:val="single" w:sz="5" w:color="D9D9D9"/>
              <w:right w:val="single" w:sz="5" w:color="D9D9D9"/>
            </w:tcBorders>
            <w:tcMar>
              <w:top w:w="85" w:type="dxa"/>
              <w:bottom w:w="85" w:type="dxa"/>
              <w:left w:w="108" w:type="dxa"/>
              <w:right w:w="108" w:type="dxa"/>
            </w:tcMar>
          </w:tcPr>
          <w:p>
            <w:pPr>
              <w:spacing w:after="0" w:line="254" w:lineRule="auto"/>
            </w:pPr>
            <w:r>
              <w:rPr>
                <w:rFonts w:ascii="Nimbus Sans" w:hAnsi="Nimbus Sans"/>
                <w:sz w:val="17"/>
              </w:rPr>
              <w:t>Alto</w:t>
            </w:r>
          </w:p>
        </w:tc>
        <w:tc>
          <w:tcPr>
            <w:tcW w:type="dxa" w:w="1541"/>
            <w:vAlign w:val="center"/>
            <w:tcBorders>
              <w:top w:val="single" w:sz="5" w:color="D9D9D9"/>
              <w:left w:val="single" w:sz="5" w:color="D9D9D9"/>
              <w:bottom w:val="single" w:sz="5" w:color="D9D9D9"/>
              <w:right w:val="single" w:sz="5" w:color="D9D9D9"/>
            </w:tcBorders>
            <w:tcMar>
              <w:top w:w="85" w:type="dxa"/>
              <w:bottom w:w="85" w:type="dxa"/>
              <w:left w:w="108" w:type="dxa"/>
              <w:right w:w="108" w:type="dxa"/>
            </w:tcMar>
          </w:tcPr>
          <w:p>
            <w:pPr>
              <w:spacing w:after="0" w:line="254" w:lineRule="auto"/>
            </w:pPr>
            <w:r>
              <w:rPr>
                <w:rFonts w:ascii="Nimbus Sans" w:hAnsi="Nimbus Sans"/>
                <w:sz w:val="17"/>
              </w:rPr>
              <w:t>Medio</w:t>
            </w:r>
          </w:p>
        </w:tc>
      </w:tr>
      <w:tr>
        <w:trPr>
          <w:cantSplit/>
        </w:trPr>
        <w:tc>
          <w:tcPr>
            <w:tcW w:type="dxa" w:w="2477"/>
            <w:shd w:fill="F3F6F9"/>
            <w:vAlign w:val="center"/>
            <w:tcBorders>
              <w:top w:val="single" w:sz="5" w:color="D9D9D9"/>
              <w:left w:val="single" w:sz="5" w:color="D9D9D9"/>
              <w:bottom w:val="single" w:sz="5" w:color="D9D9D9"/>
              <w:right w:val="single" w:sz="5" w:color="D9D9D9"/>
            </w:tcBorders>
            <w:tcMar>
              <w:top w:w="85" w:type="dxa"/>
              <w:bottom w:w="85" w:type="dxa"/>
              <w:left w:w="108" w:type="dxa"/>
              <w:right w:w="108" w:type="dxa"/>
            </w:tcMar>
          </w:tcPr>
          <w:p>
            <w:pPr>
              <w:spacing w:after="0" w:line="254" w:lineRule="auto"/>
            </w:pPr>
            <w:r>
              <w:rPr>
                <w:rFonts w:ascii="Nimbus Sans" w:hAnsi="Nimbus Sans"/>
                <w:sz w:val="17"/>
              </w:rPr>
              <w:t>E08  Equipo UniPlan</w:t>
            </w:r>
          </w:p>
        </w:tc>
        <w:tc>
          <w:tcPr>
            <w:tcW w:type="dxa" w:w="4349"/>
            <w:shd w:fill="F3F6F9"/>
            <w:vAlign w:val="center"/>
            <w:tcBorders>
              <w:top w:val="single" w:sz="5" w:color="D9D9D9"/>
              <w:left w:val="single" w:sz="5" w:color="D9D9D9"/>
              <w:bottom w:val="single" w:sz="5" w:color="D9D9D9"/>
              <w:right w:val="single" w:sz="5" w:color="D9D9D9"/>
            </w:tcBorders>
            <w:tcMar>
              <w:top w:w="85" w:type="dxa"/>
              <w:bottom w:w="85" w:type="dxa"/>
              <w:left w:w="108" w:type="dxa"/>
              <w:right w:w="108" w:type="dxa"/>
            </w:tcMar>
          </w:tcPr>
          <w:p>
            <w:pPr>
              <w:spacing w:after="0" w:line="254" w:lineRule="auto"/>
            </w:pPr>
            <w:r>
              <w:rPr>
                <w:rFonts w:ascii="Nimbus Sans" w:hAnsi="Nimbus Sans"/>
                <w:sz w:val="17"/>
              </w:rPr>
              <w:t>Maximiliano Guzmán e Ivan Tobar; desarrollan y gestionan el backlog.</w:t>
            </w:r>
          </w:p>
        </w:tc>
        <w:tc>
          <w:tcPr>
            <w:tcW w:type="dxa" w:w="1426"/>
            <w:shd w:fill="F3F6F9"/>
            <w:vAlign w:val="center"/>
            <w:tcBorders>
              <w:top w:val="single" w:sz="5" w:color="D9D9D9"/>
              <w:left w:val="single" w:sz="5" w:color="D9D9D9"/>
              <w:bottom w:val="single" w:sz="5" w:color="D9D9D9"/>
              <w:right w:val="single" w:sz="5" w:color="D9D9D9"/>
            </w:tcBorders>
            <w:tcMar>
              <w:top w:w="85" w:type="dxa"/>
              <w:bottom w:w="85" w:type="dxa"/>
              <w:left w:w="108" w:type="dxa"/>
              <w:right w:w="108" w:type="dxa"/>
            </w:tcMar>
          </w:tcPr>
          <w:p>
            <w:pPr>
              <w:spacing w:after="0" w:line="254" w:lineRule="auto"/>
            </w:pPr>
            <w:r>
              <w:rPr>
                <w:rFonts w:ascii="Nimbus Sans" w:hAnsi="Nimbus Sans"/>
                <w:sz w:val="17"/>
              </w:rPr>
              <w:t>Alto</w:t>
            </w:r>
          </w:p>
        </w:tc>
        <w:tc>
          <w:tcPr>
            <w:tcW w:type="dxa" w:w="1541"/>
            <w:shd w:fill="F3F6F9"/>
            <w:vAlign w:val="center"/>
            <w:tcBorders>
              <w:top w:val="single" w:sz="5" w:color="D9D9D9"/>
              <w:left w:val="single" w:sz="5" w:color="D9D9D9"/>
              <w:bottom w:val="single" w:sz="5" w:color="D9D9D9"/>
              <w:right w:val="single" w:sz="5" w:color="D9D9D9"/>
            </w:tcBorders>
            <w:tcMar>
              <w:top w:w="85" w:type="dxa"/>
              <w:bottom w:w="85" w:type="dxa"/>
              <w:left w:w="108" w:type="dxa"/>
              <w:right w:w="108" w:type="dxa"/>
            </w:tcMar>
          </w:tcPr>
          <w:p>
            <w:pPr>
              <w:spacing w:after="0" w:line="254" w:lineRule="auto"/>
            </w:pPr>
            <w:r>
              <w:rPr>
                <w:rFonts w:ascii="Nimbus Sans" w:hAnsi="Nimbus Sans"/>
                <w:sz w:val="17"/>
              </w:rPr>
              <w:t>Alto</w:t>
            </w:r>
          </w:p>
        </w:tc>
      </w:tr>
      <w:tr>
        <w:trPr>
          <w:cantSplit/>
        </w:trPr>
        <w:tc>
          <w:tcPr>
            <w:tcW w:type="dxa" w:w="2477"/>
            <w:vAlign w:val="center"/>
            <w:tcBorders>
              <w:top w:val="single" w:sz="5" w:color="D9D9D9"/>
              <w:left w:val="single" w:sz="5" w:color="D9D9D9"/>
              <w:bottom w:val="single" w:sz="5" w:color="D9D9D9"/>
              <w:right w:val="single" w:sz="5" w:color="D9D9D9"/>
            </w:tcBorders>
            <w:tcMar>
              <w:top w:w="85" w:type="dxa"/>
              <w:bottom w:w="85" w:type="dxa"/>
              <w:left w:w="108" w:type="dxa"/>
              <w:right w:w="108" w:type="dxa"/>
            </w:tcMar>
          </w:tcPr>
          <w:p>
            <w:pPr>
              <w:spacing w:after="0" w:line="254" w:lineRule="auto"/>
            </w:pPr>
            <w:r>
              <w:rPr>
                <w:rFonts w:ascii="Nimbus Sans" w:hAnsi="Nimbus Sans"/>
                <w:sz w:val="17"/>
              </w:rPr>
              <w:t>E09  Docencia Capstone</w:t>
            </w:r>
          </w:p>
        </w:tc>
        <w:tc>
          <w:tcPr>
            <w:tcW w:type="dxa" w:w="4349"/>
            <w:vAlign w:val="center"/>
            <w:tcBorders>
              <w:top w:val="single" w:sz="5" w:color="D9D9D9"/>
              <w:left w:val="single" w:sz="5" w:color="D9D9D9"/>
              <w:bottom w:val="single" w:sz="5" w:color="D9D9D9"/>
              <w:right w:val="single" w:sz="5" w:color="D9D9D9"/>
            </w:tcBorders>
            <w:tcMar>
              <w:top w:w="85" w:type="dxa"/>
              <w:bottom w:w="85" w:type="dxa"/>
              <w:left w:w="108" w:type="dxa"/>
              <w:right w:w="108" w:type="dxa"/>
            </w:tcMar>
          </w:tcPr>
          <w:p>
            <w:pPr>
              <w:spacing w:after="0" w:line="254" w:lineRule="auto"/>
            </w:pPr>
            <w:r>
              <w:rPr>
                <w:rFonts w:ascii="Nimbus Sans" w:hAnsi="Nimbus Sans"/>
                <w:sz w:val="17"/>
              </w:rPr>
              <w:t>Revisa avances y artefactos académicos del proyecto.</w:t>
            </w:r>
          </w:p>
        </w:tc>
        <w:tc>
          <w:tcPr>
            <w:tcW w:type="dxa" w:w="1426"/>
            <w:vAlign w:val="center"/>
            <w:tcBorders>
              <w:top w:val="single" w:sz="5" w:color="D9D9D9"/>
              <w:left w:val="single" w:sz="5" w:color="D9D9D9"/>
              <w:bottom w:val="single" w:sz="5" w:color="D9D9D9"/>
              <w:right w:val="single" w:sz="5" w:color="D9D9D9"/>
            </w:tcBorders>
            <w:tcMar>
              <w:top w:w="85" w:type="dxa"/>
              <w:bottom w:w="85" w:type="dxa"/>
              <w:left w:w="108" w:type="dxa"/>
              <w:right w:w="108" w:type="dxa"/>
            </w:tcMar>
          </w:tcPr>
          <w:p>
            <w:pPr>
              <w:spacing w:after="0" w:line="254" w:lineRule="auto"/>
            </w:pPr>
            <w:r>
              <w:rPr>
                <w:rFonts w:ascii="Nimbus Sans" w:hAnsi="Nimbus Sans"/>
                <w:sz w:val="17"/>
              </w:rPr>
              <w:t>Alto</w:t>
            </w:r>
          </w:p>
        </w:tc>
        <w:tc>
          <w:tcPr>
            <w:tcW w:type="dxa" w:w="1541"/>
            <w:vAlign w:val="center"/>
            <w:tcBorders>
              <w:top w:val="single" w:sz="5" w:color="D9D9D9"/>
              <w:left w:val="single" w:sz="5" w:color="D9D9D9"/>
              <w:bottom w:val="single" w:sz="5" w:color="D9D9D9"/>
              <w:right w:val="single" w:sz="5" w:color="D9D9D9"/>
            </w:tcBorders>
            <w:tcMar>
              <w:top w:w="85" w:type="dxa"/>
              <w:bottom w:w="85" w:type="dxa"/>
              <w:left w:w="108" w:type="dxa"/>
              <w:right w:w="108" w:type="dxa"/>
            </w:tcMar>
          </w:tcPr>
          <w:p>
            <w:pPr>
              <w:spacing w:after="0" w:line="254" w:lineRule="auto"/>
            </w:pPr>
            <w:r>
              <w:rPr>
                <w:rFonts w:ascii="Nimbus Sans" w:hAnsi="Nimbus Sans"/>
                <w:sz w:val="17"/>
              </w:rPr>
              <w:t>Medio</w:t>
            </w:r>
          </w:p>
        </w:tc>
      </w:tr>
      <w:tr>
        <w:trPr>
          <w:cantSplit/>
        </w:trPr>
        <w:tc>
          <w:tcPr>
            <w:tcW w:type="dxa" w:w="2477"/>
            <w:shd w:fill="F3F6F9"/>
            <w:vAlign w:val="center"/>
            <w:tcBorders>
              <w:top w:val="single" w:sz="5" w:color="D9D9D9"/>
              <w:left w:val="single" w:sz="5" w:color="D9D9D9"/>
              <w:bottom w:val="single" w:sz="5" w:color="D9D9D9"/>
              <w:right w:val="single" w:sz="5" w:color="D9D9D9"/>
            </w:tcBorders>
            <w:tcMar>
              <w:top w:w="85" w:type="dxa"/>
              <w:bottom w:w="85" w:type="dxa"/>
              <w:left w:w="108" w:type="dxa"/>
              <w:right w:w="108" w:type="dxa"/>
            </w:tcMar>
          </w:tcPr>
          <w:p>
            <w:pPr>
              <w:spacing w:after="0" w:line="254" w:lineRule="auto"/>
            </w:pPr>
            <w:r>
              <w:rPr>
                <w:rFonts w:ascii="Nimbus Sans" w:hAnsi="Nimbus Sans"/>
                <w:sz w:val="17"/>
              </w:rPr>
              <w:t>E10  Estudiantes</w:t>
            </w:r>
          </w:p>
        </w:tc>
        <w:tc>
          <w:tcPr>
            <w:tcW w:type="dxa" w:w="4349"/>
            <w:shd w:fill="F3F6F9"/>
            <w:vAlign w:val="center"/>
            <w:tcBorders>
              <w:top w:val="single" w:sz="5" w:color="D9D9D9"/>
              <w:left w:val="single" w:sz="5" w:color="D9D9D9"/>
              <w:bottom w:val="single" w:sz="5" w:color="D9D9D9"/>
              <w:right w:val="single" w:sz="5" w:color="D9D9D9"/>
            </w:tcBorders>
            <w:tcMar>
              <w:top w:w="85" w:type="dxa"/>
              <w:bottom w:w="85" w:type="dxa"/>
              <w:left w:w="108" w:type="dxa"/>
              <w:right w:w="108" w:type="dxa"/>
            </w:tcMar>
          </w:tcPr>
          <w:p>
            <w:pPr>
              <w:spacing w:after="0" w:line="254" w:lineRule="auto"/>
            </w:pPr>
            <w:r>
              <w:rPr>
                <w:rFonts w:ascii="Nimbus Sans" w:hAnsi="Nimbus Sans"/>
                <w:sz w:val="17"/>
              </w:rPr>
              <w:t>Reciben el efecto de la planificación; no son usuarios previstos del producto.</w:t>
            </w:r>
          </w:p>
        </w:tc>
        <w:tc>
          <w:tcPr>
            <w:tcW w:type="dxa" w:w="1426"/>
            <w:shd w:fill="F3F6F9"/>
            <w:vAlign w:val="center"/>
            <w:tcBorders>
              <w:top w:val="single" w:sz="5" w:color="D9D9D9"/>
              <w:left w:val="single" w:sz="5" w:color="D9D9D9"/>
              <w:bottom w:val="single" w:sz="5" w:color="D9D9D9"/>
              <w:right w:val="single" w:sz="5" w:color="D9D9D9"/>
            </w:tcBorders>
            <w:tcMar>
              <w:top w:w="85" w:type="dxa"/>
              <w:bottom w:w="85" w:type="dxa"/>
              <w:left w:w="108" w:type="dxa"/>
              <w:right w:w="108" w:type="dxa"/>
            </w:tcMar>
          </w:tcPr>
          <w:p>
            <w:pPr>
              <w:spacing w:after="0" w:line="254" w:lineRule="auto"/>
            </w:pPr>
            <w:r>
              <w:rPr>
                <w:rFonts w:ascii="Nimbus Sans" w:hAnsi="Nimbus Sans"/>
                <w:sz w:val="17"/>
              </w:rPr>
              <w:t>Medio</w:t>
            </w:r>
          </w:p>
        </w:tc>
        <w:tc>
          <w:tcPr>
            <w:tcW w:type="dxa" w:w="1541"/>
            <w:shd w:fill="F3F6F9"/>
            <w:vAlign w:val="center"/>
            <w:tcBorders>
              <w:top w:val="single" w:sz="5" w:color="D9D9D9"/>
              <w:left w:val="single" w:sz="5" w:color="D9D9D9"/>
              <w:bottom w:val="single" w:sz="5" w:color="D9D9D9"/>
              <w:right w:val="single" w:sz="5" w:color="D9D9D9"/>
            </w:tcBorders>
            <w:tcMar>
              <w:top w:w="85" w:type="dxa"/>
              <w:bottom w:w="85" w:type="dxa"/>
              <w:left w:w="108" w:type="dxa"/>
              <w:right w:w="108" w:type="dxa"/>
            </w:tcMar>
          </w:tcPr>
          <w:p>
            <w:pPr>
              <w:spacing w:after="0" w:line="254" w:lineRule="auto"/>
            </w:pPr>
            <w:r>
              <w:rPr>
                <w:rFonts w:ascii="Nimbus Sans" w:hAnsi="Nimbus Sans"/>
                <w:sz w:val="17"/>
              </w:rPr>
              <w:t>Bajo</w:t>
            </w:r>
          </w:p>
        </w:tc>
      </w:tr>
    </w:tbl>
    <w:p>
      <w:pPr>
        <w:spacing w:after="0"/>
      </w:pPr>
    </w:p>
    <w:p>
      <w:pPr>
        <w:pStyle w:val="Heading1"/>
      </w:pPr>
      <w:r>
        <w:t>Expectativas y estrategia de involucramiento</w:t>
      </w:r>
    </w:p>
    <w:p>
      <w:pPr>
        <w:keepLines/>
      </w:pPr>
      <w:r>
        <w:t>Las expectativas y estrategias siguientes son propuestas, no compromisos asumidos por UNICARIBE. Por ahora, el equipo solo puede canalizar consultas mediante el contacto informático conocido. Su vínculo externo no implica facultad para aprobar requisitos, entregar datos o representar formalmente a la universidad.</w:t>
      </w:r>
    </w:p>
    <w:tbl>
      <w:tblPr>
        <w:tblW w:type="auto" w:w="0"/>
        <w:jc w:val="center"/>
        <w:tblLayout w:type="fixed"/>
        <w:tblLook w:firstColumn="1" w:firstRow="1" w:lastColumn="0" w:lastRow="0" w:noHBand="0" w:noVBand="1" w:val="04A0"/>
      </w:tblPr>
      <w:tblGrid>
        <w:gridCol w:w="2477"/>
        <w:gridCol w:w="3600"/>
        <w:gridCol w:w="3715"/>
      </w:tblGrid>
      <w:tr>
        <w:trPr>
          <w:tblHeader w:val="true"/>
        </w:trPr>
        <w:tc>
          <w:tcPr>
            <w:tcW w:type="dxa" w:w="3264"/>
            <w:shd w:fill="243247"/>
            <w:vAlign w:val="center"/>
            <w:tcBorders>
              <w:top w:val="single" w:sz="5" w:color="D9D9D9"/>
              <w:left w:val="single" w:sz="5" w:color="D9D9D9"/>
              <w:bottom w:val="single" w:sz="5" w:color="D9D9D9"/>
              <w:right w:val="single" w:sz="5" w:color="D9D9D9"/>
            </w:tcBorders>
            <w:tcMar>
              <w:top w:w="85" w:type="dxa"/>
              <w:bottom w:w="85" w:type="dxa"/>
              <w:left w:w="108" w:type="dxa"/>
              <w:right w:w="108" w:type="dxa"/>
            </w:tcMar>
          </w:tcPr>
          <w:p>
            <w:pPr>
              <w:spacing w:after="0" w:line="254" w:lineRule="auto"/>
            </w:pPr>
            <w:r>
              <w:rPr>
                <w:rFonts w:ascii="Nimbus Sans" w:hAnsi="Nimbus Sans"/>
                <w:b/>
                <w:color w:val="FFFFFF"/>
                <w:sz w:val="17"/>
              </w:rPr>
              <w:t>Nombre</w:t>
            </w:r>
          </w:p>
        </w:tc>
        <w:tc>
          <w:tcPr>
            <w:tcW w:type="dxa" w:w="3264"/>
            <w:shd w:fill="243247"/>
            <w:vAlign w:val="center"/>
            <w:tcBorders>
              <w:top w:val="single" w:sz="5" w:color="D9D9D9"/>
              <w:left w:val="single" w:sz="5" w:color="D9D9D9"/>
              <w:bottom w:val="single" w:sz="5" w:color="D9D9D9"/>
              <w:right w:val="single" w:sz="5" w:color="D9D9D9"/>
            </w:tcBorders>
            <w:tcMar>
              <w:top w:w="85" w:type="dxa"/>
              <w:bottom w:w="85" w:type="dxa"/>
              <w:left w:w="108" w:type="dxa"/>
              <w:right w:w="108" w:type="dxa"/>
            </w:tcMar>
          </w:tcPr>
          <w:p>
            <w:pPr>
              <w:spacing w:after="0" w:line="254" w:lineRule="auto"/>
            </w:pPr>
            <w:r>
              <w:rPr>
                <w:rFonts w:ascii="Nimbus Sans" w:hAnsi="Nimbus Sans"/>
                <w:b/>
                <w:color w:val="FFFFFF"/>
                <w:sz w:val="17"/>
              </w:rPr>
              <w:t>Expectativas</w:t>
            </w:r>
          </w:p>
        </w:tc>
        <w:tc>
          <w:tcPr>
            <w:tcW w:type="dxa" w:w="3264"/>
            <w:shd w:fill="243247"/>
            <w:vAlign w:val="center"/>
            <w:tcBorders>
              <w:top w:val="single" w:sz="5" w:color="D9D9D9"/>
              <w:left w:val="single" w:sz="5" w:color="D9D9D9"/>
              <w:bottom w:val="single" w:sz="5" w:color="D9D9D9"/>
              <w:right w:val="single" w:sz="5" w:color="D9D9D9"/>
            </w:tcBorders>
            <w:tcMar>
              <w:top w:w="85" w:type="dxa"/>
              <w:bottom w:w="85" w:type="dxa"/>
              <w:left w:w="108" w:type="dxa"/>
              <w:right w:w="108" w:type="dxa"/>
            </w:tcMar>
          </w:tcPr>
          <w:p>
            <w:pPr>
              <w:spacing w:after="0" w:line="254" w:lineRule="auto"/>
            </w:pPr>
            <w:r>
              <w:rPr>
                <w:rFonts w:ascii="Nimbus Sans" w:hAnsi="Nimbus Sans"/>
                <w:b/>
                <w:color w:val="FFFFFF"/>
                <w:sz w:val="17"/>
              </w:rPr>
              <w:t>Estrategia de involucramiento</w:t>
            </w:r>
          </w:p>
        </w:tc>
      </w:tr>
      <w:tr>
        <w:trPr>
          <w:cantSplit/>
        </w:trPr>
        <w:tc>
          <w:tcPr>
            <w:tcW w:type="dxa" w:w="2477"/>
            <w:vAlign w:val="center"/>
            <w:tcBorders>
              <w:top w:val="single" w:sz="5" w:color="D9D9D9"/>
              <w:left w:val="single" w:sz="5" w:color="D9D9D9"/>
              <w:bottom w:val="single" w:sz="5" w:color="D9D9D9"/>
              <w:right w:val="single" w:sz="5" w:color="D9D9D9"/>
            </w:tcBorders>
            <w:tcMar>
              <w:top w:w="85" w:type="dxa"/>
              <w:bottom w:w="85" w:type="dxa"/>
              <w:left w:w="108" w:type="dxa"/>
              <w:right w:w="108" w:type="dxa"/>
            </w:tcMar>
          </w:tcPr>
          <w:p>
            <w:pPr>
              <w:spacing w:after="0" w:line="254" w:lineRule="auto"/>
            </w:pPr>
            <w:r>
              <w:rPr>
                <w:rFonts w:ascii="Nimbus Sans" w:hAnsi="Nimbus Sans"/>
                <w:sz w:val="17"/>
              </w:rPr>
              <w:t>E01  Informático externo</w:t>
            </w:r>
          </w:p>
        </w:tc>
        <w:tc>
          <w:tcPr>
            <w:tcW w:type="dxa" w:w="3600"/>
            <w:vAlign w:val="center"/>
            <w:tcBorders>
              <w:top w:val="single" w:sz="5" w:color="D9D9D9"/>
              <w:left w:val="single" w:sz="5" w:color="D9D9D9"/>
              <w:bottom w:val="single" w:sz="5" w:color="D9D9D9"/>
              <w:right w:val="single" w:sz="5" w:color="D9D9D9"/>
            </w:tcBorders>
            <w:tcMar>
              <w:top w:w="85" w:type="dxa"/>
              <w:bottom w:w="85" w:type="dxa"/>
              <w:left w:w="108" w:type="dxa"/>
              <w:right w:w="108" w:type="dxa"/>
            </w:tcMar>
          </w:tcPr>
          <w:p>
            <w:pPr>
              <w:spacing w:after="0" w:line="254" w:lineRule="auto"/>
            </w:pPr>
            <w:r>
              <w:rPr>
                <w:rFonts w:ascii="Nimbus Sans" w:hAnsi="Nimbus Sans"/>
                <w:sz w:val="17"/>
              </w:rPr>
              <w:t>Recibir consultas claras y delimitar qué información puede compartir; por validar.</w:t>
            </w:r>
          </w:p>
        </w:tc>
        <w:tc>
          <w:tcPr>
            <w:tcW w:type="dxa" w:w="3715"/>
            <w:vAlign w:val="center"/>
            <w:tcBorders>
              <w:top w:val="single" w:sz="5" w:color="D9D9D9"/>
              <w:left w:val="single" w:sz="5" w:color="D9D9D9"/>
              <w:bottom w:val="single" w:sz="5" w:color="D9D9D9"/>
              <w:right w:val="single" w:sz="5" w:color="D9D9D9"/>
            </w:tcBorders>
            <w:tcMar>
              <w:top w:w="85" w:type="dxa"/>
              <w:bottom w:w="85" w:type="dxa"/>
              <w:left w:w="108" w:type="dxa"/>
              <w:right w:w="108" w:type="dxa"/>
            </w:tcMar>
          </w:tcPr>
          <w:p>
            <w:pPr>
              <w:spacing w:after="0" w:line="254" w:lineRule="auto"/>
            </w:pPr>
            <w:r>
              <w:rPr>
                <w:rFonts w:ascii="Nimbus Sans" w:hAnsi="Nimbus Sans"/>
                <w:sz w:val="17"/>
              </w:rPr>
              <w:t>Consultar el flujo general y pedir orientación sobre los roles adecuados, sin atribuirle capacidad de aprobación.</w:t>
            </w:r>
          </w:p>
        </w:tc>
      </w:tr>
      <w:tr>
        <w:trPr>
          <w:cantSplit/>
        </w:trPr>
        <w:tc>
          <w:tcPr>
            <w:tcW w:type="dxa" w:w="2477"/>
            <w:shd w:fill="F3F6F9"/>
            <w:vAlign w:val="center"/>
            <w:tcBorders>
              <w:top w:val="single" w:sz="5" w:color="D9D9D9"/>
              <w:left w:val="single" w:sz="5" w:color="D9D9D9"/>
              <w:bottom w:val="single" w:sz="5" w:color="D9D9D9"/>
              <w:right w:val="single" w:sz="5" w:color="D9D9D9"/>
            </w:tcBorders>
            <w:tcMar>
              <w:top w:w="85" w:type="dxa"/>
              <w:bottom w:w="85" w:type="dxa"/>
              <w:left w:w="108" w:type="dxa"/>
              <w:right w:w="108" w:type="dxa"/>
            </w:tcMar>
          </w:tcPr>
          <w:p>
            <w:pPr>
              <w:spacing w:after="0" w:line="254" w:lineRule="auto"/>
            </w:pPr>
            <w:r>
              <w:rPr>
                <w:rFonts w:ascii="Nimbus Sans" w:hAnsi="Nimbus Sans"/>
                <w:sz w:val="17"/>
              </w:rPr>
              <w:t>E02  Autoridad UNICARIBE</w:t>
            </w:r>
          </w:p>
        </w:tc>
        <w:tc>
          <w:tcPr>
            <w:tcW w:type="dxa" w:w="3600"/>
            <w:shd w:fill="F3F6F9"/>
            <w:vAlign w:val="center"/>
            <w:tcBorders>
              <w:top w:val="single" w:sz="5" w:color="D9D9D9"/>
              <w:left w:val="single" w:sz="5" w:color="D9D9D9"/>
              <w:bottom w:val="single" w:sz="5" w:color="D9D9D9"/>
              <w:right w:val="single" w:sz="5" w:color="D9D9D9"/>
            </w:tcBorders>
            <w:tcMar>
              <w:top w:w="85" w:type="dxa"/>
              <w:bottom w:w="85" w:type="dxa"/>
              <w:left w:w="108" w:type="dxa"/>
              <w:right w:w="108" w:type="dxa"/>
            </w:tcMar>
          </w:tcPr>
          <w:p>
            <w:pPr>
              <w:spacing w:after="0" w:line="254" w:lineRule="auto"/>
            </w:pPr>
            <w:r>
              <w:rPr>
                <w:rFonts w:ascii="Nimbus Sans" w:hAnsi="Nimbus Sans"/>
                <w:sz w:val="17"/>
              </w:rPr>
              <w:t>Conocer alcance, avances y decisiones institucionales; por validar.</w:t>
            </w:r>
          </w:p>
        </w:tc>
        <w:tc>
          <w:tcPr>
            <w:tcW w:type="dxa" w:w="3715"/>
            <w:shd w:fill="F3F6F9"/>
            <w:vAlign w:val="center"/>
            <w:tcBorders>
              <w:top w:val="single" w:sz="5" w:color="D9D9D9"/>
              <w:left w:val="single" w:sz="5" w:color="D9D9D9"/>
              <w:bottom w:val="single" w:sz="5" w:color="D9D9D9"/>
              <w:right w:val="single" w:sz="5" w:color="D9D9D9"/>
            </w:tcBorders>
            <w:tcMar>
              <w:top w:w="85" w:type="dxa"/>
              <w:bottom w:w="85" w:type="dxa"/>
              <w:left w:w="108" w:type="dxa"/>
              <w:right w:w="108" w:type="dxa"/>
            </w:tcMar>
          </w:tcPr>
          <w:p>
            <w:pPr>
              <w:spacing w:after="0" w:line="254" w:lineRule="auto"/>
            </w:pPr>
            <w:r>
              <w:rPr>
                <w:rFonts w:ascii="Nimbus Sans" w:hAnsi="Nimbus Sans"/>
                <w:sz w:val="17"/>
              </w:rPr>
              <w:t>Solicitar una instancia formal mediante el contacto conocido si resulta viable.</w:t>
            </w:r>
          </w:p>
        </w:tc>
      </w:tr>
      <w:tr>
        <w:trPr>
          <w:cantSplit/>
        </w:trPr>
        <w:tc>
          <w:tcPr>
            <w:tcW w:type="dxa" w:w="2477"/>
            <w:vAlign w:val="center"/>
            <w:tcBorders>
              <w:top w:val="single" w:sz="5" w:color="D9D9D9"/>
              <w:left w:val="single" w:sz="5" w:color="D9D9D9"/>
              <w:bottom w:val="single" w:sz="5" w:color="D9D9D9"/>
              <w:right w:val="single" w:sz="5" w:color="D9D9D9"/>
            </w:tcBorders>
            <w:tcMar>
              <w:top w:w="85" w:type="dxa"/>
              <w:bottom w:w="85" w:type="dxa"/>
              <w:left w:w="108" w:type="dxa"/>
              <w:right w:w="108" w:type="dxa"/>
            </w:tcMar>
          </w:tcPr>
          <w:p>
            <w:pPr>
              <w:spacing w:after="0" w:line="254" w:lineRule="auto"/>
            </w:pPr>
            <w:r>
              <w:rPr>
                <w:rFonts w:ascii="Nimbus Sans" w:hAnsi="Nimbus Sans"/>
                <w:sz w:val="17"/>
              </w:rPr>
              <w:t>E03  Personal planificador</w:t>
            </w:r>
          </w:p>
        </w:tc>
        <w:tc>
          <w:tcPr>
            <w:tcW w:type="dxa" w:w="3600"/>
            <w:vAlign w:val="center"/>
            <w:tcBorders>
              <w:top w:val="single" w:sz="5" w:color="D9D9D9"/>
              <w:left w:val="single" w:sz="5" w:color="D9D9D9"/>
              <w:bottom w:val="single" w:sz="5" w:color="D9D9D9"/>
              <w:right w:val="single" w:sz="5" w:color="D9D9D9"/>
            </w:tcBorders>
            <w:tcMar>
              <w:top w:w="85" w:type="dxa"/>
              <w:bottom w:w="85" w:type="dxa"/>
              <w:left w:w="108" w:type="dxa"/>
              <w:right w:w="108" w:type="dxa"/>
            </w:tcMar>
          </w:tcPr>
          <w:p>
            <w:pPr>
              <w:spacing w:after="0" w:line="254" w:lineRule="auto"/>
            </w:pPr>
            <w:r>
              <w:rPr>
                <w:rFonts w:ascii="Nimbus Sans" w:hAnsi="Nimbus Sans"/>
                <w:sz w:val="17"/>
              </w:rPr>
              <w:t>Registrar horarios y detectar conflictos con menos revisión manual; por validar.</w:t>
            </w:r>
          </w:p>
        </w:tc>
        <w:tc>
          <w:tcPr>
            <w:tcW w:type="dxa" w:w="3715"/>
            <w:vAlign w:val="center"/>
            <w:tcBorders>
              <w:top w:val="single" w:sz="5" w:color="D9D9D9"/>
              <w:left w:val="single" w:sz="5" w:color="D9D9D9"/>
              <w:bottom w:val="single" w:sz="5" w:color="D9D9D9"/>
              <w:right w:val="single" w:sz="5" w:color="D9D9D9"/>
            </w:tcBorders>
            <w:tcMar>
              <w:top w:w="85" w:type="dxa"/>
              <w:bottom w:w="85" w:type="dxa"/>
              <w:left w:w="108" w:type="dxa"/>
              <w:right w:w="108" w:type="dxa"/>
            </w:tcMar>
          </w:tcPr>
          <w:p>
            <w:pPr>
              <w:spacing w:after="0" w:line="254" w:lineRule="auto"/>
            </w:pPr>
            <w:r>
              <w:rPr>
                <w:rFonts w:ascii="Nimbus Sans" w:hAnsi="Nimbus Sans"/>
                <w:sz w:val="17"/>
              </w:rPr>
              <w:t>Solicitar acceso a usuarios del proceso y mostrar avances cuando exista autorización.</w:t>
            </w:r>
          </w:p>
        </w:tc>
      </w:tr>
      <w:tr>
        <w:trPr>
          <w:cantSplit/>
        </w:trPr>
        <w:tc>
          <w:tcPr>
            <w:tcW w:type="dxa" w:w="2477"/>
            <w:shd w:fill="F3F6F9"/>
            <w:vAlign w:val="center"/>
            <w:tcBorders>
              <w:top w:val="single" w:sz="5" w:color="D9D9D9"/>
              <w:left w:val="single" w:sz="5" w:color="D9D9D9"/>
              <w:bottom w:val="single" w:sz="5" w:color="D9D9D9"/>
              <w:right w:val="single" w:sz="5" w:color="D9D9D9"/>
            </w:tcBorders>
            <w:tcMar>
              <w:top w:w="85" w:type="dxa"/>
              <w:bottom w:w="85" w:type="dxa"/>
              <w:left w:w="108" w:type="dxa"/>
              <w:right w:w="108" w:type="dxa"/>
            </w:tcMar>
          </w:tcPr>
          <w:p>
            <w:pPr>
              <w:spacing w:after="0" w:line="254" w:lineRule="auto"/>
            </w:pPr>
            <w:r>
              <w:rPr>
                <w:rFonts w:ascii="Nimbus Sans" w:hAnsi="Nimbus Sans"/>
                <w:sz w:val="17"/>
              </w:rPr>
              <w:t>E04  Dirección académica</w:t>
            </w:r>
          </w:p>
        </w:tc>
        <w:tc>
          <w:tcPr>
            <w:tcW w:type="dxa" w:w="3600"/>
            <w:shd w:fill="F3F6F9"/>
            <w:vAlign w:val="center"/>
            <w:tcBorders>
              <w:top w:val="single" w:sz="5" w:color="D9D9D9"/>
              <w:left w:val="single" w:sz="5" w:color="D9D9D9"/>
              <w:bottom w:val="single" w:sz="5" w:color="D9D9D9"/>
              <w:right w:val="single" w:sz="5" w:color="D9D9D9"/>
            </w:tcBorders>
            <w:tcMar>
              <w:top w:w="85" w:type="dxa"/>
              <w:bottom w:w="85" w:type="dxa"/>
              <w:left w:w="108" w:type="dxa"/>
              <w:right w:w="108" w:type="dxa"/>
            </w:tcMar>
          </w:tcPr>
          <w:p>
            <w:pPr>
              <w:spacing w:after="0" w:line="254" w:lineRule="auto"/>
            </w:pPr>
            <w:r>
              <w:rPr>
                <w:rFonts w:ascii="Nimbus Sans" w:hAnsi="Nimbus Sans"/>
                <w:sz w:val="17"/>
              </w:rPr>
              <w:t>Mantener coherencia por centro, sede, facultad, carrera y periodo; por validar.</w:t>
            </w:r>
          </w:p>
        </w:tc>
        <w:tc>
          <w:tcPr>
            <w:tcW w:type="dxa" w:w="3715"/>
            <w:shd w:fill="F3F6F9"/>
            <w:vAlign w:val="center"/>
            <w:tcBorders>
              <w:top w:val="single" w:sz="5" w:color="D9D9D9"/>
              <w:left w:val="single" w:sz="5" w:color="D9D9D9"/>
              <w:bottom w:val="single" w:sz="5" w:color="D9D9D9"/>
              <w:right w:val="single" w:sz="5" w:color="D9D9D9"/>
            </w:tcBorders>
            <w:tcMar>
              <w:top w:w="85" w:type="dxa"/>
              <w:bottom w:w="85" w:type="dxa"/>
              <w:left w:w="108" w:type="dxa"/>
              <w:right w:w="108" w:type="dxa"/>
            </w:tcMar>
          </w:tcPr>
          <w:p>
            <w:pPr>
              <w:spacing w:after="0" w:line="254" w:lineRule="auto"/>
            </w:pPr>
            <w:r>
              <w:rPr>
                <w:rFonts w:ascii="Nimbus Sans" w:hAnsi="Nimbus Sans"/>
                <w:sz w:val="17"/>
              </w:rPr>
              <w:t>Consultar escenarios de planificación mediante el canal institucional que se identifique.</w:t>
            </w:r>
          </w:p>
        </w:tc>
      </w:tr>
      <w:tr>
        <w:trPr>
          <w:cantSplit/>
        </w:trPr>
        <w:tc>
          <w:tcPr>
            <w:tcW w:type="dxa" w:w="2477"/>
            <w:vAlign w:val="center"/>
            <w:tcBorders>
              <w:top w:val="single" w:sz="5" w:color="D9D9D9"/>
              <w:left w:val="single" w:sz="5" w:color="D9D9D9"/>
              <w:bottom w:val="single" w:sz="5" w:color="D9D9D9"/>
              <w:right w:val="single" w:sz="5" w:color="D9D9D9"/>
            </w:tcBorders>
            <w:tcMar>
              <w:top w:w="85" w:type="dxa"/>
              <w:bottom w:w="85" w:type="dxa"/>
              <w:left w:w="108" w:type="dxa"/>
              <w:right w:w="108" w:type="dxa"/>
            </w:tcMar>
          </w:tcPr>
          <w:p>
            <w:pPr>
              <w:spacing w:after="0" w:line="254" w:lineRule="auto"/>
            </w:pPr>
            <w:r>
              <w:rPr>
                <w:rFonts w:ascii="Nimbus Sans" w:hAnsi="Nimbus Sans"/>
                <w:sz w:val="17"/>
              </w:rPr>
              <w:t>E05  Docentes</w:t>
            </w:r>
          </w:p>
        </w:tc>
        <w:tc>
          <w:tcPr>
            <w:tcW w:type="dxa" w:w="3600"/>
            <w:vAlign w:val="center"/>
            <w:tcBorders>
              <w:top w:val="single" w:sz="5" w:color="D9D9D9"/>
              <w:left w:val="single" w:sz="5" w:color="D9D9D9"/>
              <w:bottom w:val="single" w:sz="5" w:color="D9D9D9"/>
              <w:right w:val="single" w:sz="5" w:color="D9D9D9"/>
            </w:tcBorders>
            <w:tcMar>
              <w:top w:w="85" w:type="dxa"/>
              <w:bottom w:w="85" w:type="dxa"/>
              <w:left w:w="108" w:type="dxa"/>
              <w:right w:w="108" w:type="dxa"/>
            </w:tcMar>
          </w:tcPr>
          <w:p>
            <w:pPr>
              <w:spacing w:after="0" w:line="254" w:lineRule="auto"/>
            </w:pPr>
            <w:r>
              <w:rPr>
                <w:rFonts w:ascii="Nimbus Sans" w:hAnsi="Nimbus Sans"/>
                <w:sz w:val="17"/>
              </w:rPr>
              <w:t>Evitar superposiciones y reflejar información correcta de asignación.</w:t>
            </w:r>
          </w:p>
        </w:tc>
        <w:tc>
          <w:tcPr>
            <w:tcW w:type="dxa" w:w="3715"/>
            <w:vAlign w:val="center"/>
            <w:tcBorders>
              <w:top w:val="single" w:sz="5" w:color="D9D9D9"/>
              <w:left w:val="single" w:sz="5" w:color="D9D9D9"/>
              <w:bottom w:val="single" w:sz="5" w:color="D9D9D9"/>
              <w:right w:val="single" w:sz="5" w:color="D9D9D9"/>
            </w:tcBorders>
            <w:tcMar>
              <w:top w:w="85" w:type="dxa"/>
              <w:bottom w:w="85" w:type="dxa"/>
              <w:left w:w="108" w:type="dxa"/>
              <w:right w:w="108" w:type="dxa"/>
            </w:tcMar>
          </w:tcPr>
          <w:p>
            <w:pPr>
              <w:spacing w:after="0" w:line="254" w:lineRule="auto"/>
            </w:pPr>
            <w:r>
              <w:rPr>
                <w:rFonts w:ascii="Nimbus Sans" w:hAnsi="Nimbus Sans"/>
                <w:sz w:val="17"/>
              </w:rPr>
              <w:t>Recoger casos de disponibilidad a través de planificación académica y comprobar conflictos.</w:t>
            </w:r>
          </w:p>
        </w:tc>
      </w:tr>
      <w:tr>
        <w:trPr>
          <w:cantSplit/>
        </w:trPr>
        <w:tc>
          <w:tcPr>
            <w:tcW w:type="dxa" w:w="2477"/>
            <w:shd w:fill="F3F6F9"/>
            <w:vAlign w:val="center"/>
            <w:tcBorders>
              <w:top w:val="single" w:sz="5" w:color="D9D9D9"/>
              <w:left w:val="single" w:sz="5" w:color="D9D9D9"/>
              <w:bottom w:val="single" w:sz="5" w:color="D9D9D9"/>
              <w:right w:val="single" w:sz="5" w:color="D9D9D9"/>
            </w:tcBorders>
            <w:tcMar>
              <w:top w:w="85" w:type="dxa"/>
              <w:bottom w:w="85" w:type="dxa"/>
              <w:left w:w="108" w:type="dxa"/>
              <w:right w:w="108" w:type="dxa"/>
            </w:tcMar>
          </w:tcPr>
          <w:p>
            <w:pPr>
              <w:spacing w:after="0" w:line="254" w:lineRule="auto"/>
            </w:pPr>
            <w:r>
              <w:rPr>
                <w:rFonts w:ascii="Nimbus Sans" w:hAnsi="Nimbus Sans"/>
                <w:sz w:val="17"/>
              </w:rPr>
              <w:t>E06  Referente técnico</w:t>
            </w:r>
          </w:p>
        </w:tc>
        <w:tc>
          <w:tcPr>
            <w:tcW w:type="dxa" w:w="3600"/>
            <w:shd w:fill="F3F6F9"/>
            <w:vAlign w:val="center"/>
            <w:tcBorders>
              <w:top w:val="single" w:sz="5" w:color="D9D9D9"/>
              <w:left w:val="single" w:sz="5" w:color="D9D9D9"/>
              <w:bottom w:val="single" w:sz="5" w:color="D9D9D9"/>
              <w:right w:val="single" w:sz="5" w:color="D9D9D9"/>
            </w:tcBorders>
            <w:tcMar>
              <w:top w:w="85" w:type="dxa"/>
              <w:bottom w:w="85" w:type="dxa"/>
              <w:left w:w="108" w:type="dxa"/>
              <w:right w:w="108" w:type="dxa"/>
            </w:tcMar>
          </w:tcPr>
          <w:p>
            <w:pPr>
              <w:spacing w:after="0" w:line="254" w:lineRule="auto"/>
            </w:pPr>
            <w:r>
              <w:rPr>
                <w:rFonts w:ascii="Nimbus Sans" w:hAnsi="Nimbus Sans"/>
                <w:sz w:val="17"/>
              </w:rPr>
              <w:t>Asegurar acceso apropiado y una operación técnica viable; por validar.</w:t>
            </w:r>
          </w:p>
        </w:tc>
        <w:tc>
          <w:tcPr>
            <w:tcW w:type="dxa" w:w="3715"/>
            <w:shd w:fill="F3F6F9"/>
            <w:vAlign w:val="center"/>
            <w:tcBorders>
              <w:top w:val="single" w:sz="5" w:color="D9D9D9"/>
              <w:left w:val="single" w:sz="5" w:color="D9D9D9"/>
              <w:bottom w:val="single" w:sz="5" w:color="D9D9D9"/>
              <w:right w:val="single" w:sz="5" w:color="D9D9D9"/>
            </w:tcBorders>
            <w:tcMar>
              <w:top w:w="85" w:type="dxa"/>
              <w:bottom w:w="85" w:type="dxa"/>
              <w:left w:w="108" w:type="dxa"/>
              <w:right w:w="108" w:type="dxa"/>
            </w:tcMar>
          </w:tcPr>
          <w:p>
            <w:pPr>
              <w:spacing w:after="0" w:line="254" w:lineRule="auto"/>
            </w:pPr>
            <w:r>
              <w:rPr>
                <w:rFonts w:ascii="Nimbus Sans" w:hAnsi="Nimbus Sans"/>
                <w:sz w:val="17"/>
              </w:rPr>
              <w:t>Identificar responsable y consultar requisitos de seguridad, datos y despliegue si corresponde.</w:t>
            </w:r>
          </w:p>
        </w:tc>
      </w:tr>
      <w:tr>
        <w:trPr>
          <w:cantSplit/>
        </w:trPr>
        <w:tc>
          <w:tcPr>
            <w:tcW w:type="dxa" w:w="2477"/>
            <w:vAlign w:val="center"/>
            <w:tcBorders>
              <w:top w:val="single" w:sz="5" w:color="D9D9D9"/>
              <w:left w:val="single" w:sz="5" w:color="D9D9D9"/>
              <w:bottom w:val="single" w:sz="5" w:color="D9D9D9"/>
              <w:right w:val="single" w:sz="5" w:color="D9D9D9"/>
            </w:tcBorders>
            <w:tcMar>
              <w:top w:w="85" w:type="dxa"/>
              <w:bottom w:w="85" w:type="dxa"/>
              <w:left w:w="108" w:type="dxa"/>
              <w:right w:w="108" w:type="dxa"/>
            </w:tcMar>
          </w:tcPr>
          <w:p>
            <w:pPr>
              <w:spacing w:after="0" w:line="254" w:lineRule="auto"/>
            </w:pPr>
            <w:r>
              <w:rPr>
                <w:rFonts w:ascii="Nimbus Sans" w:hAnsi="Nimbus Sans"/>
                <w:sz w:val="17"/>
              </w:rPr>
              <w:t>E07  Referente Academusoft</w:t>
            </w:r>
          </w:p>
        </w:tc>
        <w:tc>
          <w:tcPr>
            <w:tcW w:type="dxa" w:w="3600"/>
            <w:vAlign w:val="center"/>
            <w:tcBorders>
              <w:top w:val="single" w:sz="5" w:color="D9D9D9"/>
              <w:left w:val="single" w:sz="5" w:color="D9D9D9"/>
              <w:bottom w:val="single" w:sz="5" w:color="D9D9D9"/>
              <w:right w:val="single" w:sz="5" w:color="D9D9D9"/>
            </w:tcBorders>
            <w:tcMar>
              <w:top w:w="85" w:type="dxa"/>
              <w:bottom w:w="85" w:type="dxa"/>
              <w:left w:w="108" w:type="dxa"/>
              <w:right w:w="108" w:type="dxa"/>
            </w:tcMar>
          </w:tcPr>
          <w:p>
            <w:pPr>
              <w:spacing w:after="0" w:line="254" w:lineRule="auto"/>
            </w:pPr>
            <w:r>
              <w:rPr>
                <w:rFonts w:ascii="Nimbus Sans" w:hAnsi="Nimbus Sans"/>
                <w:sz w:val="17"/>
              </w:rPr>
              <w:t>Recibir un archivo con el formato institucional vigente; por validar.</w:t>
            </w:r>
          </w:p>
        </w:tc>
        <w:tc>
          <w:tcPr>
            <w:tcW w:type="dxa" w:w="3715"/>
            <w:vAlign w:val="center"/>
            <w:tcBorders>
              <w:top w:val="single" w:sz="5" w:color="D9D9D9"/>
              <w:left w:val="single" w:sz="5" w:color="D9D9D9"/>
              <w:bottom w:val="single" w:sz="5" w:color="D9D9D9"/>
              <w:right w:val="single" w:sz="5" w:color="D9D9D9"/>
            </w:tcBorders>
            <w:tcMar>
              <w:top w:w="85" w:type="dxa"/>
              <w:bottom w:w="85" w:type="dxa"/>
              <w:left w:w="108" w:type="dxa"/>
              <w:right w:w="108" w:type="dxa"/>
            </w:tcMar>
          </w:tcPr>
          <w:p>
            <w:pPr>
              <w:spacing w:after="0" w:line="254" w:lineRule="auto"/>
            </w:pPr>
            <w:r>
              <w:rPr>
                <w:rFonts w:ascii="Nimbus Sans" w:hAnsi="Nimbus Sans"/>
                <w:sz w:val="17"/>
              </w:rPr>
              <w:t>Pedir un ejemplo autorizado y confirmar el formato con quien gestione la carga.</w:t>
            </w:r>
          </w:p>
        </w:tc>
      </w:tr>
      <w:tr>
        <w:trPr>
          <w:cantSplit/>
        </w:trPr>
        <w:tc>
          <w:tcPr>
            <w:tcW w:type="dxa" w:w="2477"/>
            <w:shd w:fill="F3F6F9"/>
            <w:vAlign w:val="center"/>
            <w:tcBorders>
              <w:top w:val="single" w:sz="5" w:color="D9D9D9"/>
              <w:left w:val="single" w:sz="5" w:color="D9D9D9"/>
              <w:bottom w:val="single" w:sz="5" w:color="D9D9D9"/>
              <w:right w:val="single" w:sz="5" w:color="D9D9D9"/>
            </w:tcBorders>
            <w:tcMar>
              <w:top w:w="85" w:type="dxa"/>
              <w:bottom w:w="85" w:type="dxa"/>
              <w:left w:w="108" w:type="dxa"/>
              <w:right w:w="108" w:type="dxa"/>
            </w:tcMar>
          </w:tcPr>
          <w:p>
            <w:pPr>
              <w:spacing w:after="0" w:line="254" w:lineRule="auto"/>
            </w:pPr>
            <w:r>
              <w:rPr>
                <w:rFonts w:ascii="Nimbus Sans" w:hAnsi="Nimbus Sans"/>
                <w:sz w:val="17"/>
              </w:rPr>
              <w:t>E08  Equipo UniPlan</w:t>
            </w:r>
          </w:p>
        </w:tc>
        <w:tc>
          <w:tcPr>
            <w:tcW w:type="dxa" w:w="3600"/>
            <w:shd w:fill="F3F6F9"/>
            <w:vAlign w:val="center"/>
            <w:tcBorders>
              <w:top w:val="single" w:sz="5" w:color="D9D9D9"/>
              <w:left w:val="single" w:sz="5" w:color="D9D9D9"/>
              <w:bottom w:val="single" w:sz="5" w:color="D9D9D9"/>
              <w:right w:val="single" w:sz="5" w:color="D9D9D9"/>
            </w:tcBorders>
            <w:tcMar>
              <w:top w:w="85" w:type="dxa"/>
              <w:bottom w:w="85" w:type="dxa"/>
              <w:left w:w="108" w:type="dxa"/>
              <w:right w:w="108" w:type="dxa"/>
            </w:tcMar>
          </w:tcPr>
          <w:p>
            <w:pPr>
              <w:spacing w:after="0" w:line="254" w:lineRule="auto"/>
            </w:pPr>
            <w:r>
              <w:rPr>
                <w:rFonts w:ascii="Nimbus Sans" w:hAnsi="Nimbus Sans"/>
                <w:sz w:val="17"/>
              </w:rPr>
              <w:t>Contar con prioridades claras, decisiones registradas y tareas realizables.</w:t>
            </w:r>
          </w:p>
        </w:tc>
        <w:tc>
          <w:tcPr>
            <w:tcW w:type="dxa" w:w="3715"/>
            <w:shd w:fill="F3F6F9"/>
            <w:vAlign w:val="center"/>
            <w:tcBorders>
              <w:top w:val="single" w:sz="5" w:color="D9D9D9"/>
              <w:left w:val="single" w:sz="5" w:color="D9D9D9"/>
              <w:bottom w:val="single" w:sz="5" w:color="D9D9D9"/>
              <w:right w:val="single" w:sz="5" w:color="D9D9D9"/>
            </w:tcBorders>
            <w:tcMar>
              <w:top w:w="85" w:type="dxa"/>
              <w:bottom w:w="85" w:type="dxa"/>
              <w:left w:w="108" w:type="dxa"/>
              <w:right w:w="108" w:type="dxa"/>
            </w:tcMar>
          </w:tcPr>
          <w:p>
            <w:pPr>
              <w:spacing w:after="0" w:line="254" w:lineRule="auto"/>
            </w:pPr>
            <w:r>
              <w:rPr>
                <w:rFonts w:ascii="Nimbus Sans" w:hAnsi="Nimbus Sans"/>
                <w:sz w:val="17"/>
              </w:rPr>
              <w:t>Mantener el tablero Kanban y el backlog; revisar bloqueos y acuerdos de forma continua.</w:t>
            </w:r>
          </w:p>
        </w:tc>
      </w:tr>
      <w:tr>
        <w:trPr>
          <w:cantSplit/>
        </w:trPr>
        <w:tc>
          <w:tcPr>
            <w:tcW w:type="dxa" w:w="2477"/>
            <w:vAlign w:val="center"/>
            <w:tcBorders>
              <w:top w:val="single" w:sz="5" w:color="D9D9D9"/>
              <w:left w:val="single" w:sz="5" w:color="D9D9D9"/>
              <w:bottom w:val="single" w:sz="5" w:color="D9D9D9"/>
              <w:right w:val="single" w:sz="5" w:color="D9D9D9"/>
            </w:tcBorders>
            <w:tcMar>
              <w:top w:w="85" w:type="dxa"/>
              <w:bottom w:w="85" w:type="dxa"/>
              <w:left w:w="108" w:type="dxa"/>
              <w:right w:w="108" w:type="dxa"/>
            </w:tcMar>
          </w:tcPr>
          <w:p>
            <w:pPr>
              <w:spacing w:after="0" w:line="254" w:lineRule="auto"/>
            </w:pPr>
            <w:r>
              <w:rPr>
                <w:rFonts w:ascii="Nimbus Sans" w:hAnsi="Nimbus Sans"/>
                <w:sz w:val="17"/>
              </w:rPr>
              <w:t>E09  Docencia Capstone</w:t>
            </w:r>
          </w:p>
        </w:tc>
        <w:tc>
          <w:tcPr>
            <w:tcW w:type="dxa" w:w="3600"/>
            <w:vAlign w:val="center"/>
            <w:tcBorders>
              <w:top w:val="single" w:sz="5" w:color="D9D9D9"/>
              <w:left w:val="single" w:sz="5" w:color="D9D9D9"/>
              <w:bottom w:val="single" w:sz="5" w:color="D9D9D9"/>
              <w:right w:val="single" w:sz="5" w:color="D9D9D9"/>
            </w:tcBorders>
            <w:tcMar>
              <w:top w:w="85" w:type="dxa"/>
              <w:bottom w:w="85" w:type="dxa"/>
              <w:left w:w="108" w:type="dxa"/>
              <w:right w:w="108" w:type="dxa"/>
            </w:tcMar>
          </w:tcPr>
          <w:p>
            <w:pPr>
              <w:spacing w:after="0" w:line="254" w:lineRule="auto"/>
            </w:pPr>
            <w:r>
              <w:rPr>
                <w:rFonts w:ascii="Nimbus Sans" w:hAnsi="Nimbus Sans"/>
                <w:sz w:val="17"/>
              </w:rPr>
              <w:t>Observar progreso y coherencia de artefactos con la pauta.</w:t>
            </w:r>
          </w:p>
        </w:tc>
        <w:tc>
          <w:tcPr>
            <w:tcW w:type="dxa" w:w="3715"/>
            <w:vAlign w:val="center"/>
            <w:tcBorders>
              <w:top w:val="single" w:sz="5" w:color="D9D9D9"/>
              <w:left w:val="single" w:sz="5" w:color="D9D9D9"/>
              <w:bottom w:val="single" w:sz="5" w:color="D9D9D9"/>
              <w:right w:val="single" w:sz="5" w:color="D9D9D9"/>
            </w:tcBorders>
            <w:tcMar>
              <w:top w:w="85" w:type="dxa"/>
              <w:bottom w:w="85" w:type="dxa"/>
              <w:left w:w="108" w:type="dxa"/>
              <w:right w:w="108" w:type="dxa"/>
            </w:tcMar>
          </w:tcPr>
          <w:p>
            <w:pPr>
              <w:spacing w:after="0" w:line="254" w:lineRule="auto"/>
            </w:pPr>
            <w:r>
              <w:rPr>
                <w:rFonts w:ascii="Nimbus Sans" w:hAnsi="Nimbus Sans"/>
                <w:sz w:val="17"/>
              </w:rPr>
              <w:t>Entregar avances documentados y recoger retroalimentación en las instancias académicas.</w:t>
            </w:r>
          </w:p>
        </w:tc>
      </w:tr>
      <w:tr>
        <w:trPr>
          <w:cantSplit/>
        </w:trPr>
        <w:tc>
          <w:tcPr>
            <w:tcW w:type="dxa" w:w="2477"/>
            <w:shd w:fill="F3F6F9"/>
            <w:vAlign w:val="center"/>
            <w:tcBorders>
              <w:top w:val="single" w:sz="5" w:color="D9D9D9"/>
              <w:left w:val="single" w:sz="5" w:color="D9D9D9"/>
              <w:bottom w:val="single" w:sz="5" w:color="D9D9D9"/>
              <w:right w:val="single" w:sz="5" w:color="D9D9D9"/>
            </w:tcBorders>
            <w:tcMar>
              <w:top w:w="85" w:type="dxa"/>
              <w:bottom w:w="85" w:type="dxa"/>
              <w:left w:w="108" w:type="dxa"/>
              <w:right w:w="108" w:type="dxa"/>
            </w:tcMar>
          </w:tcPr>
          <w:p>
            <w:pPr>
              <w:spacing w:after="0" w:line="254" w:lineRule="auto"/>
            </w:pPr>
            <w:r>
              <w:rPr>
                <w:rFonts w:ascii="Nimbus Sans" w:hAnsi="Nimbus Sans"/>
                <w:sz w:val="17"/>
              </w:rPr>
              <w:t>E10  Estudiantes</w:t>
            </w:r>
          </w:p>
        </w:tc>
        <w:tc>
          <w:tcPr>
            <w:tcW w:type="dxa" w:w="3600"/>
            <w:shd w:fill="F3F6F9"/>
            <w:vAlign w:val="center"/>
            <w:tcBorders>
              <w:top w:val="single" w:sz="5" w:color="D9D9D9"/>
              <w:left w:val="single" w:sz="5" w:color="D9D9D9"/>
              <w:bottom w:val="single" w:sz="5" w:color="D9D9D9"/>
              <w:right w:val="single" w:sz="5" w:color="D9D9D9"/>
            </w:tcBorders>
            <w:tcMar>
              <w:top w:w="85" w:type="dxa"/>
              <w:bottom w:w="85" w:type="dxa"/>
              <w:left w:w="108" w:type="dxa"/>
              <w:right w:w="108" w:type="dxa"/>
            </w:tcMar>
          </w:tcPr>
          <w:p>
            <w:pPr>
              <w:spacing w:after="0" w:line="254" w:lineRule="auto"/>
            </w:pPr>
            <w:r>
              <w:rPr>
                <w:rFonts w:ascii="Nimbus Sans" w:hAnsi="Nimbus Sans"/>
                <w:sz w:val="17"/>
              </w:rPr>
              <w:t>Beneficiarse de horarios consistentes cuando la institución los publique.</w:t>
            </w:r>
          </w:p>
        </w:tc>
        <w:tc>
          <w:tcPr>
            <w:tcW w:type="dxa" w:w="3715"/>
            <w:shd w:fill="F3F6F9"/>
            <w:vAlign w:val="center"/>
            <w:tcBorders>
              <w:top w:val="single" w:sz="5" w:color="D9D9D9"/>
              <w:left w:val="single" w:sz="5" w:color="D9D9D9"/>
              <w:bottom w:val="single" w:sz="5" w:color="D9D9D9"/>
              <w:right w:val="single" w:sz="5" w:color="D9D9D9"/>
            </w:tcBorders>
            <w:tcMar>
              <w:top w:w="85" w:type="dxa"/>
              <w:bottom w:w="85" w:type="dxa"/>
              <w:left w:w="108" w:type="dxa"/>
              <w:right w:w="108" w:type="dxa"/>
            </w:tcMar>
          </w:tcPr>
          <w:p>
            <w:pPr>
              <w:spacing w:after="0" w:line="254" w:lineRule="auto"/>
            </w:pPr>
            <w:r>
              <w:rPr>
                <w:rFonts w:ascii="Nimbus Sans" w:hAnsi="Nimbus Sans"/>
                <w:sz w:val="17"/>
              </w:rPr>
              <w:t>Recoger efectos o incidencias mediante el área académica; no se prevé acceso directo a UniPlan.</w:t>
            </w:r>
          </w:p>
        </w:tc>
      </w:tr>
    </w:tbl>
    <w:p>
      <w:pPr>
        <w:spacing w:after="0"/>
      </w:pPr>
    </w:p>
    <w:p>
      <w:pPr>
        <w:pStyle w:val="Heading1"/>
      </w:pPr>
      <w:r>
        <w:t>Seguimiento del registro</w:t>
      </w:r>
    </w:p>
    <w:p>
      <w:pPr>
        <w:keepLines/>
      </w:pPr>
      <w:r>
        <w:t>Se actualizará este registro cuando se confirmen roles, contactos, capacidad de decisión, disponibilidad y formato Excel de Academusoft. Los acuerdos verificables que generen trabajo pasarán al backlog. Hasta entonces, E02–E07 son grupos potenciales sin interlocutor confirmado; el mapa de actores del documento 04 considerará esta limitación.</w:t>
      </w:r>
    </w:p>
    <w:sectPr w:rsidR="00FC693F" w:rsidRPr="0006063C" w:rsidSect="00034616">
      <w:headerReference w:type="default" r:id="rId9"/>
      <w:footerReference w:type="default" r:id="rId10"/>
      <w:pgSz w:w="12240" w:h="15840"/>
      <w:pgMar w:top="979" w:right="1224" w:bottom="950" w:left="1224" w:header="490" w:footer="504"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Nimbus Sans" w:hAnsi="Nimbus Sans"/>
        <w:color w:val="5F656E"/>
        <w:sz w:val="16"/>
      </w:rPr>
      <w:t xml:space="preserve">UniPlan  •  Registro de stakeholders  |  Página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Nimbus Sans" w:hAnsi="Nimbus Sans"/>
        <w:color w:val="4D5765"/>
        <w:sz w:val="16"/>
      </w:rPr>
      <w:t>UNIPLAN  |  DOCUMENTO 03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8" w:lineRule="auto"/>
    </w:pPr>
    <w:rPr>
      <w:rFonts w:ascii="Nimbus Sans" w:hAnsi="Nimbus Sans"/>
      <w:color w:val="191F2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00"/>
      <w:outlineLvl w:val="0"/>
    </w:pPr>
    <w:rPr>
      <w:rFonts w:asciiTheme="majorHAnsi" w:eastAsiaTheme="majorEastAsia" w:hAnsiTheme="majorHAnsi" w:cstheme="majorBidi" w:ascii="Nimbus Sans" w:hAnsi="Nimbus Sans"/>
      <w:b/>
      <w:bCs/>
      <w:color w:val="000000"/>
      <w:sz w:val="23"/>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Nimbus Sans" w:hAnsi="Nimbus Sans"/>
      <w:b/>
      <w:bCs/>
      <w:color w:val="000000"/>
      <w:sz w:val="2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80" w:line="240" w:lineRule="auto" w:before="0"/>
      <w:contextualSpacing/>
    </w:pPr>
    <w:rPr>
      <w:rFonts w:asciiTheme="majorHAnsi" w:eastAsiaTheme="majorEastAsia" w:hAnsiTheme="majorHAnsi" w:cstheme="majorBidi" w:ascii="Nimbus Sans" w:hAnsi="Nimbus Sans"/>
      <w:b/>
      <w:color w:val="000000"/>
      <w:spacing w:val="5"/>
      <w:kern w:val="28"/>
      <w:sz w:val="3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UniPlan Registro de stakeholders</dc:title>
  <dc:subject>Documento 03 del proyecto Capstone UniPlan</dc:subject>
  <dc:creator>python-docx</dc:creator>
  <cp:keywords>Capstone, planificación docente, Kanban, ficha del proyecto</cp:keywords>
  <dc:description>generated by python-docx</dc:description>
  <cp:lastModifiedBy/>
  <cp:revision>1</cp:revision>
  <dcterms:created xsi:type="dcterms:W3CDTF">2013-12-23T23:15:00Z</dcterms:created>
  <dcterms:modified xsi:type="dcterms:W3CDTF">2013-12-23T23:15:00Z</dcterms:modified>
  <cp:category/>
</cp:coreProperties>
</file>