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0"/>
        <w:jc w:val="center"/>
      </w:pPr>
      <w:r>
        <w:rPr>
          <w:rFonts w:ascii="Nimbus Sans" w:hAnsi="Nimbus Sans"/>
          <w:b/>
          <w:color w:val="4D5765"/>
          <w:sz w:val="18"/>
        </w:rPr>
        <w:t>PROYECTO CAPSTONE  |  DOCUMENTO 07</w:t>
      </w:r>
    </w:p>
    <w:p>
      <w:pPr>
        <w:pStyle w:val="Title"/>
        <w:spacing w:before="1460" w:after="0"/>
        <w:jc w:val="center"/>
      </w:pPr>
      <w:r>
        <w:rPr>
          <w:rFonts w:ascii="Nimbus Sans" w:hAnsi="Nimbus Sans"/>
          <w:b/>
          <w:color w:val="000000"/>
          <w:sz w:val="68"/>
        </w:rPr>
        <w:t>UniPlan</w:t>
      </w:r>
    </w:p>
    <w:p>
      <w:pPr>
        <w:spacing w:before="160" w:after="0"/>
        <w:jc w:val="center"/>
      </w:pPr>
      <w:r>
        <w:rPr>
          <w:rFonts w:ascii="Nimbus Sans" w:hAnsi="Nimbus Sans"/>
          <w:b w:val="0"/>
          <w:color w:val="364454"/>
          <w:sz w:val="24"/>
        </w:rPr>
        <w:t>Sistema web de planificación de horarios universitarios</w:t>
      </w:r>
    </w:p>
    <w:p>
      <w:pPr>
        <w:spacing w:before="700" w:after="0"/>
        <w:jc w:val="center"/>
      </w:pPr>
      <w:r>
        <w:rPr>
          <w:rFonts w:ascii="Nimbus Sans" w:hAnsi="Nimbus Sans"/>
          <w:b/>
          <w:color w:val="000000"/>
          <w:sz w:val="30"/>
        </w:rPr>
        <w:t>Product Roadmap</w:t>
      </w:r>
    </w:p>
    <w:p>
      <w:pPr>
        <w:spacing w:before="1820" w:after="100"/>
        <w:jc w:val="center"/>
      </w:pPr>
      <w:r>
        <w:rPr>
          <w:rFonts w:ascii="Nimbus Sans" w:hAnsi="Nimbus Sans"/>
          <w:b/>
          <w:color w:val="4D5765"/>
          <w:sz w:val="18"/>
        </w:rPr>
        <w:t>Integrantes</w:t>
      </w:r>
    </w:p>
    <w:p>
      <w:pPr>
        <w:spacing w:before="0" w:after="0"/>
        <w:jc w:val="center"/>
      </w:pPr>
      <w:r>
        <w:rPr>
          <w:rFonts w:ascii="Nimbus Sans" w:hAnsi="Nimbus Sans"/>
          <w:b w:val="0"/>
          <w:color w:val="000000"/>
          <w:sz w:val="24"/>
        </w:rPr>
        <w:t>Maximiliano Guzmán   ·   Ivan Tobar</w:t>
      </w:r>
    </w:p>
    <w:p>
      <w:pPr>
        <w:spacing w:before="460" w:after="100"/>
        <w:jc w:val="center"/>
      </w:pPr>
      <w:r>
        <w:rPr>
          <w:rFonts w:ascii="Nimbus Sans" w:hAnsi="Nimbus Sans"/>
          <w:b/>
          <w:color w:val="4D5765"/>
          <w:sz w:val="18"/>
        </w:rPr>
        <w:t>Fecha de elaboración</w:t>
      </w:r>
    </w:p>
    <w:p>
      <w:pPr>
        <w:spacing w:before="0" w:after="0"/>
        <w:jc w:val="center"/>
      </w:pPr>
      <w:r>
        <w:rPr>
          <w:rFonts w:ascii="Nimbus Sans" w:hAnsi="Nimbus Sans"/>
          <w:b w:val="0"/>
          <w:color w:val="000000"/>
          <w:sz w:val="24"/>
        </w:rPr>
        <w:t>04-10-2026</w:t>
      </w:r>
    </w:p>
    <w:p>
      <w:pPr>
        <w:spacing w:before="740" w:after="0"/>
        <w:jc w:val="center"/>
      </w:pPr>
      <w:r>
        <w:rPr>
          <w:rFonts w:ascii="Nimbus Sans" w:hAnsi="Nimbus Sans"/>
          <w:b w:val="0"/>
          <w:color w:val="4D5765"/>
          <w:sz w:val="20"/>
        </w:rPr>
        <w:t>Kanban y Backlog</w:t>
      </w:r>
    </w:p>
    <w:p>
      <w:r>
        <w:br w:type="page"/>
      </w:r>
    </w:p>
    <w:p>
      <w:pPr>
        <w:pStyle w:val="Title"/>
      </w:pPr>
      <w:r>
        <w:t>Product Roadmap de UniPlan</w:t>
      </w:r>
    </w:p>
    <w:p>
      <w:pPr>
        <w:keepLines/>
        <w:spacing w:after="160"/>
      </w:pPr>
      <w:r>
        <w:t>UNICARIBE  |  Horizonte desde el 24-09-2026  |  Fechas objetivo</w:t>
      </w:r>
    </w:p>
    <w:p>
      <w:pPr>
        <w:keepLines/>
      </w:pPr>
      <w:r>
        <w:t>La evolución prevista organiza UniPlan en cuatro entregas que incorporan capacidades de forma progresiva. Las fechas orientan la planificación y se revisarán con el backlog y el flujo Kanban según los avances y las validaciones del proyecto.</w:t>
      </w:r>
    </w:p>
    <w:p>
      <w:pPr>
        <w:pStyle w:val="Heading1"/>
      </w:pPr>
      <w:r>
        <w:t>Evolución prevista</w:t>
      </w:r>
    </w:p>
    <w:p>
      <w:pPr>
        <w:spacing w:after="160"/>
        <w:jc w:val="center"/>
      </w:pPr>
      <w:r>
        <w:drawing>
          <wp:inline xmlns:a="http://schemas.openxmlformats.org/drawingml/2006/main" xmlns:pic="http://schemas.openxmlformats.org/drawingml/2006/picture">
            <wp:extent cx="6172200" cy="1705707"/>
            <wp:docPr id="1" name="Picture 1"/>
            <wp:cNvGraphicFramePr>
              <a:graphicFrameLocks noChangeAspect="1"/>
            </wp:cNvGraphicFramePr>
            <a:graphic>
              <a:graphicData uri="http://schemas.openxmlformats.org/drawingml/2006/picture">
                <pic:pic>
                  <pic:nvPicPr>
                    <pic:cNvPr id="0" name="uniplan_roadmap.png"/>
                    <pic:cNvPicPr/>
                  </pic:nvPicPr>
                  <pic:blipFill>
                    <a:blip r:embed="rId14"/>
                    <a:stretch>
                      <a:fillRect/>
                    </a:stretch>
                  </pic:blipFill>
                  <pic:spPr>
                    <a:xfrm>
                      <a:off x="0" y="0"/>
                      <a:ext cx="6172200" cy="1705707"/>
                    </a:xfrm>
                    <a:prstGeom prst="rect"/>
                  </pic:spPr>
                </pic:pic>
              </a:graphicData>
            </a:graphic>
          </wp:inline>
        </w:drawing>
      </w:r>
    </w:p>
    <w:p>
      <w:pPr>
        <w:pStyle w:val="Heading1"/>
      </w:pPr>
      <w:r>
        <w:t>Entregas y capacidades</w:t>
      </w:r>
    </w:p>
    <w:tbl>
      <w:tblPr>
        <w:tblW w:type="auto" w:w="0"/>
        <w:jc w:val="center"/>
        <w:tblLayout w:type="fixed"/>
        <w:tblLook w:firstColumn="1" w:firstRow="1" w:lastColumn="0" w:lastRow="0" w:noHBand="0" w:noVBand="1" w:val="04A0"/>
      </w:tblPr>
      <w:tblGrid>
        <w:gridCol w:w="1987"/>
        <w:gridCol w:w="2002"/>
        <w:gridCol w:w="5803"/>
      </w:tblGrid>
      <w:tr>
        <w:trPr>
          <w:tblHeader w:val="true"/>
        </w:trPr>
        <w:tc>
          <w:tcPr>
            <w:tcW w:type="dxa" w:w="3264"/>
            <w:shd w:fill="243247"/>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b/>
                <w:color w:val="FFFFFF"/>
                <w:sz w:val="18"/>
              </w:rPr>
              <w:t>Versión y fecha</w:t>
            </w:r>
          </w:p>
        </w:tc>
        <w:tc>
          <w:tcPr>
            <w:tcW w:type="dxa" w:w="3264"/>
            <w:shd w:fill="243247"/>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b/>
                <w:color w:val="FFFFFF"/>
                <w:sz w:val="18"/>
              </w:rPr>
              <w:t>Tema</w:t>
            </w:r>
          </w:p>
        </w:tc>
        <w:tc>
          <w:tcPr>
            <w:tcW w:type="dxa" w:w="3264"/>
            <w:shd w:fill="243247"/>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b/>
                <w:color w:val="FFFFFF"/>
                <w:sz w:val="18"/>
              </w:rPr>
              <w:t>Capacidad observable</w:t>
            </w:r>
          </w:p>
        </w:tc>
      </w:tr>
      <w:tr>
        <w:trPr>
          <w:cantSplit/>
        </w:trPr>
        <w:tc>
          <w:tcPr>
            <w:tcW w:type="dxa" w:w="1987"/>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V0.1  ·  16-10-2026</w:t>
            </w:r>
          </w:p>
        </w:tc>
        <w:tc>
          <w:tcPr>
            <w:tcW w:type="dxa" w:w="2002"/>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Base académica</w:t>
            </w:r>
          </w:p>
        </w:tc>
        <w:tc>
          <w:tcPr>
            <w:tcW w:type="dxa" w:w="5803"/>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Navegación y datos organizados por centro tutorial, sede, facultad, carrera, periodo, semestre y asignatura; catálogos de profesores y aulas.</w:t>
            </w:r>
          </w:p>
        </w:tc>
      </w:tr>
      <w:tr>
        <w:trPr>
          <w:cantSplit/>
        </w:trPr>
        <w:tc>
          <w:tcPr>
            <w:tcW w:type="dxa" w:w="1987"/>
            <w:shd w:fill="F3F6F9"/>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V0.2  ·  20-11-2026</w:t>
            </w:r>
          </w:p>
        </w:tc>
        <w:tc>
          <w:tcPr>
            <w:tcW w:type="dxa" w:w="2002"/>
            <w:shd w:fill="F3F6F9"/>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Planificación manual</w:t>
            </w:r>
          </w:p>
        </w:tc>
        <w:tc>
          <w:tcPr>
            <w:tcW w:type="dxa" w:w="5803"/>
            <w:shd w:fill="F3F6F9"/>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Creación, consulta y edición de horarios por el responsable, con una vista de calendario para revisar la programación.</w:t>
            </w:r>
          </w:p>
        </w:tc>
      </w:tr>
      <w:tr>
        <w:trPr>
          <w:cantSplit/>
        </w:trPr>
        <w:tc>
          <w:tcPr>
            <w:tcW w:type="dxa" w:w="1987"/>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V0.3  ·  04-12-2026</w:t>
            </w:r>
          </w:p>
        </w:tc>
        <w:tc>
          <w:tcPr>
            <w:tcW w:type="dxa" w:w="2002"/>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Validación y Excel</w:t>
            </w:r>
          </w:p>
        </w:tc>
        <w:tc>
          <w:tcPr>
            <w:tcW w:type="dxa" w:w="5803"/>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Conflictos de profesor, aula y semestre visibles durante la edición; exportación de horarios en Excel para el proceso de Academusoft.</w:t>
            </w:r>
          </w:p>
        </w:tc>
      </w:tr>
      <w:tr>
        <w:trPr>
          <w:cantSplit/>
        </w:trPr>
        <w:tc>
          <w:tcPr>
            <w:tcW w:type="dxa" w:w="1987"/>
            <w:shd w:fill="F3F6F9"/>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V1.0  ·  11-12-2026</w:t>
            </w:r>
          </w:p>
        </w:tc>
        <w:tc>
          <w:tcPr>
            <w:tcW w:type="dxa" w:w="2002"/>
            <w:shd w:fill="F3F6F9"/>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Flujo integral</w:t>
            </w:r>
          </w:p>
        </w:tc>
        <w:tc>
          <w:tcPr>
            <w:tcW w:type="dxa" w:w="5803"/>
            <w:shd w:fill="F3F6F9"/>
            <w:vAlign w:val="center"/>
            <w:tcBorders>
              <w:top w:val="single" w:sz="5" w:color="D9D9D9"/>
              <w:left w:val="single" w:sz="5" w:color="D9D9D9"/>
              <w:bottom w:val="single" w:sz="5" w:color="D9D9D9"/>
              <w:right w:val="single" w:sz="5" w:color="D9D9D9"/>
            </w:tcBorders>
            <w:tcMar>
              <w:top w:w="100" w:type="dxa"/>
              <w:bottom w:w="100" w:type="dxa"/>
              <w:left w:w="112" w:type="dxa"/>
              <w:right w:w="112" w:type="dxa"/>
            </w:tcMar>
          </w:tcPr>
          <w:p>
            <w:pPr>
              <w:spacing w:after="0" w:line="264" w:lineRule="auto"/>
            </w:pPr>
            <w:r>
              <w:rPr>
                <w:rFonts w:ascii="Nimbus Sans" w:hAnsi="Nimbus Sans"/>
                <w:sz w:val="18"/>
              </w:rPr>
              <w:t>Recorrido completo de planificación, corrección y exportación probado con un escenario representativo y disponible para demostración.</w:t>
            </w:r>
          </w:p>
        </w:tc>
      </w:tr>
    </w:tbl>
    <w:p>
      <w:pPr>
        <w:spacing w:after="0"/>
      </w:pPr>
    </w:p>
    <w:p>
      <w:pPr>
        <w:pStyle w:val="Heading1"/>
      </w:pPr>
      <w:r>
        <w:t>Condiciones y revisión</w:t>
      </w:r>
    </w:p>
    <w:p>
      <w:pPr>
        <w:keepLines/>
      </w:pPr>
      <w:r>
        <w:t>Para comprobar la exportación será necesario contrastar el archivo con un ejemplo autorizado del formato vigente de Academusoft. Cada entrega puede ajustarse cuando la revisión del backlog revele nuevas prioridades, sin cambiar el objetivo del producto: construir horarios manualmente, validar conflictos y preparar su entrega en Excel.</w:t>
      </w:r>
    </w:p>
    <w:sectPr w:rsidR="00FC693F" w:rsidRPr="0006063C" w:rsidSect="00034616">
      <w:headerReference w:type="default" r:id="rId9"/>
      <w:footerReference w:type="default" r:id="rId10"/>
      <w:pgSz w:w="12240" w:h="15840"/>
      <w:pgMar w:top="979" w:right="1224" w:bottom="950" w:left="1224" w:header="49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mbus Sans" w:hAnsi="Nimbus Sans"/>
        <w:color w:val="5F656E"/>
        <w:sz w:val="16"/>
      </w:rPr>
      <w:t xml:space="preserve">UniPlan  •  Product Roadmap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mbus Sans" w:hAnsi="Nimbus Sans"/>
        <w:color w:val="4D5765"/>
        <w:sz w:val="16"/>
      </w:rPr>
      <w:t>UNIPLAN  |  DOCUMENTO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Nimbus Sans" w:hAnsi="Nimbus Sans"/>
      <w:color w:val="191F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Nimbus Sans" w:hAnsi="Nimbus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imbus Sans" w:hAnsi="Nimbus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Nimbus Sans" w:hAnsi="Nimbus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UniPlan Product Roadmap</dc:title>
  <dc:subject>Documento 07 del proyecto Capstone UniPlan</dc:subject>
  <dc:creator>python-docx</dc:creator>
  <cp:keywords>Capstone, planificación docente, Kanban, ficha del proyecto</cp:keywords>
  <dc:description>generated by python-docx</dc:description>
  <cp:lastModifiedBy/>
  <cp:revision>1</cp:revision>
  <dcterms:created xsi:type="dcterms:W3CDTF">2013-12-23T23:15:00Z</dcterms:created>
  <dcterms:modified xsi:type="dcterms:W3CDTF">2013-12-23T23:15:00Z</dcterms:modified>
  <cp:category/>
</cp:coreProperties>
</file>