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McFarland, Wisconsin || 608 669 7557 || 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 || https:// hub dot docker dot com/ u/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widowControl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 xml:space="preserve">Code monkey: aspiring security technician, full stack developer and Linux guy, skilled in C programming language and continually cognizant of security concerns. Self-motivating and currently working on a </w:t>
      </w:r>
      <w:r>
        <w:rPr>
          <w:rFonts w:cs="Arial" w:ascii="Calibri" w:hAnsi="Calibri"/>
          <w:b w:val="false"/>
          <w:bCs w:val="false"/>
          <w:sz w:val="20"/>
          <w:szCs w:val="20"/>
        </w:rPr>
        <w:t>Debian based Empyrion server</w:t>
      </w:r>
      <w:r>
        <w:rPr>
          <w:rFonts w:cs="Arial" w:ascii="Calibri" w:hAnsi="Calibri"/>
          <w:b w:val="false"/>
          <w:bCs w:val="false"/>
          <w:sz w:val="20"/>
          <w:szCs w:val="20"/>
        </w:rPr>
        <w:t>.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HTML, Python, Bash, JavaScript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OpenVPN, Docker, Apache2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Solaris, Alipine, Cisco IOS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VPS Administration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 | 74.208.104.107</w:t>
        <w:tab/>
        <w:t>JUN 2024 - PRESENT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Debian operating system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Most applications containerized with Docker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Access to containers mediated through SSH with keys and certificates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Full stack app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2023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React front end; node + express back end; MariaDB database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Performs CRUD operations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Network Configuration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in Cisco Packet Tracer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IP addressing scheme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VLANs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360" w:right="0" w:hanging="18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calculator; 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Solved by brute force with a C program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 xml:space="preserve">Stocker | </w:t>
      </w:r>
      <w:r>
        <w:rPr>
          <w:rFonts w:cs="Arial" w:ascii="Calibri" w:hAnsi="Calibri"/>
          <w:b w:val="false"/>
          <w:bCs w:val="false"/>
          <w:sz w:val="20"/>
          <w:szCs w:val="20"/>
        </w:rPr>
        <w:t>Woodman’s Market</w:t>
        <w:tab/>
      </w:r>
      <w:r>
        <w:rPr>
          <w:rFonts w:cs="Arial" w:ascii="Calibri" w:hAnsi="Calibri"/>
          <w:b w:val="false"/>
          <w:bCs w:val="false"/>
          <w:sz w:val="20"/>
          <w:szCs w:val="20"/>
        </w:rPr>
        <w:t>OCT 2024 – JAN 2025</w:t>
      </w:r>
    </w:p>
    <w:p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Stocked and faced shelves throughout the store.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Lathe Operator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Kelsch Machine Corporation</w:t>
        <w:tab/>
        <w:t>MAY 2024 – JUN 2024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Operate Mori Seiki and Puma Lathes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Software Developer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TBD</w:t>
        <w:tab/>
        <w:t>JUN 2022 – OCT 2023</w:t>
      </w:r>
    </w:p>
    <w:p>
      <w:pPr>
        <w:pStyle w:val="ListParagraph"/>
        <w:widowControl/>
        <w:numPr>
          <w:ilvl w:val="0"/>
          <w:numId w:val="7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Wrote websites for various clients in ReactJS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IS Support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TDS Telecom</w:t>
        <w:tab/>
        <w:t>AUG 2022 – OCT 2023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Listen to people’s description of advanced computer nonfunctionality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Render assistance and/or route the ticket to the appropriate team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/>
      </w:r>
      <w:r>
        <w:br w:type="page"/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</w:p>
    <w:p>
      <w:pPr>
        <w:pStyle w:val="ListParagraph"/>
        <w:pageBreakBefore w:val="false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Calibri" w:hAnsi="Calibri" w:cs="OpenSymbol"/>
      <w:b w:val="false"/>
      <w:sz w:val="20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  <w:sz w:val="20"/>
    </w:rPr>
  </w:style>
  <w:style w:type="character" w:styleId="ListLabel313">
    <w:name w:val="ListLabel 313"/>
    <w:qFormat/>
    <w:rPr>
      <w:rFonts w:ascii="Calibri" w:hAnsi="Calibri" w:cs="OpenSymbol"/>
      <w:b w:val="false"/>
      <w:sz w:val="20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Calibri" w:hAnsi="Calibri" w:cs="OpenSymbol"/>
      <w:b w:val="false"/>
      <w:sz w:val="20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sz w:val="20"/>
    </w:rPr>
  </w:style>
  <w:style w:type="character" w:styleId="ListLabel340">
    <w:name w:val="ListLabel 340"/>
    <w:qFormat/>
    <w:rPr>
      <w:rFonts w:ascii="Calibri" w:hAnsi="Calibri"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Calibri" w:hAnsi="Calibri" w:cs="OpenSymbol"/>
      <w:b w:val="false"/>
      <w:sz w:val="20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Calibri" w:hAnsi="Calibri" w:cs="OpenSymbol"/>
      <w:b w:val="false"/>
      <w:sz w:val="20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sz w:val="20"/>
    </w:rPr>
  </w:style>
  <w:style w:type="character" w:styleId="ListLabel367">
    <w:name w:val="ListLabel 367"/>
    <w:qFormat/>
    <w:rPr>
      <w:rFonts w:ascii="Calibri" w:hAnsi="Calibri" w:cs="OpenSymbol"/>
      <w:b w:val="false"/>
      <w:sz w:val="20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Calibri" w:hAnsi="Calibri" w:cs="OpenSymbol"/>
      <w:b w:val="false"/>
      <w:sz w:val="20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Calibri" w:hAnsi="Calibri" w:cs="OpenSymbol"/>
      <w:b w:val="false"/>
      <w:sz w:val="20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  <w:sz w:val="20"/>
    </w:rPr>
  </w:style>
  <w:style w:type="character" w:styleId="ListLabel394">
    <w:name w:val="ListLabel 394"/>
    <w:qFormat/>
    <w:rPr>
      <w:rFonts w:ascii="Calibri" w:hAnsi="Calibri" w:cs="OpenSymbol"/>
      <w:b w:val="false"/>
      <w:sz w:val="20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Calibri" w:hAnsi="Calibri" w:cs="OpenSymbol"/>
      <w:b w:val="false"/>
      <w:sz w:val="20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sz w:val="20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ascii="Calibri" w:hAnsi="Calibri" w:cs="OpenSymbol"/>
      <w:b w:val="false"/>
      <w:sz w:val="20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  <w:sz w:val="20"/>
    </w:rPr>
  </w:style>
  <w:style w:type="character" w:styleId="ListLabel430">
    <w:name w:val="ListLabel 430"/>
    <w:qFormat/>
    <w:rPr>
      <w:rFonts w:ascii="Calibri" w:hAnsi="Calibri" w:cs="OpenSymbol"/>
      <w:b w:val="false"/>
      <w:sz w:val="20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ascii="Calibri" w:hAnsi="Calibri" w:cs="OpenSymbol"/>
      <w:b w:val="false"/>
      <w:sz w:val="20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sz w:val="20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Calibri" w:hAnsi="Calibri" w:cs="OpenSymbol"/>
      <w:b w:val="false"/>
      <w:sz w:val="20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  <w:sz w:val="20"/>
    </w:rPr>
  </w:style>
  <w:style w:type="character" w:styleId="ListLabel466">
    <w:name w:val="ListLabel 466"/>
    <w:qFormat/>
    <w:rPr>
      <w:rFonts w:ascii="Calibri" w:hAnsi="Calibri" w:cs="OpenSymbol"/>
      <w:b w:val="false"/>
      <w:sz w:val="20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Calibri" w:hAnsi="Calibri" w:cs="OpenSymbol"/>
      <w:b w:val="false"/>
      <w:sz w:val="20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sz w:val="20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cs="OpenSymbol"/>
      <w:b w:val="false"/>
      <w:sz w:val="20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  <w:sz w:val="20"/>
    </w:rPr>
  </w:style>
  <w:style w:type="character" w:styleId="ListLabel502">
    <w:name w:val="ListLabel 502"/>
    <w:qFormat/>
    <w:rPr>
      <w:rFonts w:ascii="Calibri" w:hAnsi="Calibri" w:cs="OpenSymbol"/>
      <w:b w:val="false"/>
      <w:sz w:val="20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Calibri" w:hAnsi="Calibri" w:cs="OpenSymbol"/>
      <w:b w:val="false"/>
      <w:sz w:val="20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sz w:val="20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ascii="Calibri" w:hAnsi="Calibri" w:cs="OpenSymbol"/>
      <w:b w:val="false"/>
      <w:sz w:val="20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  <w:sz w:val="20"/>
    </w:rPr>
  </w:style>
  <w:style w:type="character" w:styleId="ListLabel538">
    <w:name w:val="ListLabel 538"/>
    <w:qFormat/>
    <w:rPr>
      <w:rFonts w:ascii="Calibri" w:hAnsi="Calibri" w:cs="OpenSymbol"/>
      <w:b w:val="false"/>
      <w:sz w:val="20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  <w:b w:val="false"/>
      <w:sz w:val="20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  <w:sz w:val="20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  <w:b w:val="false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ascii="Calibri" w:hAnsi="Calibri" w:cs="OpenSymbol"/>
      <w:b w:val="false"/>
      <w:sz w:val="20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  <w:sz w:val="20"/>
    </w:rPr>
  </w:style>
  <w:style w:type="character" w:styleId="ListLabel575">
    <w:name w:val="ListLabel 575"/>
    <w:qFormat/>
    <w:rPr>
      <w:rFonts w:ascii="Calibri" w:hAnsi="Calibri" w:cs="OpenSymbol"/>
      <w:b w:val="false"/>
      <w:sz w:val="20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  <w:b w:val="false"/>
      <w:sz w:val="20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  <w:sz w:val="20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 w:val="false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ascii="Calibri" w:hAnsi="Calibri" w:cs="OpenSymbol"/>
      <w:b w:val="false"/>
      <w:sz w:val="20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  <w:sz w:val="20"/>
    </w:rPr>
  </w:style>
  <w:style w:type="character" w:styleId="ListLabel612">
    <w:name w:val="ListLabel 612"/>
    <w:qFormat/>
    <w:rPr>
      <w:rFonts w:ascii="Calibri" w:hAnsi="Calibri" w:cs="OpenSymbol"/>
      <w:b w:val="false"/>
      <w:sz w:val="20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  <w:b w:val="false"/>
      <w:sz w:val="20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  <w:sz w:val="20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  <w:b w:val="fals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LibreOffice/6.2.4.2$Windows_X86_64 LibreOffice_project/2412653d852ce75f65fbfa83fb7e7b669a126d64</Application>
  <Pages>2</Pages>
  <Words>483</Words>
  <Characters>2745</Characters>
  <CharactersWithSpaces>3150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2022-05-27T14:53:01Z</dcterms:created>
  <dc:creator/>
  <dc:description/>
  <dc:language>en-US</dc:language>
  <cp:lastModifiedBy/>
  <dcterms:modified xsi:type="dcterms:W3CDTF">2025-01-19T10:34:04Z</dcterms:modified>
  <cp:revision>16</cp:revision>
  <dc:subject/>
  <dc:title/>
</cp:coreProperties>
</file>