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0B1F3A"/>
          <w:sz w:val="56"/>
          <w:szCs w:val="56"/>
        </w:rPr>
        <w:t xml:space="preserve">INFORME TÉCNICO</w:t>
      </w:r>
    </w:p>
    <w:p>
      <w:pPr>
        <w:spacing w:after="40"/>
        <w:jc w:val="center"/>
      </w:pPr>
      <w:r>
        <w:rPr>
          <w:b/>
          <w:bCs/>
          <w:color w:val="1E63FF"/>
          <w:sz w:val="32"/>
          <w:szCs w:val="32"/>
        </w:rPr>
        <w:t xml:space="preserve">Integración de Microservicios</w:t>
      </w:r>
    </w:p>
    <w:p>
      <w:pPr>
        <w:spacing w:after="600"/>
        <w:jc w:val="center"/>
      </w:pPr>
      <w:r>
        <w:rPr>
          <w:color w:val="5B6678"/>
          <w:sz w:val="26"/>
          <w:szCs w:val="26"/>
        </w:rPr>
        <w:t xml:space="preserve">Aplicación MiPatita — Cuidado de Mascotas</w:t>
      </w:r>
    </w:p>
    <w:p>
      <w:pPr>
        <w:spacing w:after="60" w:before="80"/>
        <w:jc w:val="center"/>
      </w:pPr>
      <w:r>
        <w:drawing>
          <wp:inline distT="0" distB="0" distL="0" distR="0">
            <wp:extent cx="3429000" cy="4067175"/>
            <wp:effectExtent t="0" r="0" b="0" l="0"/>
            <wp:docPr id="1" name="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4067175"/>
                    </a:xfrm>
                    <a:prstGeom prst="rect">
                      <a:avLst/>
                    </a:prstGeom>
                  </pic:spPr>
                </pic:pic>
              </a:graphicData>
            </a:graphic>
          </wp:inline>
        </w:drawing>
      </w:r>
    </w:p>
    <w:p>
      <w:pPr>
        <w:spacing w:after="30" w:before="500"/>
        <w:jc w:val="center"/>
      </w:pPr>
      <w:r>
        <w:rPr>
          <w:b/>
          <w:bCs/>
          <w:color w:val="0B1F3A"/>
          <w:sz w:val="24"/>
          <w:szCs w:val="24"/>
        </w:rPr>
        <w:t xml:space="preserve">Desarrollo Fullstack I (DSY1103)</w:t>
      </w:r>
    </w:p>
    <w:p>
      <w:pPr>
        <w:spacing w:after="30"/>
        <w:jc w:val="center"/>
      </w:pPr>
      <w:r>
        <w:rPr>
          <w:color w:val="5B6678"/>
          <w:sz w:val="22"/>
          <w:szCs w:val="22"/>
        </w:rPr>
        <w:t xml:space="preserve">Profesor: Roberto Simón Osses Vecchi</w:t>
      </w:r>
    </w:p>
    <w:p>
      <w:pPr>
        <w:spacing w:after="30"/>
        <w:jc w:val="center"/>
      </w:pPr>
      <w:r>
        <w:rPr>
          <w:color w:val="5B6678"/>
          <w:sz w:val="22"/>
          <w:szCs w:val="22"/>
        </w:rPr>
        <w:t xml:space="preserve">Integrantes: Camila Cornejo · Constanza Sarmiento · Rodrigo Valdivia · Maximiliano Morales</w:t>
      </w:r>
    </w:p>
    <w:p>
      <w:pPr>
        <w:spacing w:after="30"/>
        <w:jc w:val="center"/>
      </w:pPr>
      <w:r>
        <w:rPr>
          <w:color w:val="5B6678"/>
          <w:sz w:val="22"/>
          <w:szCs w:val="22"/>
        </w:rPr>
        <w:t xml:space="preserve">Fecha: 04 de junio de 2026</w:t>
      </w:r>
    </w:p>
    <w:p>
      <w:pPr>
        <w:sectPr>
          <w:pgSz w:w="12240" w:h="15840" w:orient="portrait"/>
          <w:pgMar w:top="1440" w:right="1440" w:bottom="1440" w:left="1440" w:header="708" w:footer="708" w:gutter="0"/>
          <w:pgNumType/>
          <w:docGrid w:linePitch="360"/>
        </w:sectPr>
      </w:pPr>
    </w:p>
    <w:p>
      <w:pPr>
        <w:pStyle w:val="Heading1"/>
      </w:pPr>
      <w:r>
        <w:t xml:space="preserve">Índice</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w:t>
      </w:r>
    </w:p>
    <w:p>
      <w:pPr>
        <w:spacing w:after="140" w:line="276"/>
        <w:jc w:val="both"/>
      </w:pPr>
      <w:r>
        <w:rPr>
          <w:sz w:val="22"/>
          <w:szCs w:val="22"/>
        </w:rPr>
        <w:t xml:space="preserve">El presente informe documenta la migración de la aplicación MiPatita —un sistema para el cuidado de mascotas que permite registrar paseos, comidas, vacunas y recordatorios— hacia una arquitectura basada en microservicios. El objetivo del hito es aplicar de forma práctica los fundamentos de arquitectura distribuida, persistencia relacional, seguridad y observabilidad.</w:t>
      </w:r>
    </w:p>
    <w:p>
      <w:pPr>
        <w:spacing w:after="140" w:line="276"/>
        <w:jc w:val="both"/>
      </w:pPr>
      <w:r>
        <w:rPr>
          <w:sz w:val="22"/>
          <w:szCs w:val="22"/>
        </w:rPr>
        <w:t xml:space="preserve">En lugar de un único sistema monolítico, la solución se dividió en dos microservicios independientes que se comunican mediante HTTP y mantienen bases de datos separadas. Esta separación de responsabilidades permite que cada servicio evolucione, se despliegue y escale de manera autónoma, construyendo un sistema más organizado y tolerante a fallos.</w:t>
      </w:r>
    </w:p>
    <w:p>
      <w:pPr>
        <w:pStyle w:val="Heading1"/>
      </w:pPr>
      <w:r>
        <w:t xml:space="preserve">2. Diagrama de Arquitectura</w:t>
      </w:r>
    </w:p>
    <w:p>
      <w:pPr>
        <w:spacing w:after="140" w:line="276"/>
        <w:jc w:val="both"/>
      </w:pPr>
      <w:r>
        <w:rPr>
          <w:sz w:val="22"/>
          <w:szCs w:val="22"/>
        </w:rPr>
        <w:t xml:space="preserve">El sistema se compone de dos microservicios construidos con Spring Boot: MiPatita (servicio principal) y el Microservicio de Mascotas (servicio de dominio). El siguiente diagrama presenta su vista física y lógica:</w:t>
      </w:r>
    </w:p>
    <w:p>
      <w:pPr>
        <w:spacing w:after="60" w:before="80"/>
        <w:jc w:val="center"/>
      </w:pPr>
      <w:r>
        <w:drawing>
          <wp:inline distT="0" distB="0" distL="0" distR="0">
            <wp:extent cx="4572000" cy="5419725"/>
            <wp:effectExtent t="0" r="0" b="0" l="0"/>
            <wp:docPr id="1" name="Figura 1. Arquitectura de microservicios de MiPatita" descr="Figura 1. Arquitectura de microservicios de MiPatita" title="Figura 1. Arquitectura de microservicios de MiPat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5419725"/>
                    </a:xfrm>
                    <a:prstGeom prst="rect">
                      <a:avLst/>
                    </a:prstGeom>
                  </pic:spPr>
                </pic:pic>
              </a:graphicData>
            </a:graphic>
          </wp:inline>
        </w:drawing>
      </w:r>
    </w:p>
    <w:p>
      <w:pPr>
        <w:spacing w:after="160"/>
        <w:jc w:val="center"/>
      </w:pPr>
      <w:r>
        <w:rPr>
          <w:i/>
          <w:iCs/>
          <w:color w:val="5B6678"/>
          <w:sz w:val="18"/>
          <w:szCs w:val="18"/>
        </w:rPr>
        <w:t xml:space="preserve">Figura 1. Arquitectura de microservicios de MiPatita</w:t>
      </w:r>
    </w:p>
    <w:p>
      <w:pPr>
        <w:pStyle w:val="Heading2"/>
      </w:pPr>
      <w:r>
        <w:t xml:space="preserve">2.1. Vista Lógica</w:t>
      </w:r>
    </w:p>
    <w:p>
      <w:pPr>
        <w:spacing w:after="140" w:line="276"/>
        <w:jc w:val="both"/>
      </w:pPr>
      <w:r>
        <w:rPr>
          <w:sz w:val="22"/>
          <w:szCs w:val="22"/>
        </w:rPr>
        <w:t xml:space="preserve">MiPatita centraliza el tráfico de los clientes: gestiona la autenticación (JWT), los usuarios, y la lógica de negocio de actividades y recordatorios. Cuando necesita información de una mascota, no accede a la base de datos del otro servicio, sino que consume su API mediante un cliente HTTP declarativo (Feign). El Microservicio de Mascotas se ocupa exclusivamente del dominio de las mascotas (operaciones CRUD).</w:t>
      </w:r>
    </w:p>
    <w:p>
      <w:pPr>
        <w:pStyle w:val="Heading2"/>
      </w:pPr>
      <w:r>
        <w:t xml:space="preserve">2.2. Vista Física</w:t>
      </w:r>
    </w:p>
    <w:p>
      <w:pPr>
        <w:pStyle w:val="ListParagraph"/>
        <w:numPr>
          <w:ilvl w:val="0"/>
          <w:numId w:val="2"/>
        </w:numPr>
        <w:spacing w:after="70"/>
      </w:pPr>
      <w:r>
        <w:rPr>
          <w:sz w:val="22"/>
          <w:szCs w:val="22"/>
        </w:rPr>
        <w:t xml:space="preserve">MiPatita: se ejecuta en el puerto 8080, con base de datos mipatita.db (SQLite).</w:t>
      </w:r>
    </w:p>
    <w:p>
      <w:pPr>
        <w:pStyle w:val="ListParagraph"/>
        <w:numPr>
          <w:ilvl w:val="0"/>
          <w:numId w:val="2"/>
        </w:numPr>
        <w:spacing w:after="70"/>
      </w:pPr>
      <w:r>
        <w:rPr>
          <w:sz w:val="22"/>
          <w:szCs w:val="22"/>
        </w:rPr>
        <w:t xml:space="preserve">Microservicio Mascotas: se ejecuta en el puerto 8081, con base de datos mascotas.db (SQLite).</w:t>
      </w:r>
    </w:p>
    <w:p>
      <w:pPr>
        <w:pStyle w:val="ListParagraph"/>
        <w:numPr>
          <w:ilvl w:val="0"/>
          <w:numId w:val="2"/>
        </w:numPr>
        <w:spacing w:after="70"/>
      </w:pPr>
      <w:r>
        <w:rPr>
          <w:sz w:val="22"/>
          <w:szCs w:val="22"/>
        </w:rPr>
        <w:t xml:space="preserve">Ambos son procesos independientes; pueden iniciarse, detenerse o fallar sin afectar al otro.</w:t>
      </w:r>
    </w:p>
    <w:p>
      <w:pPr>
        <w:pStyle w:val="Heading1"/>
      </w:pPr>
      <w:r>
        <w:t xml:space="preserve">3. Justificación del Modelo de Datos</w:t>
      </w:r>
    </w:p>
    <w:p>
      <w:pPr>
        <w:spacing w:after="140" w:line="276"/>
        <w:jc w:val="both"/>
      </w:pPr>
      <w:r>
        <w:rPr>
          <w:sz w:val="22"/>
          <w:szCs w:val="22"/>
        </w:rPr>
        <w:t xml:space="preserve">Siguiendo el principio de "una base de datos por microservicio", cada servicio es dueño exclusivo de sus datos. Ningún servicio accede directamente a las tablas del otro, lo que evita el acoplamiento a nivel de base de datos.</w:t>
      </w:r>
    </w:p>
    <w:p>
      <w:pPr>
        <w:pStyle w:val="Heading2"/>
      </w:pPr>
      <w:r>
        <w:t xml:space="preserve">3.1. Base de datos de MiPatita (mipatita.db)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6DCE8" w:sz="1"/>
              <w:left w:val="single" w:color="D6DCE8" w:sz="1"/>
              <w:bottom w:val="single" w:color="D6DCE8" w:sz="1"/>
              <w:right w:val="single" w:color="D6DCE8" w:sz="1"/>
            </w:tcBorders>
            <w:shd w:fill="0B1F3A" w:val="clear"/>
            <w:tcMar>
              <w:top w:type="dxa" w:w="60"/>
              <w:left w:type="dxa" w:w="110"/>
              <w:bottom w:type="dxa" w:w="60"/>
              <w:right w:type="dxa" w:w="110"/>
            </w:tcMar>
            <w:vAlign w:val="center"/>
          </w:tcPr>
          <w:p>
            <w:r>
              <w:rPr>
                <w:b/>
                <w:bCs/>
                <w:color w:val="FFFFFF"/>
                <w:sz w:val="19"/>
                <w:szCs w:val="19"/>
              </w:rPr>
              <w:t xml:space="preserve">Tabla</w:t>
            </w:r>
          </w:p>
        </w:tc>
        <w:tc>
          <w:tcPr>
            <w:tcW w:type="dxa" w:w="3200"/>
            <w:tcBorders>
              <w:top w:val="single" w:color="D6DCE8" w:sz="1"/>
              <w:left w:val="single" w:color="D6DCE8" w:sz="1"/>
              <w:bottom w:val="single" w:color="D6DCE8" w:sz="1"/>
              <w:right w:val="single" w:color="D6DCE8" w:sz="1"/>
            </w:tcBorders>
            <w:shd w:fill="0B1F3A" w:val="clear"/>
            <w:tcMar>
              <w:top w:type="dxa" w:w="60"/>
              <w:left w:type="dxa" w:w="110"/>
              <w:bottom w:type="dxa" w:w="60"/>
              <w:right w:type="dxa" w:w="110"/>
            </w:tcMar>
            <w:vAlign w:val="center"/>
          </w:tcPr>
          <w:p>
            <w:r>
              <w:rPr>
                <w:b/>
                <w:bCs/>
                <w:color w:val="FFFFFF"/>
                <w:sz w:val="19"/>
                <w:szCs w:val="19"/>
              </w:rPr>
              <w:t xml:space="preserve">Columnas principales</w:t>
            </w:r>
          </w:p>
        </w:tc>
        <w:tc>
          <w:tcPr>
            <w:tcW w:type="dxa" w:w="3760"/>
            <w:tcBorders>
              <w:top w:val="single" w:color="D6DCE8" w:sz="1"/>
              <w:left w:val="single" w:color="D6DCE8" w:sz="1"/>
              <w:bottom w:val="single" w:color="D6DCE8" w:sz="1"/>
              <w:right w:val="single" w:color="D6DCE8" w:sz="1"/>
            </w:tcBorders>
            <w:shd w:fill="0B1F3A" w:val="clear"/>
            <w:tcMar>
              <w:top w:type="dxa" w:w="60"/>
              <w:left w:type="dxa" w:w="110"/>
              <w:bottom w:type="dxa" w:w="60"/>
              <w:right w:type="dxa" w:w="110"/>
            </w:tcMar>
            <w:vAlign w:val="center"/>
          </w:tcPr>
          <w:p>
            <w:r>
              <w:rPr>
                <w:b/>
                <w:bCs/>
                <w:color w:val="FFFFFF"/>
                <w:sz w:val="19"/>
                <w:szCs w:val="19"/>
              </w:rPr>
              <w:t xml:space="preserve">Descripción</w:t>
            </w:r>
          </w:p>
        </w:tc>
      </w:tr>
      <w:tr>
        <w:trPr>
          <w:tblHeader w:val="false"/>
        </w:trPr>
        <w:tc>
          <w:tcPr>
            <w:tcW w:type="dxa" w:w="24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usuarios</w:t>
            </w:r>
          </w:p>
        </w:tc>
        <w:tc>
          <w:tcPr>
            <w:tcW w:type="dxa" w:w="32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id (PK), username (único), password, role</w:t>
            </w:r>
          </w:p>
        </w:tc>
        <w:tc>
          <w:tcPr>
            <w:tcW w:type="dxa" w:w="37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Credenciales de acceso; la contraseña se almacena cifrada con BCrypt.</w:t>
            </w:r>
          </w:p>
        </w:tc>
      </w:tr>
      <w:tr>
        <w:trPr>
          <w:tblHeader w:val="false"/>
        </w:trPr>
        <w:tc>
          <w:tcPr>
            <w:tcW w:type="dxa" w:w="24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actividades</w:t>
            </w:r>
          </w:p>
        </w:tc>
        <w:tc>
          <w:tcPr>
            <w:tcW w:type="dxa" w:w="32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id_actividad (PK), id_mascota, tipo_actividad, duracion_minutos, pasos, fecha, observacion</w:t>
            </w:r>
          </w:p>
        </w:tc>
        <w:tc>
          <w:tcPr>
            <w:tcW w:type="dxa" w:w="37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Registro de paseos y comidas de una mascota.</w:t>
            </w:r>
          </w:p>
        </w:tc>
      </w:tr>
      <w:tr>
        <w:trPr>
          <w:tblHeader w:val="false"/>
        </w:trPr>
        <w:tc>
          <w:tcPr>
            <w:tcW w:type="dxa" w:w="24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recordatorios</w:t>
            </w:r>
          </w:p>
        </w:tc>
        <w:tc>
          <w:tcPr>
            <w:tcW w:type="dxa" w:w="32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id_recordatorio (PK), id_mascota, tipo_recordatorio, frecuencia_dias, fecha_proxima, completado</w:t>
            </w:r>
          </w:p>
        </w:tc>
        <w:tc>
          <w:tcPr>
            <w:tcW w:type="dxa" w:w="37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Recordatorios (por ejemplo, vacunas) de una mascota.</w:t>
            </w:r>
          </w:p>
        </w:tc>
      </w:tr>
    </w:tbl>
    <w:p>
      <w:pPr>
        <w:spacing w:after="120"/>
      </w:pPr>
    </w:p>
    <w:p>
      <w:pPr>
        <w:pStyle w:val="Heading2"/>
      </w:pPr>
      <w:r>
        <w:t xml:space="preserve">3.2. Base de datos de Mascotas (mascotas.db)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6DCE8" w:sz="1"/>
              <w:left w:val="single" w:color="D6DCE8" w:sz="1"/>
              <w:bottom w:val="single" w:color="D6DCE8" w:sz="1"/>
              <w:right w:val="single" w:color="D6DCE8" w:sz="1"/>
            </w:tcBorders>
            <w:shd w:fill="0B1F3A" w:val="clear"/>
            <w:tcMar>
              <w:top w:type="dxa" w:w="60"/>
              <w:left w:type="dxa" w:w="110"/>
              <w:bottom w:type="dxa" w:w="60"/>
              <w:right w:type="dxa" w:w="110"/>
            </w:tcMar>
            <w:vAlign w:val="center"/>
          </w:tcPr>
          <w:p>
            <w:r>
              <w:rPr>
                <w:b/>
                <w:bCs/>
                <w:color w:val="FFFFFF"/>
                <w:sz w:val="19"/>
                <w:szCs w:val="19"/>
              </w:rPr>
              <w:t xml:space="preserve">Tabla</w:t>
            </w:r>
          </w:p>
        </w:tc>
        <w:tc>
          <w:tcPr>
            <w:tcW w:type="dxa" w:w="3200"/>
            <w:tcBorders>
              <w:top w:val="single" w:color="D6DCE8" w:sz="1"/>
              <w:left w:val="single" w:color="D6DCE8" w:sz="1"/>
              <w:bottom w:val="single" w:color="D6DCE8" w:sz="1"/>
              <w:right w:val="single" w:color="D6DCE8" w:sz="1"/>
            </w:tcBorders>
            <w:shd w:fill="0B1F3A" w:val="clear"/>
            <w:tcMar>
              <w:top w:type="dxa" w:w="60"/>
              <w:left w:type="dxa" w:w="110"/>
              <w:bottom w:type="dxa" w:w="60"/>
              <w:right w:type="dxa" w:w="110"/>
            </w:tcMar>
            <w:vAlign w:val="center"/>
          </w:tcPr>
          <w:p>
            <w:r>
              <w:rPr>
                <w:b/>
                <w:bCs/>
                <w:color w:val="FFFFFF"/>
                <w:sz w:val="19"/>
                <w:szCs w:val="19"/>
              </w:rPr>
              <w:t xml:space="preserve">Columnas principales</w:t>
            </w:r>
          </w:p>
        </w:tc>
        <w:tc>
          <w:tcPr>
            <w:tcW w:type="dxa" w:w="3760"/>
            <w:tcBorders>
              <w:top w:val="single" w:color="D6DCE8" w:sz="1"/>
              <w:left w:val="single" w:color="D6DCE8" w:sz="1"/>
              <w:bottom w:val="single" w:color="D6DCE8" w:sz="1"/>
              <w:right w:val="single" w:color="D6DCE8" w:sz="1"/>
            </w:tcBorders>
            <w:shd w:fill="0B1F3A" w:val="clear"/>
            <w:tcMar>
              <w:top w:type="dxa" w:w="60"/>
              <w:left w:type="dxa" w:w="110"/>
              <w:bottom w:type="dxa" w:w="60"/>
              <w:right w:type="dxa" w:w="110"/>
            </w:tcMar>
            <w:vAlign w:val="center"/>
          </w:tcPr>
          <w:p>
            <w:r>
              <w:rPr>
                <w:b/>
                <w:bCs/>
                <w:color w:val="FFFFFF"/>
                <w:sz w:val="19"/>
                <w:szCs w:val="19"/>
              </w:rPr>
              <w:t xml:space="preserve">Descripción</w:t>
            </w:r>
          </w:p>
        </w:tc>
      </w:tr>
      <w:tr>
        <w:trPr>
          <w:tblHeader w:val="false"/>
        </w:trPr>
        <w:tc>
          <w:tcPr>
            <w:tcW w:type="dxa" w:w="24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mascotas</w:t>
            </w:r>
          </w:p>
        </w:tc>
        <w:tc>
          <w:tcPr>
            <w:tcW w:type="dxa" w:w="32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id_mascota (PK), nombre, raza, peso, edad, tipo_pelaje, nivel_energia</w:t>
            </w:r>
          </w:p>
        </w:tc>
        <w:tc>
          <w:tcPr>
            <w:tcW w:type="dxa" w:w="37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Datos de cada mascota. Es la única fuente de verdad de las mascotas.</w:t>
            </w:r>
          </w:p>
        </w:tc>
      </w:tr>
    </w:tbl>
    <w:p>
      <w:pPr>
        <w:spacing w:after="120"/>
      </w:pPr>
    </w:p>
    <w:p>
      <w:pPr>
        <w:pStyle w:val="Heading2"/>
      </w:pPr>
      <w:r>
        <w:t xml:space="preserve">3.3. Relaciones y consistencia sin compartir base de datos</w:t>
      </w:r>
    </w:p>
    <w:p>
      <w:pPr>
        <w:spacing w:after="140" w:line="276"/>
        <w:jc w:val="both"/>
      </w:pPr>
      <w:r>
        <w:rPr>
          <w:sz w:val="22"/>
          <w:szCs w:val="22"/>
        </w:rPr>
        <w:t xml:space="preserve">Las tablas actividades y recordatorios contienen el campo id_mascota, que referencia lógicamente a una mascota que vive en el otro microservicio. Como las bases de datos están separadas, no existe una llave foránea (FK) física entre servicios.</w:t>
      </w:r>
    </w:p>
    <w:p>
      <w:pPr>
        <w:spacing w:after="140" w:line="276"/>
        <w:jc w:val="both"/>
      </w:pPr>
      <w:r>
        <w:rPr>
          <w:sz w:val="22"/>
          <w:szCs w:val="22"/>
        </w:rPr>
        <w:t xml:space="preserve">La consistencia se garantiza a nivel de aplicación: antes de crear una actividad o un recordatorio, MiPatita invoca al Microservicio de Mascotas (vía Feign) para verificar que la mascota exista. Si no existe, la operación se rechaza con un código 400. Así se preserva la integridad referencial sin compartir base de datos.</w:t>
      </w:r>
    </w:p>
    <w:p>
      <w:pPr>
        <w:spacing w:after="140" w:line="276"/>
        <w:jc w:val="both"/>
      </w:pPr>
      <w:r>
        <w:rPr>
          <w:sz w:val="22"/>
          <w:szCs w:val="22"/>
        </w:rPr>
        <w:t xml:space="preserve">En cuanto a normalización, cada tabla cumple la tercera forma normal (3NF): cada columna es atómica, depende de la clave primaria y no hay grupos repetidos.</w:t>
      </w:r>
    </w:p>
    <w:p>
      <w:pPr>
        <w:pStyle w:val="Heading1"/>
      </w:pPr>
      <w:r>
        <w:t xml:space="preserve">4. Contratos de API</w:t>
      </w:r>
    </w:p>
    <w:p>
      <w:pPr>
        <w:spacing w:after="140" w:line="276"/>
        <w:jc w:val="both"/>
      </w:pPr>
      <w:r>
        <w:rPr>
          <w:sz w:val="22"/>
          <w:szCs w:val="22"/>
        </w:rPr>
        <w:t xml:space="preserve">Todos los endpoints devuelven ResponseEntity con códigos HTTP semánticos. Las rutas de mascotas, actividades y recordatorios requieren un token JWT válido en la cabecera Authorization.</w:t>
      </w:r>
    </w:p>
    <w:p>
      <w:pPr>
        <w:pStyle w:val="Heading2"/>
      </w:pPr>
      <w:r>
        <w:t xml:space="preserve">4.1. Autenticación (MiPatita)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360"/>
      </w:tblGrid>
      <w:tr>
        <w:trPr>
          <w:tblHeader/>
        </w:trPr>
        <w:tc>
          <w:tcPr>
            <w:tcW w:type="dxa" w:w="2900"/>
            <w:tcBorders>
              <w:top w:val="single" w:color="D6DCE8" w:sz="1"/>
              <w:left w:val="single" w:color="D6DCE8" w:sz="1"/>
              <w:bottom w:val="single" w:color="D6DCE8" w:sz="1"/>
              <w:right w:val="single" w:color="D6DCE8" w:sz="1"/>
            </w:tcBorders>
            <w:shd w:fill="0B1F3A" w:val="clear"/>
            <w:tcMar>
              <w:top w:type="dxa" w:w="60"/>
              <w:left w:type="dxa" w:w="110"/>
              <w:bottom w:type="dxa" w:w="60"/>
              <w:right w:type="dxa" w:w="110"/>
            </w:tcMar>
            <w:vAlign w:val="center"/>
          </w:tcPr>
          <w:p>
            <w:r>
              <w:rPr>
                <w:b/>
                <w:bCs/>
                <w:color w:val="FFFFFF"/>
                <w:sz w:val="19"/>
                <w:szCs w:val="19"/>
              </w:rPr>
              <w:t xml:space="preserve">Endpoint</w:t>
            </w:r>
          </w:p>
        </w:tc>
        <w:tc>
          <w:tcPr>
            <w:tcW w:type="dxa" w:w="3100"/>
            <w:tcBorders>
              <w:top w:val="single" w:color="D6DCE8" w:sz="1"/>
              <w:left w:val="single" w:color="D6DCE8" w:sz="1"/>
              <w:bottom w:val="single" w:color="D6DCE8" w:sz="1"/>
              <w:right w:val="single" w:color="D6DCE8" w:sz="1"/>
            </w:tcBorders>
            <w:shd w:fill="0B1F3A" w:val="clear"/>
            <w:tcMar>
              <w:top w:type="dxa" w:w="60"/>
              <w:left w:type="dxa" w:w="110"/>
              <w:bottom w:type="dxa" w:w="60"/>
              <w:right w:type="dxa" w:w="110"/>
            </w:tcMar>
            <w:vAlign w:val="center"/>
          </w:tcPr>
          <w:p>
            <w:r>
              <w:rPr>
                <w:b/>
                <w:bCs/>
                <w:color w:val="FFFFFF"/>
                <w:sz w:val="19"/>
                <w:szCs w:val="19"/>
              </w:rPr>
              <w:t xml:space="preserve">Cuerpo (Body)</w:t>
            </w:r>
          </w:p>
        </w:tc>
        <w:tc>
          <w:tcPr>
            <w:tcW w:type="dxa" w:w="3360"/>
            <w:tcBorders>
              <w:top w:val="single" w:color="D6DCE8" w:sz="1"/>
              <w:left w:val="single" w:color="D6DCE8" w:sz="1"/>
              <w:bottom w:val="single" w:color="D6DCE8" w:sz="1"/>
              <w:right w:val="single" w:color="D6DCE8" w:sz="1"/>
            </w:tcBorders>
            <w:shd w:fill="0B1F3A" w:val="clear"/>
            <w:tcMar>
              <w:top w:type="dxa" w:w="60"/>
              <w:left w:type="dxa" w:w="110"/>
              <w:bottom w:type="dxa" w:w="60"/>
              <w:right w:type="dxa" w:w="110"/>
            </w:tcMar>
            <w:vAlign w:val="center"/>
          </w:tcPr>
          <w:p>
            <w:r>
              <w:rPr>
                <w:b/>
                <w:bCs/>
                <w:color w:val="FFFFFF"/>
                <w:sz w:val="19"/>
                <w:szCs w:val="19"/>
              </w:rPr>
              <w:t xml:space="preserve">Respuestas</w:t>
            </w:r>
          </w:p>
        </w:tc>
      </w:tr>
      <w:tr>
        <w:trPr>
          <w:tblHeader w:val="false"/>
        </w:trPr>
        <w:tc>
          <w:tcPr>
            <w:tcW w:type="dxa" w:w="29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POST /api/v1/auth/registro</w:t>
            </w:r>
          </w:p>
        </w:tc>
        <w:tc>
          <w:tcPr>
            <w:tcW w:type="dxa" w:w="31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 username, password, role }</w:t>
            </w:r>
          </w:p>
        </w:tc>
        <w:tc>
          <w:tcPr>
            <w:tcW w:type="dxa" w:w="33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200 OK · 400 (validación)</w:t>
            </w:r>
          </w:p>
        </w:tc>
      </w:tr>
      <w:tr>
        <w:trPr>
          <w:tblHeader w:val="false"/>
        </w:trPr>
        <w:tc>
          <w:tcPr>
            <w:tcW w:type="dxa" w:w="29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POST /api/v1/auth/login</w:t>
            </w:r>
          </w:p>
        </w:tc>
        <w:tc>
          <w:tcPr>
            <w:tcW w:type="dxa" w:w="31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 username, password }</w:t>
            </w:r>
          </w:p>
        </w:tc>
        <w:tc>
          <w:tcPr>
            <w:tcW w:type="dxa" w:w="33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200 { token } · 401 · 400</w:t>
            </w:r>
          </w:p>
        </w:tc>
      </w:tr>
    </w:tbl>
    <w:p>
      <w:pPr>
        <w:spacing w:after="120"/>
      </w:pPr>
    </w:p>
    <w:p>
      <w:pPr>
        <w:pStyle w:val="Heading2"/>
      </w:pPr>
      <w:r>
        <w:t xml:space="preserve">4.2. Mascotas (vía Feign hacia el Microservicio Mascotas)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rPr>
          <w:tblHeader/>
        </w:trPr>
        <w:tc>
          <w:tcPr>
            <w:tcW w:type="dxa" w:w="3400"/>
            <w:tcBorders>
              <w:top w:val="single" w:color="D6DCE8" w:sz="1"/>
              <w:left w:val="single" w:color="D6DCE8" w:sz="1"/>
              <w:bottom w:val="single" w:color="D6DCE8" w:sz="1"/>
              <w:right w:val="single" w:color="D6DCE8" w:sz="1"/>
            </w:tcBorders>
            <w:shd w:fill="0B1F3A" w:val="clear"/>
            <w:tcMar>
              <w:top w:type="dxa" w:w="60"/>
              <w:left w:type="dxa" w:w="110"/>
              <w:bottom w:type="dxa" w:w="60"/>
              <w:right w:type="dxa" w:w="110"/>
            </w:tcMar>
            <w:vAlign w:val="center"/>
          </w:tcPr>
          <w:p>
            <w:r>
              <w:rPr>
                <w:b/>
                <w:bCs/>
                <w:color w:val="FFFFFF"/>
                <w:sz w:val="19"/>
                <w:szCs w:val="19"/>
              </w:rPr>
              <w:t xml:space="preserve">Endpoint</w:t>
            </w:r>
          </w:p>
        </w:tc>
        <w:tc>
          <w:tcPr>
            <w:tcW w:type="dxa" w:w="2600"/>
            <w:tcBorders>
              <w:top w:val="single" w:color="D6DCE8" w:sz="1"/>
              <w:left w:val="single" w:color="D6DCE8" w:sz="1"/>
              <w:bottom w:val="single" w:color="D6DCE8" w:sz="1"/>
              <w:right w:val="single" w:color="D6DCE8" w:sz="1"/>
            </w:tcBorders>
            <w:shd w:fill="0B1F3A" w:val="clear"/>
            <w:tcMar>
              <w:top w:type="dxa" w:w="60"/>
              <w:left w:type="dxa" w:w="110"/>
              <w:bottom w:type="dxa" w:w="60"/>
              <w:right w:type="dxa" w:w="110"/>
            </w:tcMar>
            <w:vAlign w:val="center"/>
          </w:tcPr>
          <w:p>
            <w:r>
              <w:rPr>
                <w:b/>
                <w:bCs/>
                <w:color w:val="FFFFFF"/>
                <w:sz w:val="19"/>
                <w:szCs w:val="19"/>
              </w:rPr>
              <w:t xml:space="preserve">Acción</w:t>
            </w:r>
          </w:p>
        </w:tc>
        <w:tc>
          <w:tcPr>
            <w:tcW w:type="dxa" w:w="3360"/>
            <w:tcBorders>
              <w:top w:val="single" w:color="D6DCE8" w:sz="1"/>
              <w:left w:val="single" w:color="D6DCE8" w:sz="1"/>
              <w:bottom w:val="single" w:color="D6DCE8" w:sz="1"/>
              <w:right w:val="single" w:color="D6DCE8" w:sz="1"/>
            </w:tcBorders>
            <w:shd w:fill="0B1F3A" w:val="clear"/>
            <w:tcMar>
              <w:top w:type="dxa" w:w="60"/>
              <w:left w:type="dxa" w:w="110"/>
              <w:bottom w:type="dxa" w:w="60"/>
              <w:right w:type="dxa" w:w="110"/>
            </w:tcMar>
            <w:vAlign w:val="center"/>
          </w:tcPr>
          <w:p>
            <w:r>
              <w:rPr>
                <w:b/>
                <w:bCs/>
                <w:color w:val="FFFFFF"/>
                <w:sz w:val="19"/>
                <w:szCs w:val="19"/>
              </w:rPr>
              <w:t xml:space="preserve">Respuestas</w:t>
            </w:r>
          </w:p>
        </w:tc>
      </w:tr>
      <w:tr>
        <w:trPr>
          <w:tblHeader w:val="false"/>
        </w:trPr>
        <w:tc>
          <w:tcPr>
            <w:tcW w:type="dxa" w:w="34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GET /api/v1/mascotas</w:t>
            </w:r>
          </w:p>
        </w:tc>
        <w:tc>
          <w:tcPr>
            <w:tcW w:type="dxa" w:w="26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Listar todas</w:t>
            </w:r>
          </w:p>
        </w:tc>
        <w:tc>
          <w:tcPr>
            <w:tcW w:type="dxa" w:w="33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200</w:t>
            </w:r>
          </w:p>
        </w:tc>
      </w:tr>
      <w:tr>
        <w:trPr>
          <w:tblHeader w:val="false"/>
        </w:trPr>
        <w:tc>
          <w:tcPr>
            <w:tcW w:type="dxa" w:w="34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GET /api/v1/mascotas/{id}</w:t>
            </w:r>
          </w:p>
        </w:tc>
        <w:tc>
          <w:tcPr>
            <w:tcW w:type="dxa" w:w="26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Obtener una</w:t>
            </w:r>
          </w:p>
        </w:tc>
        <w:tc>
          <w:tcPr>
            <w:tcW w:type="dxa" w:w="33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200 · 404</w:t>
            </w:r>
          </w:p>
        </w:tc>
      </w:tr>
      <w:tr>
        <w:trPr>
          <w:tblHeader w:val="false"/>
        </w:trPr>
        <w:tc>
          <w:tcPr>
            <w:tcW w:type="dxa" w:w="34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POST /api/v1/mascotas</w:t>
            </w:r>
          </w:p>
        </w:tc>
        <w:tc>
          <w:tcPr>
            <w:tcW w:type="dxa" w:w="26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Crear</w:t>
            </w:r>
          </w:p>
        </w:tc>
        <w:tc>
          <w:tcPr>
            <w:tcW w:type="dxa" w:w="33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201 · 400</w:t>
            </w:r>
          </w:p>
        </w:tc>
      </w:tr>
      <w:tr>
        <w:trPr>
          <w:tblHeader w:val="false"/>
        </w:trPr>
        <w:tc>
          <w:tcPr>
            <w:tcW w:type="dxa" w:w="34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PUT /api/v1/mascotas/{id}</w:t>
            </w:r>
          </w:p>
        </w:tc>
        <w:tc>
          <w:tcPr>
            <w:tcW w:type="dxa" w:w="26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Actualizar</w:t>
            </w:r>
          </w:p>
        </w:tc>
        <w:tc>
          <w:tcPr>
            <w:tcW w:type="dxa" w:w="33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200 · 404</w:t>
            </w:r>
          </w:p>
        </w:tc>
      </w:tr>
      <w:tr>
        <w:trPr>
          <w:tblHeader w:val="false"/>
        </w:trPr>
        <w:tc>
          <w:tcPr>
            <w:tcW w:type="dxa" w:w="34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DELETE /api/v1/mascotas/{id}</w:t>
            </w:r>
          </w:p>
        </w:tc>
        <w:tc>
          <w:tcPr>
            <w:tcW w:type="dxa" w:w="26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Eliminar</w:t>
            </w:r>
          </w:p>
        </w:tc>
        <w:tc>
          <w:tcPr>
            <w:tcW w:type="dxa" w:w="33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204 · 404</w:t>
            </w:r>
          </w:p>
        </w:tc>
      </w:tr>
    </w:tbl>
    <w:p>
      <w:pPr>
        <w:spacing w:after="120"/>
      </w:pPr>
    </w:p>
    <w:p>
      <w:pPr>
        <w:pStyle w:val="Heading2"/>
      </w:pPr>
      <w:r>
        <w:t xml:space="preserve">4.3. Actividades y Recordatorios (MiPatita)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rPr>
          <w:tblHeader/>
        </w:trPr>
        <w:tc>
          <w:tcPr>
            <w:tcW w:type="dxa" w:w="3400"/>
            <w:tcBorders>
              <w:top w:val="single" w:color="D6DCE8" w:sz="1"/>
              <w:left w:val="single" w:color="D6DCE8" w:sz="1"/>
              <w:bottom w:val="single" w:color="D6DCE8" w:sz="1"/>
              <w:right w:val="single" w:color="D6DCE8" w:sz="1"/>
            </w:tcBorders>
            <w:shd w:fill="0B1F3A" w:val="clear"/>
            <w:tcMar>
              <w:top w:type="dxa" w:w="60"/>
              <w:left w:type="dxa" w:w="110"/>
              <w:bottom w:type="dxa" w:w="60"/>
              <w:right w:type="dxa" w:w="110"/>
            </w:tcMar>
            <w:vAlign w:val="center"/>
          </w:tcPr>
          <w:p>
            <w:r>
              <w:rPr>
                <w:b/>
                <w:bCs/>
                <w:color w:val="FFFFFF"/>
                <w:sz w:val="19"/>
                <w:szCs w:val="19"/>
              </w:rPr>
              <w:t xml:space="preserve">Endpoint</w:t>
            </w:r>
          </w:p>
        </w:tc>
        <w:tc>
          <w:tcPr>
            <w:tcW w:type="dxa" w:w="2600"/>
            <w:tcBorders>
              <w:top w:val="single" w:color="D6DCE8" w:sz="1"/>
              <w:left w:val="single" w:color="D6DCE8" w:sz="1"/>
              <w:bottom w:val="single" w:color="D6DCE8" w:sz="1"/>
              <w:right w:val="single" w:color="D6DCE8" w:sz="1"/>
            </w:tcBorders>
            <w:shd w:fill="0B1F3A" w:val="clear"/>
            <w:tcMar>
              <w:top w:type="dxa" w:w="60"/>
              <w:left w:type="dxa" w:w="110"/>
              <w:bottom w:type="dxa" w:w="60"/>
              <w:right w:type="dxa" w:w="110"/>
            </w:tcMar>
            <w:vAlign w:val="center"/>
          </w:tcPr>
          <w:p>
            <w:r>
              <w:rPr>
                <w:b/>
                <w:bCs/>
                <w:color w:val="FFFFFF"/>
                <w:sz w:val="19"/>
                <w:szCs w:val="19"/>
              </w:rPr>
              <w:t xml:space="preserve">Acción</w:t>
            </w:r>
          </w:p>
        </w:tc>
        <w:tc>
          <w:tcPr>
            <w:tcW w:type="dxa" w:w="3360"/>
            <w:tcBorders>
              <w:top w:val="single" w:color="D6DCE8" w:sz="1"/>
              <w:left w:val="single" w:color="D6DCE8" w:sz="1"/>
              <w:bottom w:val="single" w:color="D6DCE8" w:sz="1"/>
              <w:right w:val="single" w:color="D6DCE8" w:sz="1"/>
            </w:tcBorders>
            <w:shd w:fill="0B1F3A" w:val="clear"/>
            <w:tcMar>
              <w:top w:type="dxa" w:w="60"/>
              <w:left w:type="dxa" w:w="110"/>
              <w:bottom w:type="dxa" w:w="60"/>
              <w:right w:type="dxa" w:w="110"/>
            </w:tcMar>
            <w:vAlign w:val="center"/>
          </w:tcPr>
          <w:p>
            <w:r>
              <w:rPr>
                <w:b/>
                <w:bCs/>
                <w:color w:val="FFFFFF"/>
                <w:sz w:val="19"/>
                <w:szCs w:val="19"/>
              </w:rPr>
              <w:t xml:space="preserve">Respuestas</w:t>
            </w:r>
          </w:p>
        </w:tc>
      </w:tr>
      <w:tr>
        <w:trPr>
          <w:tblHeader w:val="false"/>
        </w:trPr>
        <w:tc>
          <w:tcPr>
            <w:tcW w:type="dxa" w:w="34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GET /api/v1/actividades</w:t>
            </w:r>
          </w:p>
        </w:tc>
        <w:tc>
          <w:tcPr>
            <w:tcW w:type="dxa" w:w="26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Listar</w:t>
            </w:r>
          </w:p>
        </w:tc>
        <w:tc>
          <w:tcPr>
            <w:tcW w:type="dxa" w:w="33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200</w:t>
            </w:r>
          </w:p>
        </w:tc>
      </w:tr>
      <w:tr>
        <w:trPr>
          <w:tblHeader w:val="false"/>
        </w:trPr>
        <w:tc>
          <w:tcPr>
            <w:tcW w:type="dxa" w:w="34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POST /api/v1/actividades</w:t>
            </w:r>
          </w:p>
        </w:tc>
        <w:tc>
          <w:tcPr>
            <w:tcW w:type="dxa" w:w="26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Crear (valida mascota vía Feign)</w:t>
            </w:r>
          </w:p>
        </w:tc>
        <w:tc>
          <w:tcPr>
            <w:tcW w:type="dxa" w:w="33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201 · 400</w:t>
            </w:r>
          </w:p>
        </w:tc>
      </w:tr>
      <w:tr>
        <w:trPr>
          <w:tblHeader w:val="false"/>
        </w:trPr>
        <w:tc>
          <w:tcPr>
            <w:tcW w:type="dxa" w:w="34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PUT /api/v1/actividades/{id}</w:t>
            </w:r>
          </w:p>
        </w:tc>
        <w:tc>
          <w:tcPr>
            <w:tcW w:type="dxa" w:w="26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Actualizar</w:t>
            </w:r>
          </w:p>
        </w:tc>
        <w:tc>
          <w:tcPr>
            <w:tcW w:type="dxa" w:w="33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200 · 404</w:t>
            </w:r>
          </w:p>
        </w:tc>
      </w:tr>
      <w:tr>
        <w:trPr>
          <w:tblHeader w:val="false"/>
        </w:trPr>
        <w:tc>
          <w:tcPr>
            <w:tcW w:type="dxa" w:w="34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DELETE /api/v1/actividades/{id}</w:t>
            </w:r>
          </w:p>
        </w:tc>
        <w:tc>
          <w:tcPr>
            <w:tcW w:type="dxa" w:w="26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Eliminar</w:t>
            </w:r>
          </w:p>
        </w:tc>
        <w:tc>
          <w:tcPr>
            <w:tcW w:type="dxa" w:w="33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204 · 404</w:t>
            </w:r>
          </w:p>
        </w:tc>
      </w:tr>
      <w:tr>
        <w:trPr>
          <w:tblHeader w:val="false"/>
        </w:trPr>
        <w:tc>
          <w:tcPr>
            <w:tcW w:type="dxa" w:w="34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GET /api/v1/recordatorios</w:t>
            </w:r>
          </w:p>
        </w:tc>
        <w:tc>
          <w:tcPr>
            <w:tcW w:type="dxa" w:w="26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Listar</w:t>
            </w:r>
          </w:p>
        </w:tc>
        <w:tc>
          <w:tcPr>
            <w:tcW w:type="dxa" w:w="33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200</w:t>
            </w:r>
          </w:p>
        </w:tc>
      </w:tr>
      <w:tr>
        <w:trPr>
          <w:tblHeader w:val="false"/>
        </w:trPr>
        <w:tc>
          <w:tcPr>
            <w:tcW w:type="dxa" w:w="34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POST /api/v1/recordatorios</w:t>
            </w:r>
          </w:p>
        </w:tc>
        <w:tc>
          <w:tcPr>
            <w:tcW w:type="dxa" w:w="26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Crear (valida mascota vía Feign)</w:t>
            </w:r>
          </w:p>
        </w:tc>
        <w:tc>
          <w:tcPr>
            <w:tcW w:type="dxa" w:w="33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201 · 400</w:t>
            </w:r>
          </w:p>
        </w:tc>
      </w:tr>
      <w:tr>
        <w:trPr>
          <w:tblHeader w:val="false"/>
        </w:trPr>
        <w:tc>
          <w:tcPr>
            <w:tcW w:type="dxa" w:w="34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DELETE /api/v1/recordatorios/{id}</w:t>
            </w:r>
          </w:p>
        </w:tc>
        <w:tc>
          <w:tcPr>
            <w:tcW w:type="dxa" w:w="26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Eliminar</w:t>
            </w:r>
          </w:p>
        </w:tc>
        <w:tc>
          <w:tcPr>
            <w:tcW w:type="dxa" w:w="33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204 · 404</w:t>
            </w:r>
          </w:p>
        </w:tc>
      </w:tr>
    </w:tbl>
    <w:p>
      <w:pPr>
        <w:pStyle w:val="Heading1"/>
      </w:pPr>
      <w:r>
        <w:t xml:space="preserve">5. Estrategia de Seguridad y Manejo de Errores</w:t>
      </w:r>
    </w:p>
    <w:p>
      <w:pPr>
        <w:pStyle w:val="Heading2"/>
      </w:pPr>
      <w:r>
        <w:t xml:space="preserve">5.1. Seguridad (Spring Security + JWT, stateless)</w:t>
      </w:r>
    </w:p>
    <w:p>
      <w:pPr>
        <w:spacing w:after="140" w:line="276"/>
        <w:jc w:val="both"/>
      </w:pPr>
      <w:r>
        <w:rPr>
          <w:sz w:val="22"/>
          <w:szCs w:val="22"/>
        </w:rPr>
        <w:t xml:space="preserve">La seguridad se basa en una arquitectura sin estado (stateless) con JSON Web Tokens. El servidor no almacena sesiones: tras un login exitoso entrega un token firmado que el cliente envía en cada petición.</w:t>
      </w:r>
    </w:p>
    <w:p>
      <w:pPr>
        <w:pStyle w:val="ListParagraph"/>
        <w:numPr>
          <w:ilvl w:val="0"/>
          <w:numId w:val="2"/>
        </w:numPr>
        <w:spacing w:after="70"/>
      </w:pPr>
      <w:r>
        <w:rPr>
          <w:sz w:val="22"/>
          <w:szCs w:val="22"/>
        </w:rPr>
        <w:t xml:space="preserve">SecurityFilterChain: deshabilita CSRF (no se usan cookies de sesión), fija la política de sesión en STATELESS y exige autenticación en todas las rutas salvo /api/v1/auth/**.</w:t>
      </w:r>
    </w:p>
    <w:p>
      <w:pPr>
        <w:pStyle w:val="ListParagraph"/>
        <w:numPr>
          <w:ilvl w:val="0"/>
          <w:numId w:val="2"/>
        </w:numPr>
        <w:spacing w:after="70"/>
      </w:pPr>
      <w:r>
        <w:rPr>
          <w:sz w:val="22"/>
          <w:szCs w:val="22"/>
        </w:rPr>
        <w:t xml:space="preserve">JwtAuthenticationFilter: se ejecuta antes del filtro estándar; extrae el token "Bearer", lo valida y, si es correcto, registra al usuario en el contexto de seguridad.</w:t>
      </w:r>
    </w:p>
    <w:p>
      <w:pPr>
        <w:pStyle w:val="ListParagraph"/>
        <w:numPr>
          <w:ilvl w:val="0"/>
          <w:numId w:val="2"/>
        </w:numPr>
        <w:spacing w:after="70"/>
      </w:pPr>
      <w:r>
        <w:rPr>
          <w:sz w:val="22"/>
          <w:szCs w:val="22"/>
        </w:rPr>
        <w:t xml:space="preserve">Las contraseñas se cifran con BCrypt; nunca se guardan en texto plano.</w:t>
      </w:r>
    </w:p>
    <w:p>
      <w:pPr>
        <w:pStyle w:val="ListParagraph"/>
        <w:numPr>
          <w:ilvl w:val="0"/>
          <w:numId w:val="2"/>
        </w:numPr>
        <w:spacing w:after="70"/>
      </w:pPr>
      <w:r>
        <w:rPr>
          <w:sz w:val="22"/>
          <w:szCs w:val="22"/>
        </w:rPr>
        <w:t xml:space="preserve">El secreto de firma y la expiración del token están externalizados en application.properties.</w:t>
      </w:r>
    </w:p>
    <w:p>
      <w:pPr>
        <w:pStyle w:val="Heading2"/>
      </w:pPr>
      <w:r>
        <w:t xml:space="preserve">5.2. Manejo Centralizado de Errores (@RestControllerAdvice)</w:t>
      </w:r>
    </w:p>
    <w:p>
      <w:pPr>
        <w:spacing w:after="140" w:line="276"/>
        <w:jc w:val="both"/>
      </w:pPr>
      <w:r>
        <w:rPr>
          <w:sz w:val="22"/>
          <w:szCs w:val="22"/>
        </w:rPr>
        <w:t xml:space="preserve">En lugar de repartir bloques try/catch por los controladores, las excepciones se capturan en un único componente (GlobalExceptionHandler) anotado con @RestControllerAdvice, que las traduce a códigos HTTP coherentes:</w:t>
      </w:r>
    </w:p>
    <w:p>
      <w:pPr>
        <w:pStyle w:val="ListParagraph"/>
        <w:numPr>
          <w:ilvl w:val="0"/>
          <w:numId w:val="2"/>
        </w:numPr>
        <w:spacing w:after="70"/>
      </w:pPr>
      <w:r>
        <w:rPr>
          <w:sz w:val="22"/>
          <w:szCs w:val="22"/>
        </w:rPr>
        <w:t xml:space="preserve">400 Bad Request: errores de validación detectados por @Valid (Bean Validation).</w:t>
      </w:r>
    </w:p>
    <w:p>
      <w:pPr>
        <w:pStyle w:val="ListParagraph"/>
        <w:numPr>
          <w:ilvl w:val="0"/>
          <w:numId w:val="2"/>
        </w:numPr>
        <w:spacing w:after="70"/>
      </w:pPr>
      <w:r>
        <w:rPr>
          <w:sz w:val="22"/>
          <w:szCs w:val="22"/>
        </w:rPr>
        <w:t xml:space="preserve">401 Unauthorized: credenciales inválidas (excepción de dominio CredencialesInvalidasException).</w:t>
      </w:r>
    </w:p>
    <w:p>
      <w:pPr>
        <w:pStyle w:val="ListParagraph"/>
        <w:numPr>
          <w:ilvl w:val="0"/>
          <w:numId w:val="2"/>
        </w:numPr>
        <w:spacing w:after="70"/>
      </w:pPr>
      <w:r>
        <w:rPr>
          <w:sz w:val="22"/>
          <w:szCs w:val="22"/>
        </w:rPr>
        <w:t xml:space="preserve">500 Internal Server Error: cualquier error inesperado, registrado en el log para su depuración.</w:t>
      </w:r>
    </w:p>
    <w:p>
      <w:pPr>
        <w:pStyle w:val="Heading1"/>
      </w:pPr>
      <w:r>
        <w:t xml:space="preserve">6. Observabilidad y Trazabilidad</w:t>
      </w:r>
    </w:p>
    <w:p>
      <w:pPr>
        <w:spacing w:after="140" w:line="276"/>
        <w:jc w:val="both"/>
      </w:pPr>
      <w:r>
        <w:rPr>
          <w:sz w:val="22"/>
          <w:szCs w:val="22"/>
        </w:rPr>
        <w:t xml:space="preserve">Ambos microservicios registran trazas estructuradas en formato JSON mediante SLF4J + Logback (logback-spring.xml), legibles por máquina. Cada línea incluye marca de tiempo, nivel, nombre del servicio, la clase (logger) que la emite y el mensaje.</w:t>
      </w:r>
    </w:p>
    <w:p>
      <w:pPr>
        <w:shd w:fill="F3F5F9" w:val="clear"/>
        <w:spacing w:after="120"/>
      </w:pPr>
      <w:r>
        <w:rPr>
          <w:rFonts w:ascii="Consolas" w:cs="Consolas" w:eastAsia="Consolas" w:hAnsi="Consolas"/>
          <w:color w:val="1E2B45"/>
          <w:sz w:val="19"/>
          <w:szCs w:val="19"/>
        </w:rPr>
        <w:t xml:space="preserve">{"timestamp":"2026-06-04T18:46...","level":"INFO","service":"mipatita","logger":"c.e.demo.service.UsuarioService","message":"Autenticación exitosa para maxi. Generando token JWT"}</w:t>
      </w:r>
    </w:p>
    <w:p>
      <w:pPr>
        <w:spacing w:after="140" w:line="276"/>
        <w:jc w:val="both"/>
      </w:pPr>
      <w:r>
        <w:rPr>
          <w:sz w:val="22"/>
          <w:szCs w:val="22"/>
        </w:rPr>
        <w:t xml:space="preserve">Los niveles se usan de forma consistente: INFO para el flujo normal, WARN para avisos que no detienen el sistema (por ejemplo, buscar una mascota inexistente) y ERROR para fallos críticos. Incluir la clase emisora permite seguir una petición a través de las capas Controller → Service → Repository/Feign.</w:t>
      </w:r>
    </w:p>
    <w:p>
      <w:pPr>
        <w:pStyle w:val="Heading1"/>
      </w:pPr>
      <w:r>
        <w:t xml:space="preserve">7. Conclusión</w:t>
      </w:r>
    </w:p>
    <w:p>
      <w:pPr>
        <w:spacing w:after="140" w:line="276"/>
        <w:jc w:val="both"/>
      </w:pPr>
      <w:r>
        <w:rPr>
          <w:sz w:val="22"/>
          <w:szCs w:val="22"/>
        </w:rPr>
        <w:t xml:space="preserve">La implementación de esta arquitectura permitió construir un sistema donde la seguridad y el almacenamiento de datos operan en capas aisladas e independientes. Cada microservicio es dueño de su base de datos y se comunica con el otro únicamente a través de su API, lo que reduce el acoplamiento y aumenta la tolerancia a fallos.</w:t>
      </w:r>
    </w:p>
    <w:p>
      <w:pPr>
        <w:spacing w:after="140" w:line="276"/>
        <w:jc w:val="both"/>
      </w:pPr>
      <w:r>
        <w:rPr>
          <w:sz w:val="22"/>
          <w:szCs w:val="22"/>
        </w:rPr>
        <w:t xml:space="preserve">Gracias a herramientas como Spring Security con JWT, OpenFeign, Flyway y los logs estructurados en JSON, se logró una integración fluida, segura y mantenible, cumpliendo con los estándares modernos de desarrollo backend exigidos en la evaluación.</w:t>
      </w:r>
    </w:p>
    <w:p>
      <w:pPr>
        <w:pStyle w:val="Heading1"/>
      </w:pPr>
      <w:r>
        <w:t xml:space="preserve">8. Bibliografía</w:t>
      </w:r>
    </w:p>
    <w:p>
      <w:pPr>
        <w:pStyle w:val="ListParagraph"/>
        <w:numPr>
          <w:ilvl w:val="0"/>
          <w:numId w:val="2"/>
        </w:numPr>
        <w:spacing w:after="70"/>
      </w:pPr>
      <w:r>
        <w:rPr>
          <w:sz w:val="22"/>
          <w:szCs w:val="22"/>
        </w:rPr>
        <w:t xml:space="preserve">Spring Framework — Validación en MVC: https://docs.spring.io/spring-framework/reference/web/webmvc/mvc-controller/ann-validation.html</w:t>
      </w:r>
    </w:p>
    <w:p>
      <w:pPr>
        <w:pStyle w:val="ListParagraph"/>
        <w:numPr>
          <w:ilvl w:val="0"/>
          <w:numId w:val="2"/>
        </w:numPr>
        <w:spacing w:after="70"/>
      </w:pPr>
      <w:r>
        <w:rPr>
          <w:sz w:val="22"/>
          <w:szCs w:val="22"/>
        </w:rPr>
        <w:t xml:space="preserve">Spring Cloud OpenFeign — Documentación oficial: https://spring.io/projects/spring-cloud-openfeign</w:t>
      </w:r>
    </w:p>
    <w:p>
      <w:pPr>
        <w:pStyle w:val="ListParagraph"/>
        <w:numPr>
          <w:ilvl w:val="0"/>
          <w:numId w:val="2"/>
        </w:numPr>
        <w:spacing w:after="70"/>
      </w:pPr>
      <w:r>
        <w:rPr>
          <w:sz w:val="22"/>
          <w:szCs w:val="22"/>
        </w:rPr>
        <w:t xml:space="preserve">Flyway — Database Migrations: https://documentation.red-gate.com/flyway</w:t>
      </w:r>
    </w:p>
    <w:p>
      <w:pPr>
        <w:pStyle w:val="ListParagraph"/>
        <w:numPr>
          <w:ilvl w:val="0"/>
          <w:numId w:val="2"/>
        </w:numPr>
        <w:spacing w:after="70"/>
      </w:pPr>
      <w:r>
        <w:rPr>
          <w:sz w:val="22"/>
          <w:szCs w:val="22"/>
        </w:rPr>
        <w:t xml:space="preserve">Ejemplo de configuración de seguridad (profe-robert): https://github.com/profe-robert/spring-auth</w:t>
      </w:r>
    </w:p>
    <w:p>
      <w:pPr>
        <w:pStyle w:val="Heading1"/>
      </w:pPr>
      <w:r>
        <w:t xml:space="preserve">9. Anexos</w:t>
      </w:r>
    </w:p>
    <w:p>
      <w:pPr>
        <w:spacing w:after="140" w:line="276"/>
      </w:pPr>
      <w:r>
        <w:rPr>
          <w:sz w:val="22"/>
          <w:szCs w:val="22"/>
        </w:rPr>
        <w:t xml:space="preserve">Se incluye evidencia de la ejecución y pruebas del sistema.</w:t>
      </w:r>
    </w:p>
    <w:p>
      <w:pPr>
        <w:spacing w:after="60" w:before="80"/>
        <w:jc w:val="center"/>
      </w:pPr>
      <w:r>
        <w:drawing>
          <wp:inline distT="0" distB="0" distL="0" distR="0">
            <wp:extent cx="4381500" cy="2638425"/>
            <wp:effectExtent t="0" r="0" b="0" l="0"/>
            <wp:docPr id="1" name="Anexo 1. Creación del proyecto y dependencias (Spring Initializr)" descr="Anexo 1. Creación del proyecto y dependencias (Spring Initializr)" title="Anexo 1. Creación del proyecto y dependencias (Spring Initializ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38425"/>
                    </a:xfrm>
                    <a:prstGeom prst="rect">
                      <a:avLst/>
                    </a:prstGeom>
                  </pic:spPr>
                </pic:pic>
              </a:graphicData>
            </a:graphic>
          </wp:inline>
        </w:drawing>
      </w:r>
    </w:p>
    <w:p>
      <w:pPr>
        <w:spacing w:after="160"/>
        <w:jc w:val="center"/>
      </w:pPr>
      <w:r>
        <w:rPr>
          <w:i/>
          <w:iCs/>
          <w:color w:val="5B6678"/>
          <w:sz w:val="18"/>
          <w:szCs w:val="18"/>
        </w:rPr>
        <w:t xml:space="preserve">Anexo 1. Creación del proyecto y dependencias (Spring Initializr)</w:t>
      </w:r>
    </w:p>
    <w:p>
      <w:pPr>
        <w:spacing w:after="140" w:line="276"/>
        <w:jc w:val="both"/>
      </w:pPr>
      <w:r>
        <w:rPr>
          <w:sz w:val="22"/>
          <w:szCs w:val="22"/>
        </w:rPr>
        <w:t xml:space="preserve">La imagen muestra la creación del proyecto en Spring Initializr (Maven, Java 21, Spring Boot). Se incorporaron todas las dependencias clave del sistema: Spring Web (API REST), Spring Security (seguridad), Flyway Migration (migraciones versionadas de la base de datos), OpenFeign (comunicación entre microservicios), Spring Data JPA (persistencia con ORM), SQLite Driver (base de datos), Lombok (reduce código repetitivo) y Validation (Bean Validation). Evidencia que el proyecto se construyó sobre el stack tecnológico exigido.</w:t>
      </w:r>
    </w:p>
    <w:p>
      <w:pPr>
        <w:spacing w:after="60" w:before="80"/>
        <w:jc w:val="center"/>
      </w:pPr>
      <w:r>
        <w:drawing>
          <wp:inline distT="0" distB="0" distL="0" distR="0">
            <wp:extent cx="4381500" cy="1381125"/>
            <wp:effectExtent t="0" r="0" b="0" l="0"/>
            <wp:docPr id="1" name="Anexo 2. Mascotas persistidas en la base de datos del microservicio (mascotas.db)" descr="Anexo 2. Mascotas persistidas en la base de datos del microservicio (mascotas.db)" title="Anexo 2. Mascotas persistidas en la base de datos del microservicio (mascotas.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381125"/>
                    </a:xfrm>
                    <a:prstGeom prst="rect">
                      <a:avLst/>
                    </a:prstGeom>
                  </pic:spPr>
                </pic:pic>
              </a:graphicData>
            </a:graphic>
          </wp:inline>
        </w:drawing>
      </w:r>
    </w:p>
    <w:p>
      <w:pPr>
        <w:spacing w:after="160"/>
        <w:jc w:val="center"/>
      </w:pPr>
      <w:r>
        <w:rPr>
          <w:i/>
          <w:iCs/>
          <w:color w:val="5B6678"/>
          <w:sz w:val="18"/>
          <w:szCs w:val="18"/>
        </w:rPr>
        <w:t xml:space="preserve">Anexo 2. Mascotas persistidas en la base de datos del microservicio (mascotas.db)</w:t>
      </w:r>
    </w:p>
    <w:p>
      <w:pPr>
        <w:spacing w:after="140" w:line="276"/>
        <w:jc w:val="both"/>
      </w:pPr>
      <w:r>
        <w:rPr>
          <w:sz w:val="22"/>
          <w:szCs w:val="22"/>
        </w:rPr>
        <w:t xml:space="preserve">Corresponde a la base de datos del microservicio de Mascotas (mascotas.db) abierta en un visor SQLite. En la tabla 'mascotas' se observan 6 registros: las 5 mascotas de ejemplo más la mascota con id 6 ('Raton'), creada a través de la API y persistida correctamente. También aparece la tabla 'flyway_schema_history', lo que confirma que las tablas fueron creadas por Flyway y no por Hibernate. Evidencia la persistencia con JPA y el uso de migraciones versionadas.</w:t>
      </w:r>
    </w:p>
    <w:p>
      <w:pPr>
        <w:spacing w:after="60" w:before="80"/>
        <w:jc w:val="center"/>
      </w:pPr>
      <w:r>
        <w:drawing>
          <wp:inline distT="0" distB="0" distL="0" distR="0">
            <wp:extent cx="4381500" cy="781050"/>
            <wp:effectExtent t="0" r="0" b="0" l="0"/>
            <wp:docPr id="1" name="Anexo 3. Base de datos independiente de MiPatita y contraseña cifrada con BCrypt" descr="Anexo 3. Base de datos independiente de MiPatita y contraseña cifrada con BCrypt" title="Anexo 3. Base de datos independiente de MiPatita y contraseña cifrada con BCry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781050"/>
                    </a:xfrm>
                    <a:prstGeom prst="rect">
                      <a:avLst/>
                    </a:prstGeom>
                  </pic:spPr>
                </pic:pic>
              </a:graphicData>
            </a:graphic>
          </wp:inline>
        </w:drawing>
      </w:r>
    </w:p>
    <w:p>
      <w:pPr>
        <w:spacing w:after="160"/>
        <w:jc w:val="center"/>
      </w:pPr>
      <w:r>
        <w:rPr>
          <w:i/>
          <w:iCs/>
          <w:color w:val="5B6678"/>
          <w:sz w:val="18"/>
          <w:szCs w:val="18"/>
        </w:rPr>
        <w:t xml:space="preserve">Anexo 3. Base de datos independiente de MiPatita y contraseña cifrada con BCrypt</w:t>
      </w:r>
    </w:p>
    <w:p>
      <w:pPr>
        <w:spacing w:after="140" w:line="276"/>
        <w:jc w:val="both"/>
      </w:pPr>
      <w:r>
        <w:rPr>
          <w:sz w:val="22"/>
          <w:szCs w:val="22"/>
        </w:rPr>
        <w:t xml:space="preserve">Corresponde a la base de datos del servicio MiPatita (mipatita.db), distinta e independiente de la de Mascotas. En la tabla 'usuarios' se ve el usuario registrado, y la contraseña NO está en texto plano: está cifrada con BCrypt (el hash comienza con '$2a$10$...'). También se aprecian las tablas propias de MiPatita: usuarios, actividades y recordatorios. Evidencia dos cosas: el principio de 'una base de datos por microservicio' (MiPatita tiene su propia base, separada de mascotas.db) y el cifrado de contraseñas.</w:t>
      </w:r>
    </w:p>
    <w:p>
      <w:pPr>
        <w:spacing w:after="60" w:before="80"/>
        <w:jc w:val="center"/>
      </w:pPr>
      <w:r>
        <w:drawing>
          <wp:inline distT="0" distB="0" distL="0" distR="0">
            <wp:extent cx="4381500" cy="2047875"/>
            <wp:effectExtent t="0" r="0" b="0" l="0"/>
            <wp:docPr id="1" name="Anexo 4. Registro de usuario en Postman (POST /auth/registro)" descr="Anexo 4. Registro de usuario en Postman (POST /auth/registro)" title="Anexo 4. Registro de usuario en Postman (POST /auth/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047875"/>
                    </a:xfrm>
                    <a:prstGeom prst="rect">
                      <a:avLst/>
                    </a:prstGeom>
                  </pic:spPr>
                </pic:pic>
              </a:graphicData>
            </a:graphic>
          </wp:inline>
        </w:drawing>
      </w:r>
    </w:p>
    <w:p>
      <w:pPr>
        <w:spacing w:after="160"/>
        <w:jc w:val="center"/>
      </w:pPr>
      <w:r>
        <w:rPr>
          <w:i/>
          <w:iCs/>
          <w:color w:val="5B6678"/>
          <w:sz w:val="18"/>
          <w:szCs w:val="18"/>
        </w:rPr>
        <w:t xml:space="preserve">Anexo 4. Registro de usuario en Postman (POST /auth/registro)</w:t>
      </w:r>
    </w:p>
    <w:p>
      <w:pPr>
        <w:spacing w:after="140" w:line="276"/>
        <w:jc w:val="both"/>
      </w:pPr>
      <w:r>
        <w:rPr>
          <w:sz w:val="22"/>
          <w:szCs w:val="22"/>
        </w:rPr>
        <w:t xml:space="preserve">Muestra una petición POST al endpoint /api/v1/auth/registro desde Postman, enviando en el cuerpo (Body, en formato JSON) el username, la password y el role del nuevo usuario. La respuesta '200 OK' con el mensaje 'Usuario registrado exitosamente' evidencia que el endpoint de registro funciona y crea el usuario (cuya contraseña queda cifrada, como se ve en el Anexo 3).</w:t>
      </w:r>
    </w:p>
    <w:p>
      <w:pPr>
        <w:spacing w:after="60" w:before="80"/>
        <w:jc w:val="center"/>
      </w:pPr>
      <w:r>
        <w:drawing>
          <wp:inline distT="0" distB="0" distL="0" distR="0">
            <wp:extent cx="4381500" cy="2238375"/>
            <wp:effectExtent t="0" r="0" b="0" l="0"/>
            <wp:docPr id="1" name="Anexo 5. Login y generación de token JWT en Postman (POST /auth/login)" descr="Anexo 5. Login y generación de token JWT en Postman (POST /auth/login)" title="Anexo 5. Login y generación de token JWT en Postman (POST /auth/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238375"/>
                    </a:xfrm>
                    <a:prstGeom prst="rect">
                      <a:avLst/>
                    </a:prstGeom>
                  </pic:spPr>
                </pic:pic>
              </a:graphicData>
            </a:graphic>
          </wp:inline>
        </w:drawing>
      </w:r>
    </w:p>
    <w:p>
      <w:pPr>
        <w:spacing w:after="160"/>
        <w:jc w:val="center"/>
      </w:pPr>
      <w:r>
        <w:rPr>
          <w:i/>
          <w:iCs/>
          <w:color w:val="5B6678"/>
          <w:sz w:val="18"/>
          <w:szCs w:val="18"/>
        </w:rPr>
        <w:t xml:space="preserve">Anexo 5. Login y generación de token JWT en Postman (POST /auth/login)</w:t>
      </w:r>
    </w:p>
    <w:p>
      <w:pPr>
        <w:spacing w:after="140" w:line="276"/>
        <w:jc w:val="both"/>
      </w:pPr>
      <w:r>
        <w:rPr>
          <w:sz w:val="22"/>
          <w:szCs w:val="22"/>
        </w:rPr>
        <w:t xml:space="preserve">Muestra una petición POST al endpoint /api/v1/auth/login con las credenciales del usuario. La respuesta '200 OK' devuelve un token JWT (campo 'token' con la cadena 'eyJhbGci...'). Ese token es el que el cliente debe enviar en la cabecera Authorization en las siguientes peticiones para acceder a las rutas protegidas. Evidencia la seguridad stateless mediante JWT: el servidor no guarda sesión, sino que entrega un token firmado.</w:t>
      </w:r>
    </w:p>
    <w:p>
      <w:pPr>
        <w:pStyle w:val="Heading2"/>
      </w:pPr>
      <w:r>
        <w:t xml:space="preserve">9.6. Pruebas funcionales (verificación de extremo a extremo)</w:t>
      </w:r>
    </w:p>
    <w:p>
      <w:pPr>
        <w:spacing w:after="140" w:line="276"/>
      </w:pPr>
      <w:r>
        <w:rPr>
          <w:sz w:val="22"/>
          <w:szCs w:val="22"/>
        </w:rPr>
        <w:t xml:space="preserve">Se levantaron ambos servicios y se ejecutó el flujo completo con los siguientes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D6DCE8" w:sz="1"/>
              <w:left w:val="single" w:color="D6DCE8" w:sz="1"/>
              <w:bottom w:val="single" w:color="D6DCE8" w:sz="1"/>
              <w:right w:val="single" w:color="D6DCE8" w:sz="1"/>
            </w:tcBorders>
            <w:shd w:fill="0B1F3A" w:val="clear"/>
            <w:tcMar>
              <w:top w:type="dxa" w:w="60"/>
              <w:left w:type="dxa" w:w="110"/>
              <w:bottom w:type="dxa" w:w="60"/>
              <w:right w:type="dxa" w:w="110"/>
            </w:tcMar>
            <w:vAlign w:val="center"/>
          </w:tcPr>
          <w:p>
            <w:r>
              <w:rPr>
                <w:b/>
                <w:bCs/>
                <w:color w:val="FFFFFF"/>
                <w:sz w:val="19"/>
                <w:szCs w:val="19"/>
              </w:rPr>
              <w:t xml:space="preserve">Prueba</w:t>
            </w:r>
          </w:p>
        </w:tc>
        <w:tc>
          <w:tcPr>
            <w:tcW w:type="dxa" w:w="3360"/>
            <w:tcBorders>
              <w:top w:val="single" w:color="D6DCE8" w:sz="1"/>
              <w:left w:val="single" w:color="D6DCE8" w:sz="1"/>
              <w:bottom w:val="single" w:color="D6DCE8" w:sz="1"/>
              <w:right w:val="single" w:color="D6DCE8" w:sz="1"/>
            </w:tcBorders>
            <w:shd w:fill="0B1F3A" w:val="clear"/>
            <w:tcMar>
              <w:top w:type="dxa" w:w="60"/>
              <w:left w:type="dxa" w:w="110"/>
              <w:bottom w:type="dxa" w:w="60"/>
              <w:right w:type="dxa" w:w="110"/>
            </w:tcMar>
            <w:vAlign w:val="center"/>
          </w:tcPr>
          <w:p>
            <w:r>
              <w:rPr>
                <w:b/>
                <w:bCs/>
                <w:color w:val="FFFFFF"/>
                <w:sz w:val="19"/>
                <w:szCs w:val="19"/>
              </w:rPr>
              <w:t xml:space="preserve">Resultado</w:t>
            </w:r>
          </w:p>
        </w:tc>
      </w:tr>
      <w:tr>
        <w:trPr>
          <w:tblHeader w:val="false"/>
        </w:trPr>
        <w:tc>
          <w:tcPr>
            <w:tcW w:type="dxa" w:w="60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Registro de usuario</w:t>
            </w:r>
          </w:p>
        </w:tc>
        <w:tc>
          <w:tcPr>
            <w:tcW w:type="dxa" w:w="33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200 OK</w:t>
            </w:r>
          </w:p>
        </w:tc>
      </w:tr>
      <w:tr>
        <w:trPr>
          <w:tblHeader w:val="false"/>
        </w:trPr>
        <w:tc>
          <w:tcPr>
            <w:tcW w:type="dxa" w:w="60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Registro con contraseña vacía</w:t>
            </w:r>
          </w:p>
        </w:tc>
        <w:tc>
          <w:tcPr>
            <w:tcW w:type="dxa" w:w="33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400 (validación)</w:t>
            </w:r>
          </w:p>
        </w:tc>
      </w:tr>
      <w:tr>
        <w:trPr>
          <w:tblHeader w:val="false"/>
        </w:trPr>
        <w:tc>
          <w:tcPr>
            <w:tcW w:type="dxa" w:w="60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Login correcto</w:t>
            </w:r>
          </w:p>
        </w:tc>
        <w:tc>
          <w:tcPr>
            <w:tcW w:type="dxa" w:w="33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200 + token JWT</w:t>
            </w:r>
          </w:p>
        </w:tc>
      </w:tr>
      <w:tr>
        <w:trPr>
          <w:tblHeader w:val="false"/>
        </w:trPr>
        <w:tc>
          <w:tcPr>
            <w:tcW w:type="dxa" w:w="60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Login con contraseña incorrecta</w:t>
            </w:r>
          </w:p>
        </w:tc>
        <w:tc>
          <w:tcPr>
            <w:tcW w:type="dxa" w:w="33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401 Unauthorized</w:t>
            </w:r>
          </w:p>
        </w:tc>
      </w:tr>
      <w:tr>
        <w:trPr>
          <w:tblHeader w:val="false"/>
        </w:trPr>
        <w:tc>
          <w:tcPr>
            <w:tcW w:type="dxa" w:w="60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Listar mascotas sin token</w:t>
            </w:r>
          </w:p>
        </w:tc>
        <w:tc>
          <w:tcPr>
            <w:tcW w:type="dxa" w:w="33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403 Forbidden</w:t>
            </w:r>
          </w:p>
        </w:tc>
      </w:tr>
      <w:tr>
        <w:trPr>
          <w:tblHeader w:val="false"/>
        </w:trPr>
        <w:tc>
          <w:tcPr>
            <w:tcW w:type="dxa" w:w="60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Listar mascotas con token (vía Feign)</w:t>
            </w:r>
          </w:p>
        </w:tc>
        <w:tc>
          <w:tcPr>
            <w:tcW w:type="dxa" w:w="33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200 + 5 mascotas</w:t>
            </w:r>
          </w:p>
        </w:tc>
      </w:tr>
      <w:tr>
        <w:trPr>
          <w:tblHeader w:val="false"/>
        </w:trPr>
        <w:tc>
          <w:tcPr>
            <w:tcW w:type="dxa" w:w="60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Crear mascota vía Feign</w:t>
            </w:r>
          </w:p>
        </w:tc>
        <w:tc>
          <w:tcPr>
            <w:tcW w:type="dxa" w:w="33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201 Created</w:t>
            </w:r>
          </w:p>
        </w:tc>
      </w:tr>
      <w:tr>
        <w:trPr>
          <w:tblHeader w:val="false"/>
        </w:trPr>
        <w:tc>
          <w:tcPr>
            <w:tcW w:type="dxa" w:w="60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Crear paseo con mascota válida</w:t>
            </w:r>
          </w:p>
        </w:tc>
        <w:tc>
          <w:tcPr>
            <w:tcW w:type="dxa" w:w="33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201 Created</w:t>
            </w:r>
          </w:p>
        </w:tc>
      </w:tr>
      <w:tr>
        <w:trPr>
          <w:tblHeader w:val="false"/>
        </w:trPr>
        <w:tc>
          <w:tcPr>
            <w:tcW w:type="dxa" w:w="60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Crear paseo con mascota inexistente</w:t>
            </w:r>
          </w:p>
        </w:tc>
        <w:tc>
          <w:tcPr>
            <w:tcW w:type="dxa" w:w="33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400 (regla cross-service)</w:t>
            </w:r>
          </w:p>
        </w:tc>
      </w:tr>
      <w:tr>
        <w:trPr>
          <w:tblHeader w:val="false"/>
        </w:trPr>
        <w:tc>
          <w:tcPr>
            <w:tcW w:type="dxa" w:w="600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Crear recordatorio</w:t>
            </w:r>
          </w:p>
        </w:tc>
        <w:tc>
          <w:tcPr>
            <w:tcW w:type="dxa" w:w="3360"/>
            <w:tcBorders>
              <w:top w:val="single" w:color="D6DCE8" w:sz="1"/>
              <w:left w:val="single" w:color="D6DCE8" w:sz="1"/>
              <w:bottom w:val="single" w:color="D6DCE8" w:sz="1"/>
              <w:right w:val="single" w:color="D6DCE8" w:sz="1"/>
            </w:tcBorders>
            <w:shd w:fill="FFFFFF" w:val="clear"/>
            <w:tcMar>
              <w:top w:type="dxa" w:w="60"/>
              <w:left w:type="dxa" w:w="110"/>
              <w:bottom w:type="dxa" w:w="60"/>
              <w:right w:type="dxa" w:w="110"/>
            </w:tcMar>
            <w:vAlign w:val="center"/>
          </w:tcPr>
          <w:p>
            <w:r>
              <w:rPr>
                <w:b w:val="false"/>
                <w:bCs w:val="false"/>
                <w:color w:val="1E2B45"/>
                <w:sz w:val="19"/>
                <w:szCs w:val="19"/>
              </w:rPr>
              <w:t xml:space="preserve">201 Created</w:t>
            </w:r>
          </w:p>
        </w:tc>
      </w:tr>
    </w:tbl>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8"/>
        <w:sz w:val="16"/>
        <w:szCs w:val="16"/>
      </w:rPr>
      <w:t xml:space="preserve">MiPatita — Informe Técnico  |  Página </w:t>
    </w:r>
    <w:r>
      <w:rPr>
        <w:color w:val="5B66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CE8" w:sz="4" w:space="4"/>
      </w:pBdr>
      <w:jc w:val="right"/>
    </w:pPr>
    <w:r>
      <w:rPr>
        <w:color w:val="5B6678"/>
        <w:sz w:val="16"/>
        <w:szCs w:val="16"/>
      </w:rPr>
      <w:t xml:space="preserve">Desarrollo Fullstack I — DSY1103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B4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B1F3A"/>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E63F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9565a6b691e9575915ee2259a940955c6649b7.png"/><Relationship Id="rId10" Type="http://schemas.openxmlformats.org/officeDocument/2006/relationships/image" Target="media/488582704094e194e5f49264eb46c0ced0a657d0.png"/><Relationship Id="rId11" Type="http://schemas.openxmlformats.org/officeDocument/2006/relationships/image" Target="media/ef99f0fd5ede921f6723b2d773bbfaa0b3d5a55f.png"/><Relationship Id="rId12" Type="http://schemas.openxmlformats.org/officeDocument/2006/relationships/image" Target="media/6fe08eefdf7b66e961eb371b2d8344e78f89fbce.png"/><Relationship Id="rId13" Type="http://schemas.openxmlformats.org/officeDocument/2006/relationships/image" Target="media/159035ee0ff64da456a4ae3a0329967b69b4facd.png"/><Relationship Id="rId14" Type="http://schemas.openxmlformats.org/officeDocument/2006/relationships/image" Target="media/2cb54fb0f5d7de82d67a28bbda2800bdd009429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MiPatita</dc:title>
  <dc:creator>Equipo MiPatita</dc:creator>
  <cp:lastModifiedBy>Un-named</cp:lastModifiedBy>
  <cp:revision>1</cp:revision>
  <dcterms:created xsi:type="dcterms:W3CDTF">2026-06-05T17:51:34.855Z</dcterms:created>
  <dcterms:modified xsi:type="dcterms:W3CDTF">2026-06-05T17:51:34.864Z</dcterms:modified>
</cp:coreProperties>
</file>

<file path=docProps/custom.xml><?xml version="1.0" encoding="utf-8"?>
<Properties xmlns="http://schemas.openxmlformats.org/officeDocument/2006/custom-properties" xmlns:vt="http://schemas.openxmlformats.org/officeDocument/2006/docPropsVTypes"/>
</file>