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CERERE DE CHEMARE ÎN JUDECATĂ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Dosar nr. 1234/2024 — Judecătoria (fictivă) Sector Exemplu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Reclamant: ALFA CONSTRUCT SRL, prin av. Andrei Exemplu. Pârât: OMEGA BETON SRL, cod fiscal 00000909 (fictiv).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Obiectul cererii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Solicităm obligarea pârâtei la plata sumei de 86.400 lei, reprezentând contravaloarea betonului livrat neconform și a lucrărilor de remediere, precum și a penalităților de întârziere prevăzute în contractul de furnizare nr. 55/2023.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Motivele cererii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Pârâta a livrat beton de altă clasă decât cea comandată, fapt constatat prin raportul de încercări din 03.04.2024. Notificarea transmisă la 15.04.2024 a rămas fără răspuns.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Termene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Primul termen de judecată a fost fixat la data de 14.11.2024. Termenul pentru depunerea răspunsului la întâmpinare este de 10 zile de la comunicare.</w:t>
      </w:r>
    </w:p>
    <w:p>
      <w:pPr>
        <w:spacing w:before="480" w:after="120"/>
      </w:pPr>
      <w:r>
        <w:rPr>
          <w:b/>
          <w:sz w:val="22"/>
          <w:szCs w:val="22"/>
        </w:rPr>
        <w:t xml:space="preserve">av. Andrei Exemplu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Dosar_1234-2024_cerere_de_chemare_in_judecata</dc:title>
  <dc:creator>Document demonstrativ (fictiv)</dc:creator>
</cp:coreProperties>
</file>