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B0DE8" w14:textId="3B986E96" w:rsidR="00935796" w:rsidRPr="00801050" w:rsidRDefault="00801050" w:rsidP="00801050">
      <w:pPr>
        <w:spacing w:line="360" w:lineRule="auto"/>
        <w:jc w:val="center"/>
        <w:rPr>
          <w:rFonts w:ascii="Arial" w:hAnsi="Arial" w:cs="Arial"/>
          <w:b/>
          <w:bCs/>
          <w:sz w:val="22"/>
          <w:szCs w:val="22"/>
        </w:rPr>
      </w:pPr>
      <w:r w:rsidRPr="00801050">
        <w:rPr>
          <w:rFonts w:ascii="Arial" w:hAnsi="Arial" w:cs="Arial"/>
          <w:b/>
          <w:bCs/>
          <w:i/>
          <w:iCs/>
          <w:sz w:val="22"/>
          <w:szCs w:val="22"/>
        </w:rPr>
        <w:t>Cajamarca hacia el desarrollo territorial: fortaleciendo la gestión de inversiones públicas</w:t>
      </w:r>
    </w:p>
    <w:tbl>
      <w:tblPr>
        <w:tblStyle w:val="Tablaconcuadrcula"/>
        <w:tblW w:w="1020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43"/>
        <w:gridCol w:w="8363"/>
      </w:tblGrid>
      <w:tr w:rsidR="00935796" w:rsidRPr="00801050" w14:paraId="6C848D08" w14:textId="77777777" w:rsidTr="002130B2">
        <w:tc>
          <w:tcPr>
            <w:tcW w:w="1843" w:type="dxa"/>
          </w:tcPr>
          <w:p w14:paraId="1A38792E" w14:textId="014838ED" w:rsidR="00935796" w:rsidRPr="00801050" w:rsidRDefault="00935796" w:rsidP="0060480E">
            <w:pPr>
              <w:spacing w:line="360" w:lineRule="auto"/>
              <w:jc w:val="both"/>
              <w:rPr>
                <w:rFonts w:ascii="Arial" w:hAnsi="Arial" w:cs="Arial"/>
                <w:b/>
                <w:bCs/>
                <w:sz w:val="22"/>
                <w:szCs w:val="22"/>
              </w:rPr>
            </w:pPr>
            <w:r w:rsidRPr="00801050">
              <w:rPr>
                <w:rFonts w:ascii="Arial" w:hAnsi="Arial" w:cs="Arial"/>
                <w:b/>
                <w:bCs/>
                <w:sz w:val="22"/>
                <w:szCs w:val="22"/>
              </w:rPr>
              <w:t>Tema</w:t>
            </w:r>
          </w:p>
        </w:tc>
        <w:tc>
          <w:tcPr>
            <w:tcW w:w="8363" w:type="dxa"/>
          </w:tcPr>
          <w:p w14:paraId="038DA877" w14:textId="171ACB44" w:rsidR="00935796" w:rsidRPr="00801050" w:rsidRDefault="00935796" w:rsidP="0060480E">
            <w:pPr>
              <w:spacing w:line="360" w:lineRule="auto"/>
              <w:jc w:val="both"/>
              <w:rPr>
                <w:rFonts w:ascii="Arial" w:hAnsi="Arial" w:cs="Arial"/>
                <w:b/>
                <w:bCs/>
                <w:sz w:val="22"/>
                <w:szCs w:val="22"/>
              </w:rPr>
            </w:pPr>
            <w:r w:rsidRPr="00801050">
              <w:rPr>
                <w:rFonts w:ascii="Arial" w:hAnsi="Arial" w:cs="Arial"/>
                <w:b/>
                <w:bCs/>
                <w:sz w:val="22"/>
                <w:szCs w:val="22"/>
              </w:rPr>
              <w:t>Gestión del territorio y desarrollo social.</w:t>
            </w:r>
          </w:p>
        </w:tc>
      </w:tr>
      <w:tr w:rsidR="00935796" w:rsidRPr="00801050" w14:paraId="2567FD13" w14:textId="77777777" w:rsidTr="002130B2">
        <w:tc>
          <w:tcPr>
            <w:tcW w:w="1843" w:type="dxa"/>
          </w:tcPr>
          <w:p w14:paraId="342367C4" w14:textId="4D6226A5" w:rsidR="00935796" w:rsidRPr="00801050" w:rsidRDefault="00935796" w:rsidP="0060480E">
            <w:pPr>
              <w:spacing w:line="360" w:lineRule="auto"/>
              <w:jc w:val="both"/>
              <w:rPr>
                <w:rFonts w:ascii="Arial" w:hAnsi="Arial" w:cs="Arial"/>
                <w:b/>
                <w:bCs/>
                <w:sz w:val="22"/>
                <w:szCs w:val="22"/>
              </w:rPr>
            </w:pPr>
            <w:r w:rsidRPr="00801050">
              <w:rPr>
                <w:rFonts w:ascii="Arial" w:hAnsi="Arial" w:cs="Arial"/>
                <w:b/>
                <w:bCs/>
                <w:sz w:val="22"/>
                <w:szCs w:val="22"/>
              </w:rPr>
              <w:t>Categoría</w:t>
            </w:r>
          </w:p>
        </w:tc>
        <w:tc>
          <w:tcPr>
            <w:tcW w:w="8363" w:type="dxa"/>
          </w:tcPr>
          <w:p w14:paraId="4D50876B" w14:textId="23D678BB" w:rsidR="00935796" w:rsidRPr="00801050" w:rsidRDefault="00935796" w:rsidP="0060480E">
            <w:pPr>
              <w:spacing w:line="360" w:lineRule="auto"/>
              <w:jc w:val="both"/>
              <w:rPr>
                <w:rFonts w:ascii="Arial" w:hAnsi="Arial" w:cs="Arial"/>
                <w:b/>
                <w:bCs/>
                <w:sz w:val="22"/>
                <w:szCs w:val="22"/>
              </w:rPr>
            </w:pPr>
            <w:r w:rsidRPr="00801050">
              <w:rPr>
                <w:rFonts w:ascii="Arial" w:hAnsi="Arial" w:cs="Arial"/>
                <w:b/>
                <w:bCs/>
                <w:sz w:val="22"/>
                <w:szCs w:val="22"/>
              </w:rPr>
              <w:t>ESG (</w:t>
            </w:r>
            <w:proofErr w:type="spellStart"/>
            <w:r w:rsidRPr="00801050">
              <w:rPr>
                <w:rFonts w:ascii="Arial" w:hAnsi="Arial" w:cs="Arial"/>
                <w:b/>
                <w:bCs/>
                <w:sz w:val="22"/>
                <w:szCs w:val="22"/>
              </w:rPr>
              <w:t>Environmental</w:t>
            </w:r>
            <w:proofErr w:type="spellEnd"/>
            <w:r w:rsidRPr="00801050">
              <w:rPr>
                <w:rFonts w:ascii="Arial" w:hAnsi="Arial" w:cs="Arial"/>
                <w:b/>
                <w:bCs/>
                <w:sz w:val="22"/>
                <w:szCs w:val="22"/>
              </w:rPr>
              <w:t xml:space="preserve">, Social, </w:t>
            </w:r>
            <w:proofErr w:type="spellStart"/>
            <w:r w:rsidRPr="00801050">
              <w:rPr>
                <w:rFonts w:ascii="Arial" w:hAnsi="Arial" w:cs="Arial"/>
                <w:b/>
                <w:bCs/>
                <w:sz w:val="22"/>
                <w:szCs w:val="22"/>
              </w:rPr>
              <w:t>Governance</w:t>
            </w:r>
            <w:proofErr w:type="spellEnd"/>
            <w:r w:rsidRPr="00801050">
              <w:rPr>
                <w:rFonts w:ascii="Arial" w:hAnsi="Arial" w:cs="Arial"/>
                <w:b/>
                <w:bCs/>
                <w:sz w:val="22"/>
                <w:szCs w:val="22"/>
              </w:rPr>
              <w:t>)</w:t>
            </w:r>
          </w:p>
        </w:tc>
      </w:tr>
      <w:tr w:rsidR="00935796" w:rsidRPr="00801050" w14:paraId="5B48FEC2" w14:textId="77777777" w:rsidTr="002130B2">
        <w:tc>
          <w:tcPr>
            <w:tcW w:w="1843" w:type="dxa"/>
          </w:tcPr>
          <w:p w14:paraId="6B5E10ED" w14:textId="154546E8" w:rsidR="00935796" w:rsidRPr="00801050" w:rsidRDefault="00935796" w:rsidP="0060480E">
            <w:pPr>
              <w:spacing w:line="360" w:lineRule="auto"/>
              <w:jc w:val="both"/>
              <w:rPr>
                <w:rFonts w:ascii="Arial" w:hAnsi="Arial" w:cs="Arial"/>
                <w:b/>
                <w:bCs/>
                <w:sz w:val="22"/>
                <w:szCs w:val="22"/>
              </w:rPr>
            </w:pPr>
            <w:r w:rsidRPr="00801050">
              <w:rPr>
                <w:rFonts w:ascii="Arial" w:hAnsi="Arial" w:cs="Arial"/>
                <w:b/>
                <w:bCs/>
                <w:sz w:val="22"/>
                <w:szCs w:val="22"/>
              </w:rPr>
              <w:t>Palabras claves</w:t>
            </w:r>
          </w:p>
        </w:tc>
        <w:tc>
          <w:tcPr>
            <w:tcW w:w="8363" w:type="dxa"/>
          </w:tcPr>
          <w:p w14:paraId="12BC4252" w14:textId="7BC7322A" w:rsidR="00935796" w:rsidRPr="00801050" w:rsidRDefault="00935796" w:rsidP="0060480E">
            <w:pPr>
              <w:spacing w:line="360" w:lineRule="auto"/>
              <w:jc w:val="both"/>
              <w:rPr>
                <w:rFonts w:ascii="Arial" w:hAnsi="Arial" w:cs="Arial"/>
                <w:b/>
                <w:bCs/>
                <w:sz w:val="22"/>
                <w:szCs w:val="22"/>
              </w:rPr>
            </w:pPr>
            <w:r w:rsidRPr="00801050">
              <w:rPr>
                <w:rFonts w:ascii="Arial" w:hAnsi="Arial" w:cs="Arial"/>
                <w:sz w:val="22"/>
                <w:szCs w:val="22"/>
              </w:rPr>
              <w:t>Inversi</w:t>
            </w:r>
            <w:r w:rsidR="002130B2">
              <w:rPr>
                <w:rFonts w:ascii="Arial" w:hAnsi="Arial" w:cs="Arial"/>
                <w:sz w:val="22"/>
                <w:szCs w:val="22"/>
              </w:rPr>
              <w:t>ón pública</w:t>
            </w:r>
            <w:r w:rsidRPr="00801050">
              <w:rPr>
                <w:rFonts w:ascii="Arial" w:hAnsi="Arial" w:cs="Arial"/>
                <w:sz w:val="22"/>
                <w:szCs w:val="22"/>
              </w:rPr>
              <w:t>, Desarrollo territorial, Cajamarca, Priorización, Ejecución, Brechas</w:t>
            </w:r>
          </w:p>
        </w:tc>
      </w:tr>
    </w:tbl>
    <w:p w14:paraId="2FF34807" w14:textId="56184B90" w:rsidR="00801050" w:rsidRPr="00801050" w:rsidRDefault="00801050" w:rsidP="005778E9">
      <w:pPr>
        <w:spacing w:line="360" w:lineRule="auto"/>
        <w:jc w:val="both"/>
        <w:rPr>
          <w:rFonts w:ascii="Arial" w:hAnsi="Arial" w:cs="Arial"/>
          <w:b/>
          <w:bCs/>
          <w:sz w:val="22"/>
          <w:szCs w:val="22"/>
        </w:rPr>
      </w:pPr>
      <w:r w:rsidRPr="00801050">
        <w:rPr>
          <w:rFonts w:ascii="Arial" w:hAnsi="Arial" w:cs="Arial"/>
          <w:b/>
          <w:bCs/>
          <w:sz w:val="22"/>
          <w:szCs w:val="22"/>
        </w:rPr>
        <w:t>Resumen</w:t>
      </w:r>
    </w:p>
    <w:p w14:paraId="5EE423D1" w14:textId="77777777" w:rsidR="00801050" w:rsidRPr="00801050" w:rsidRDefault="00801050" w:rsidP="00801050">
      <w:pPr>
        <w:spacing w:line="360" w:lineRule="auto"/>
        <w:jc w:val="both"/>
        <w:rPr>
          <w:rFonts w:ascii="Arial" w:hAnsi="Arial" w:cs="Arial"/>
          <w:sz w:val="22"/>
          <w:szCs w:val="22"/>
        </w:rPr>
      </w:pPr>
      <w:r w:rsidRPr="00801050">
        <w:rPr>
          <w:rFonts w:ascii="Arial" w:hAnsi="Arial" w:cs="Arial"/>
          <w:sz w:val="22"/>
          <w:szCs w:val="22"/>
        </w:rPr>
        <w:t>Cajamarca es la región más pobre del país: el 44.5% de su población vive en situación de pobreza, frente al promedio nacional de 29%. Solo el 26% accede a un paquete completo de servicios básicos, muy por debajo del promedio nacional (47%). A pesar de estas brechas y de haber recibido más de S/2,700 millones por canon y regalías mineras entre 2014 y 2024, la capacidad de ejecución de inversiones ha sido históricamente limitada, dificultando el cierre de brechas sociales y de infraestructura.</w:t>
      </w:r>
    </w:p>
    <w:p w14:paraId="639F6FA6" w14:textId="13CC6FE1" w:rsidR="00011F1D" w:rsidRDefault="00801050" w:rsidP="00714EFD">
      <w:pPr>
        <w:spacing w:line="360" w:lineRule="auto"/>
        <w:jc w:val="both"/>
        <w:rPr>
          <w:rFonts w:ascii="Arial" w:hAnsi="Arial" w:cs="Arial"/>
          <w:sz w:val="22"/>
          <w:szCs w:val="22"/>
        </w:rPr>
      </w:pPr>
      <w:r w:rsidRPr="00801050">
        <w:rPr>
          <w:rFonts w:ascii="Arial" w:hAnsi="Arial" w:cs="Arial"/>
          <w:sz w:val="22"/>
          <w:szCs w:val="22"/>
        </w:rPr>
        <w:t xml:space="preserve">Ante esta situación, surgió una alianza entre el Gobierno Regional de Cajamarca (GORE Cajamarca) y la minera </w:t>
      </w:r>
      <w:proofErr w:type="spellStart"/>
      <w:r w:rsidRPr="00801050">
        <w:rPr>
          <w:rFonts w:ascii="Arial" w:hAnsi="Arial" w:cs="Arial"/>
          <w:sz w:val="22"/>
          <w:szCs w:val="22"/>
        </w:rPr>
        <w:t>Newmont</w:t>
      </w:r>
      <w:proofErr w:type="spellEnd"/>
      <w:r w:rsidRPr="00801050">
        <w:rPr>
          <w:rFonts w:ascii="Arial" w:hAnsi="Arial" w:cs="Arial"/>
          <w:sz w:val="22"/>
          <w:szCs w:val="22"/>
        </w:rPr>
        <w:t>, a través de ALAC, su brazo social. Esta colaboración responde a un problema evidente: no hay una relación directa entre las transferencias mineras y la mejora en los indicadores de desarrollo</w:t>
      </w:r>
      <w:r>
        <w:rPr>
          <w:rFonts w:ascii="Arial" w:hAnsi="Arial" w:cs="Arial"/>
          <w:sz w:val="22"/>
          <w:szCs w:val="22"/>
        </w:rPr>
        <w:t xml:space="preserve"> en Cajamarca</w:t>
      </w:r>
      <w:r w:rsidRPr="00801050">
        <w:rPr>
          <w:rFonts w:ascii="Arial" w:hAnsi="Arial" w:cs="Arial"/>
          <w:sz w:val="22"/>
          <w:szCs w:val="22"/>
        </w:rPr>
        <w:t xml:space="preserve">. Por ejemplo, entre 2007 y 2018, distritos como </w:t>
      </w:r>
      <w:proofErr w:type="spellStart"/>
      <w:r w:rsidRPr="00801050">
        <w:rPr>
          <w:rFonts w:ascii="Arial" w:hAnsi="Arial" w:cs="Arial"/>
          <w:sz w:val="22"/>
          <w:szCs w:val="22"/>
        </w:rPr>
        <w:t>Chugur</w:t>
      </w:r>
      <w:proofErr w:type="spellEnd"/>
      <w:r w:rsidRPr="00801050">
        <w:rPr>
          <w:rFonts w:ascii="Arial" w:hAnsi="Arial" w:cs="Arial"/>
          <w:sz w:val="22"/>
          <w:szCs w:val="22"/>
        </w:rPr>
        <w:t xml:space="preserve"> y Encañada recibieron altos montos per cápita</w:t>
      </w:r>
      <w:r w:rsidR="00011F1D">
        <w:rPr>
          <w:rFonts w:ascii="Arial" w:hAnsi="Arial" w:cs="Arial"/>
          <w:sz w:val="22"/>
          <w:szCs w:val="22"/>
        </w:rPr>
        <w:t>,</w:t>
      </w:r>
      <w:r w:rsidRPr="00801050">
        <w:rPr>
          <w:rFonts w:ascii="Arial" w:hAnsi="Arial" w:cs="Arial"/>
          <w:sz w:val="22"/>
          <w:szCs w:val="22"/>
        </w:rPr>
        <w:t xml:space="preserve"> pero apenas redujeron su pobreza en 4 puntos, mientras Cajabamba, con mucho menos recursos, logró una reducción de más de 25 puntos. Esto evidencia que</w:t>
      </w:r>
      <w:r w:rsidR="00011F1D">
        <w:rPr>
          <w:rFonts w:ascii="Arial" w:hAnsi="Arial" w:cs="Arial"/>
          <w:sz w:val="22"/>
          <w:szCs w:val="22"/>
        </w:rPr>
        <w:t>,</w:t>
      </w:r>
      <w:r w:rsidRPr="00801050">
        <w:rPr>
          <w:rFonts w:ascii="Arial" w:hAnsi="Arial" w:cs="Arial"/>
          <w:sz w:val="22"/>
          <w:szCs w:val="22"/>
        </w:rPr>
        <w:t xml:space="preserve"> sin una buena gestión pública, los recursos no generan impacto.</w:t>
      </w:r>
    </w:p>
    <w:p w14:paraId="723A45E5" w14:textId="77777777" w:rsidR="00FC0476" w:rsidRPr="0007531F" w:rsidRDefault="00FC0476" w:rsidP="00FC0476">
      <w:pPr>
        <w:spacing w:after="0" w:line="240" w:lineRule="auto"/>
        <w:jc w:val="center"/>
        <w:rPr>
          <w:rFonts w:ascii="Arial" w:hAnsi="Arial" w:cs="Arial"/>
          <w:sz w:val="22"/>
          <w:szCs w:val="22"/>
        </w:rPr>
      </w:pPr>
      <w:r w:rsidRPr="00371559">
        <w:rPr>
          <w:rFonts w:ascii="Arial" w:hAnsi="Arial" w:cs="Arial"/>
          <w:b/>
          <w:bCs/>
          <w:sz w:val="22"/>
          <w:szCs w:val="22"/>
        </w:rPr>
        <w:t>Transferencias per cápita de canon y regalías y pobreza monetaria</w:t>
      </w:r>
    </w:p>
    <w:p w14:paraId="40984C24" w14:textId="77777777" w:rsidR="00FC0476" w:rsidRPr="00371559" w:rsidRDefault="00FC0476" w:rsidP="00FC0476">
      <w:pPr>
        <w:spacing w:after="0" w:line="360" w:lineRule="auto"/>
        <w:ind w:left="-851" w:right="-710"/>
        <w:jc w:val="center"/>
        <w:rPr>
          <w:rFonts w:ascii="Arial" w:hAnsi="Arial" w:cs="Arial"/>
          <w:i/>
          <w:iCs/>
          <w:sz w:val="18"/>
          <w:szCs w:val="18"/>
        </w:rPr>
      </w:pPr>
      <w:r w:rsidRPr="00371559">
        <w:rPr>
          <w:rFonts w:ascii="Arial" w:hAnsi="Arial" w:cs="Arial"/>
          <w:i/>
          <w:iCs/>
          <w:noProof/>
          <w:sz w:val="18"/>
          <w:szCs w:val="18"/>
        </w:rPr>
        <w:drawing>
          <wp:inline distT="0" distB="0" distL="0" distR="0" wp14:anchorId="00CE4565" wp14:editId="23853DEE">
            <wp:extent cx="2475175" cy="1488043"/>
            <wp:effectExtent l="0" t="0" r="0" b="0"/>
            <wp:docPr id="910322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03030" cy="1504789"/>
                    </a:xfrm>
                    <a:prstGeom prst="rect">
                      <a:avLst/>
                    </a:prstGeom>
                    <a:noFill/>
                  </pic:spPr>
                </pic:pic>
              </a:graphicData>
            </a:graphic>
          </wp:inline>
        </w:drawing>
      </w:r>
    </w:p>
    <w:p w14:paraId="2DADD4ED" w14:textId="77777777" w:rsidR="00FC0476" w:rsidRPr="00507EDC" w:rsidRDefault="00FC0476" w:rsidP="00FC0476">
      <w:pPr>
        <w:spacing w:after="0" w:line="360" w:lineRule="auto"/>
        <w:jc w:val="right"/>
        <w:rPr>
          <w:rFonts w:ascii="Arial" w:hAnsi="Arial" w:cs="Arial"/>
          <w:i/>
          <w:iCs/>
          <w:sz w:val="16"/>
          <w:szCs w:val="16"/>
        </w:rPr>
      </w:pPr>
      <w:r w:rsidRPr="00507EDC">
        <w:rPr>
          <w:rFonts w:ascii="Arial" w:hAnsi="Arial" w:cs="Arial"/>
          <w:i/>
          <w:iCs/>
          <w:sz w:val="16"/>
          <w:szCs w:val="16"/>
        </w:rPr>
        <w:t xml:space="preserve"> Fuente: MEF, INEI.</w:t>
      </w:r>
    </w:p>
    <w:p w14:paraId="2E17CDDB" w14:textId="77777777" w:rsidR="00011F1D" w:rsidRDefault="00011F1D" w:rsidP="00011F1D">
      <w:pPr>
        <w:spacing w:line="360" w:lineRule="auto"/>
        <w:jc w:val="both"/>
        <w:rPr>
          <w:rFonts w:ascii="Arial" w:hAnsi="Arial" w:cs="Arial"/>
          <w:sz w:val="22"/>
          <w:szCs w:val="22"/>
        </w:rPr>
      </w:pPr>
      <w:r w:rsidRPr="00011F1D">
        <w:rPr>
          <w:rFonts w:ascii="Arial" w:hAnsi="Arial" w:cs="Arial"/>
          <w:sz w:val="22"/>
          <w:szCs w:val="22"/>
        </w:rPr>
        <w:t xml:space="preserve">Uno de los principales factores que limita la eficiencia de la inversión pública en Cajamarca es la baja capacidad técnica de los funcionarios responsables de ejecutarla. Según SERVIR (2019), el 51% de los servidores públicos encargados de esta tarea se encuentran en el nivel más bajo de desempeño técnico y requieren capacitación prioritaria. Solo el 2% cuenta con un nivel óptimo para ejercer sus funciones. Frente a esta situación, la plataforma Gestores del Desarrollo —integrada por la Universidad Nacional de Cajamarca, la Mesa de Concertación de Lucha contra la Pobreza, la </w:t>
      </w:r>
      <w:r w:rsidRPr="00011F1D">
        <w:rPr>
          <w:rFonts w:ascii="Arial" w:hAnsi="Arial" w:cs="Arial"/>
          <w:sz w:val="22"/>
          <w:szCs w:val="22"/>
        </w:rPr>
        <w:lastRenderedPageBreak/>
        <w:t xml:space="preserve">Cámara de Comercio y Producción de Cajamarca y </w:t>
      </w:r>
      <w:proofErr w:type="spellStart"/>
      <w:r w:rsidRPr="00011F1D">
        <w:rPr>
          <w:rFonts w:ascii="Arial" w:hAnsi="Arial" w:cs="Arial"/>
          <w:sz w:val="22"/>
          <w:szCs w:val="22"/>
        </w:rPr>
        <w:t>Newmont</w:t>
      </w:r>
      <w:proofErr w:type="spellEnd"/>
      <w:r w:rsidRPr="00011F1D">
        <w:rPr>
          <w:rFonts w:ascii="Arial" w:hAnsi="Arial" w:cs="Arial"/>
          <w:sz w:val="22"/>
          <w:szCs w:val="22"/>
        </w:rPr>
        <w:t>-ALAC— decidió respaldar una estrategia que parte de una convicción compartida: fortalecer las capacidades del Estado es clave para transformar los recursos del canon en resultados concretos de desarrollo territorial sostenible.</w:t>
      </w:r>
    </w:p>
    <w:p w14:paraId="624123A6" w14:textId="68C2BCD4" w:rsidR="00011F1D" w:rsidRPr="00011F1D" w:rsidRDefault="00011F1D" w:rsidP="00011F1D">
      <w:pPr>
        <w:spacing w:line="360" w:lineRule="auto"/>
        <w:jc w:val="both"/>
        <w:rPr>
          <w:rFonts w:ascii="Arial" w:hAnsi="Arial" w:cs="Arial"/>
          <w:sz w:val="22"/>
          <w:szCs w:val="22"/>
        </w:rPr>
      </w:pPr>
      <w:r w:rsidRPr="00801050">
        <w:rPr>
          <w:rFonts w:ascii="Arial" w:hAnsi="Arial" w:cs="Arial"/>
          <w:sz w:val="22"/>
          <w:szCs w:val="22"/>
        </w:rPr>
        <w:t xml:space="preserve">Considerando lo anterior, </w:t>
      </w:r>
      <w:proofErr w:type="spellStart"/>
      <w:r w:rsidRPr="00801050">
        <w:rPr>
          <w:rFonts w:ascii="Arial" w:hAnsi="Arial" w:cs="Arial"/>
          <w:sz w:val="22"/>
          <w:szCs w:val="22"/>
        </w:rPr>
        <w:t>Newmont</w:t>
      </w:r>
      <w:proofErr w:type="spellEnd"/>
      <w:r w:rsidRPr="00801050">
        <w:rPr>
          <w:rFonts w:ascii="Arial" w:hAnsi="Arial" w:cs="Arial"/>
          <w:sz w:val="22"/>
          <w:szCs w:val="22"/>
        </w:rPr>
        <w:t>-ALAC continuó con sus esfuerzos en esta línea</w:t>
      </w:r>
      <w:r>
        <w:rPr>
          <w:rFonts w:ascii="Arial" w:hAnsi="Arial" w:cs="Arial"/>
          <w:sz w:val="22"/>
          <w:szCs w:val="22"/>
        </w:rPr>
        <w:t xml:space="preserve"> e </w:t>
      </w:r>
      <w:r w:rsidRPr="00011F1D">
        <w:rPr>
          <w:rFonts w:ascii="Arial" w:hAnsi="Arial" w:cs="Arial"/>
          <w:sz w:val="22"/>
          <w:szCs w:val="22"/>
        </w:rPr>
        <w:t xml:space="preserve">impulsó en 2024 una estrategia integral de asistencia técnica orientada a mejorar significativamente la gestión de inversiones del Gobierno Regional de Cajamarca y a establecer las bases para una adecuada planificación de las inversiones en los </w:t>
      </w:r>
      <w:r>
        <w:rPr>
          <w:rFonts w:ascii="Arial" w:hAnsi="Arial" w:cs="Arial"/>
          <w:sz w:val="22"/>
          <w:szCs w:val="22"/>
        </w:rPr>
        <w:t xml:space="preserve">próximos </w:t>
      </w:r>
      <w:r w:rsidRPr="00011F1D">
        <w:rPr>
          <w:rFonts w:ascii="Arial" w:hAnsi="Arial" w:cs="Arial"/>
          <w:sz w:val="22"/>
          <w:szCs w:val="22"/>
        </w:rPr>
        <w:t xml:space="preserve">años. </w:t>
      </w:r>
      <w:r w:rsidRPr="00801050">
        <w:rPr>
          <w:rFonts w:ascii="Arial" w:hAnsi="Arial" w:cs="Arial"/>
          <w:sz w:val="22"/>
          <w:szCs w:val="22"/>
        </w:rPr>
        <w:t xml:space="preserve">El trabajo tuvo como objetivos principales: </w:t>
      </w:r>
      <w:r w:rsidRPr="00011F1D">
        <w:rPr>
          <w:rFonts w:ascii="Arial" w:hAnsi="Arial" w:cs="Arial"/>
          <w:sz w:val="22"/>
          <w:szCs w:val="22"/>
        </w:rPr>
        <w:t>brindar asistencia técnica para lograr una ejecución eficiente del portafolio de inversiones priorizadas del año 2024, y fortalecer las capacidades institucionales del GORE a partir del diagnóstico de procesos y del desarrollo de herramientas técnicas de soporte</w:t>
      </w:r>
      <w:r>
        <w:rPr>
          <w:rFonts w:ascii="Arial" w:hAnsi="Arial" w:cs="Arial"/>
          <w:sz w:val="22"/>
          <w:szCs w:val="22"/>
        </w:rPr>
        <w:t xml:space="preserve"> </w:t>
      </w:r>
      <w:r w:rsidRPr="00801050">
        <w:rPr>
          <w:rFonts w:ascii="Arial" w:hAnsi="Arial" w:cs="Arial"/>
          <w:sz w:val="22"/>
          <w:szCs w:val="22"/>
        </w:rPr>
        <w:t>(</w:t>
      </w:r>
      <w:hyperlink r:id="rId8" w:history="1">
        <w:r w:rsidRPr="00801050">
          <w:rPr>
            <w:rStyle w:val="Hipervnculo"/>
            <w:rFonts w:ascii="Arial" w:hAnsi="Arial" w:cs="Arial"/>
            <w:sz w:val="22"/>
            <w:szCs w:val="22"/>
          </w:rPr>
          <w:t>https://www.regioncajamarca.gob.pe/</w:t>
        </w:r>
      </w:hyperlink>
      <w:r w:rsidRPr="00801050">
        <w:rPr>
          <w:rFonts w:ascii="Arial" w:hAnsi="Arial" w:cs="Arial"/>
          <w:sz w:val="22"/>
          <w:szCs w:val="22"/>
        </w:rPr>
        <w:t>)</w:t>
      </w:r>
      <w:r w:rsidRPr="00011F1D">
        <w:rPr>
          <w:rFonts w:ascii="Arial" w:hAnsi="Arial" w:cs="Arial"/>
          <w:sz w:val="22"/>
          <w:szCs w:val="22"/>
        </w:rPr>
        <w:t>.</w:t>
      </w:r>
      <w:r>
        <w:rPr>
          <w:rFonts w:ascii="Arial" w:hAnsi="Arial" w:cs="Arial"/>
          <w:sz w:val="22"/>
          <w:szCs w:val="22"/>
        </w:rPr>
        <w:t xml:space="preserve"> </w:t>
      </w:r>
      <w:r w:rsidRPr="00801050">
        <w:rPr>
          <w:rFonts w:ascii="Arial" w:hAnsi="Arial" w:cs="Arial"/>
          <w:sz w:val="22"/>
          <w:szCs w:val="22"/>
        </w:rPr>
        <w:t>Todo ello bajo un enfoque territorial y prospectivo que permitiera alinear las inversiones con el cierre de brechas.</w:t>
      </w:r>
    </w:p>
    <w:p w14:paraId="40CF38EF" w14:textId="5481AB6E" w:rsidR="00714EFD" w:rsidRPr="00801050" w:rsidRDefault="00714EFD" w:rsidP="00714EFD">
      <w:pPr>
        <w:spacing w:line="360" w:lineRule="auto"/>
        <w:jc w:val="both"/>
        <w:rPr>
          <w:rFonts w:ascii="Arial" w:hAnsi="Arial" w:cs="Arial"/>
          <w:sz w:val="22"/>
          <w:szCs w:val="22"/>
        </w:rPr>
      </w:pPr>
      <w:r w:rsidRPr="00801050">
        <w:rPr>
          <w:rFonts w:ascii="Arial" w:hAnsi="Arial" w:cs="Arial"/>
          <w:sz w:val="22"/>
          <w:szCs w:val="22"/>
        </w:rPr>
        <w:t xml:space="preserve">La metodología empleada se estructuró en cuatro componentes clave: (1) acompañamiento técnico a 53 inversiones priorizadas con un Presupuesto Institucional Modificado (PIM) de S/ 564 millones, con la meta de alcanzar un 80% de ejecución financiera en 2024; (2) diseño e implementación de herramientas para la gestión de inversiones, incluyendo un </w:t>
      </w:r>
      <w:proofErr w:type="spellStart"/>
      <w:r w:rsidRPr="00011F1D">
        <w:rPr>
          <w:rFonts w:ascii="Arial" w:hAnsi="Arial" w:cs="Arial"/>
          <w:i/>
          <w:iCs/>
          <w:sz w:val="22"/>
          <w:szCs w:val="22"/>
        </w:rPr>
        <w:t>dashboard</w:t>
      </w:r>
      <w:proofErr w:type="spellEnd"/>
      <w:r w:rsidRPr="00801050">
        <w:rPr>
          <w:rFonts w:ascii="Arial" w:hAnsi="Arial" w:cs="Arial"/>
          <w:sz w:val="22"/>
          <w:szCs w:val="22"/>
        </w:rPr>
        <w:t xml:space="preserve"> de seguimiento </w:t>
      </w:r>
      <w:r w:rsidR="00507EDC" w:rsidRPr="00801050">
        <w:rPr>
          <w:rFonts w:ascii="Arial" w:hAnsi="Arial" w:cs="Arial"/>
          <w:sz w:val="22"/>
          <w:szCs w:val="22"/>
        </w:rPr>
        <w:t xml:space="preserve">a las inversiones del presupuesto participativo </w:t>
      </w:r>
      <w:r w:rsidRPr="00801050">
        <w:rPr>
          <w:rFonts w:ascii="Arial" w:hAnsi="Arial" w:cs="Arial"/>
          <w:sz w:val="22"/>
          <w:szCs w:val="22"/>
        </w:rPr>
        <w:t>y herramientas de priorización; (3) elaboración de un portafolio de inversiones futuras bajo un enfoque prospectivo orientado al cierre de brechas sociales y económicas; y (4) diagnóstico profundo de los procesos internos de inversión de la Sede Central del GORE, con propuestas de mejora y estandarización.</w:t>
      </w:r>
    </w:p>
    <w:p w14:paraId="77E83019" w14:textId="7C286130" w:rsidR="00801050" w:rsidRPr="00801050" w:rsidRDefault="00801050" w:rsidP="00714EFD">
      <w:pPr>
        <w:spacing w:line="360" w:lineRule="auto"/>
        <w:jc w:val="both"/>
        <w:rPr>
          <w:rFonts w:ascii="Arial" w:hAnsi="Arial" w:cs="Arial"/>
          <w:b/>
          <w:bCs/>
          <w:sz w:val="22"/>
          <w:szCs w:val="22"/>
        </w:rPr>
      </w:pPr>
      <w:r w:rsidRPr="00801050">
        <w:rPr>
          <w:rFonts w:ascii="Arial" w:hAnsi="Arial" w:cs="Arial"/>
          <w:b/>
          <w:bCs/>
          <w:sz w:val="22"/>
          <w:szCs w:val="22"/>
        </w:rPr>
        <w:t>Resultados</w:t>
      </w:r>
    </w:p>
    <w:p w14:paraId="43117CAE" w14:textId="77341136" w:rsidR="00FC0476" w:rsidRDefault="00714EFD" w:rsidP="00714EFD">
      <w:pPr>
        <w:spacing w:line="360" w:lineRule="auto"/>
        <w:jc w:val="both"/>
        <w:rPr>
          <w:rFonts w:ascii="Arial" w:hAnsi="Arial" w:cs="Arial"/>
          <w:sz w:val="22"/>
          <w:szCs w:val="22"/>
        </w:rPr>
      </w:pPr>
      <w:r w:rsidRPr="00801050">
        <w:rPr>
          <w:rFonts w:ascii="Arial" w:hAnsi="Arial" w:cs="Arial"/>
          <w:sz w:val="22"/>
          <w:szCs w:val="22"/>
        </w:rPr>
        <w:t>Los resultados obtenidos evidencian un impacto notable</w:t>
      </w:r>
      <w:r w:rsidR="00FC0476">
        <w:rPr>
          <w:rFonts w:ascii="Arial" w:hAnsi="Arial" w:cs="Arial"/>
          <w:sz w:val="22"/>
          <w:szCs w:val="22"/>
        </w:rPr>
        <w:t xml:space="preserve">: </w:t>
      </w:r>
      <w:r w:rsidRPr="00801050">
        <w:rPr>
          <w:rFonts w:ascii="Arial" w:hAnsi="Arial" w:cs="Arial"/>
          <w:sz w:val="22"/>
          <w:szCs w:val="22"/>
        </w:rPr>
        <w:t xml:space="preserve">la inversión pública del GORE Cajamarca alcanzó un récord histórico, superando ampliamente la meta del 80% y logrando una ejecución del 87% en 2024, cifra </w:t>
      </w:r>
      <w:proofErr w:type="gramStart"/>
      <w:r w:rsidRPr="00801050">
        <w:rPr>
          <w:rFonts w:ascii="Arial" w:hAnsi="Arial" w:cs="Arial"/>
          <w:sz w:val="22"/>
          <w:szCs w:val="22"/>
        </w:rPr>
        <w:t>nunca antes</w:t>
      </w:r>
      <w:proofErr w:type="gramEnd"/>
      <w:r w:rsidRPr="00801050">
        <w:rPr>
          <w:rFonts w:ascii="Arial" w:hAnsi="Arial" w:cs="Arial"/>
          <w:sz w:val="22"/>
          <w:szCs w:val="22"/>
        </w:rPr>
        <w:t xml:space="preserve"> vista en la región, cuya tendencia histórica oscilaba entre el </w:t>
      </w:r>
      <w:r w:rsidR="003D24FD" w:rsidRPr="00801050">
        <w:rPr>
          <w:rFonts w:ascii="Arial" w:hAnsi="Arial" w:cs="Arial"/>
          <w:sz w:val="22"/>
          <w:szCs w:val="22"/>
        </w:rPr>
        <w:t>3</w:t>
      </w:r>
      <w:r w:rsidRPr="00801050">
        <w:rPr>
          <w:rFonts w:ascii="Arial" w:hAnsi="Arial" w:cs="Arial"/>
          <w:sz w:val="22"/>
          <w:szCs w:val="22"/>
        </w:rPr>
        <w:t>0% y 70%. Asimismo, el análisis de cartera prospectiva permitió identificar un portafolio de 570 inversiones (entre proyectos e ideas de inversión), con un costo estimado de S/ 49,051 millones, orientado estratégicamente al cierre de brechas sociales y productivas en la región.</w:t>
      </w:r>
      <w:r w:rsidR="00507EDC" w:rsidRPr="00801050">
        <w:rPr>
          <w:rFonts w:ascii="Arial" w:hAnsi="Arial" w:cs="Arial"/>
          <w:sz w:val="22"/>
          <w:szCs w:val="22"/>
        </w:rPr>
        <w:t xml:space="preserve"> Por último, el </w:t>
      </w:r>
      <w:proofErr w:type="spellStart"/>
      <w:r w:rsidR="00507EDC" w:rsidRPr="00801050">
        <w:rPr>
          <w:rFonts w:ascii="Arial" w:hAnsi="Arial" w:cs="Arial"/>
          <w:i/>
          <w:iCs/>
          <w:sz w:val="22"/>
          <w:szCs w:val="22"/>
        </w:rPr>
        <w:t>dashboard</w:t>
      </w:r>
      <w:proofErr w:type="spellEnd"/>
      <w:r w:rsidR="00507EDC" w:rsidRPr="00801050">
        <w:rPr>
          <w:rFonts w:ascii="Arial" w:hAnsi="Arial" w:cs="Arial"/>
          <w:sz w:val="22"/>
          <w:szCs w:val="22"/>
        </w:rPr>
        <w:t xml:space="preserve"> de seguimiento a las inversiones generales y de presupuesto participativo es una herramienta clave que permite, por un lado, al Consejo de Coordinación Regional hacer el seguimiento de las inversiones priorizadas en el presupuesto participativo y, por otro lado, a la población ejercer su derecho a la vigilancia ciudadana.</w:t>
      </w:r>
    </w:p>
    <w:p w14:paraId="20603635" w14:textId="77777777" w:rsidR="00FC63AC" w:rsidRPr="00801050" w:rsidRDefault="00FC63AC" w:rsidP="00FC63AC">
      <w:pPr>
        <w:spacing w:after="0" w:line="240" w:lineRule="auto"/>
        <w:jc w:val="center"/>
        <w:rPr>
          <w:rFonts w:ascii="Arial" w:hAnsi="Arial" w:cs="Arial"/>
          <w:b/>
          <w:bCs/>
          <w:sz w:val="22"/>
          <w:szCs w:val="22"/>
        </w:rPr>
      </w:pPr>
      <w:r w:rsidRPr="00801050">
        <w:rPr>
          <w:rFonts w:ascii="Arial" w:hAnsi="Arial" w:cs="Arial"/>
          <w:b/>
          <w:bCs/>
          <w:sz w:val="22"/>
          <w:szCs w:val="22"/>
        </w:rPr>
        <w:lastRenderedPageBreak/>
        <w:t>Inversión pública del GORE de Cajamarca (S/ millones y % de ejecución)</w:t>
      </w:r>
    </w:p>
    <w:p w14:paraId="260C48A7" w14:textId="77777777" w:rsidR="00FC63AC" w:rsidRPr="00801050" w:rsidRDefault="00FC63AC" w:rsidP="00FC63AC">
      <w:pPr>
        <w:spacing w:after="0" w:line="240" w:lineRule="auto"/>
        <w:jc w:val="center"/>
        <w:rPr>
          <w:rFonts w:ascii="Arial" w:hAnsi="Arial" w:cs="Arial"/>
          <w:b/>
          <w:bCs/>
          <w:sz w:val="22"/>
          <w:szCs w:val="22"/>
        </w:rPr>
      </w:pPr>
      <w:r w:rsidRPr="00801050">
        <w:rPr>
          <w:rFonts w:ascii="Arial" w:hAnsi="Arial" w:cs="Arial"/>
          <w:b/>
          <w:bCs/>
          <w:noProof/>
          <w:sz w:val="22"/>
          <w:szCs w:val="22"/>
        </w:rPr>
        <w:drawing>
          <wp:inline distT="0" distB="0" distL="0" distR="0" wp14:anchorId="3AF8AE10" wp14:editId="3FB6F754">
            <wp:extent cx="3814876" cy="1348451"/>
            <wp:effectExtent l="0" t="0" r="0" b="0"/>
            <wp:docPr id="1970461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37710" cy="1356522"/>
                    </a:xfrm>
                    <a:prstGeom prst="rect">
                      <a:avLst/>
                    </a:prstGeom>
                    <a:noFill/>
                  </pic:spPr>
                </pic:pic>
              </a:graphicData>
            </a:graphic>
          </wp:inline>
        </w:drawing>
      </w:r>
    </w:p>
    <w:p w14:paraId="370D9D81" w14:textId="67B27C84" w:rsidR="00FC63AC" w:rsidRPr="001B0508" w:rsidRDefault="00FC63AC" w:rsidP="00FC63AC">
      <w:pPr>
        <w:spacing w:line="360" w:lineRule="auto"/>
        <w:jc w:val="right"/>
        <w:rPr>
          <w:rFonts w:ascii="Arial" w:hAnsi="Arial" w:cs="Arial"/>
          <w:i/>
          <w:iCs/>
          <w:sz w:val="14"/>
          <w:szCs w:val="14"/>
        </w:rPr>
      </w:pPr>
      <w:r w:rsidRPr="001B0508">
        <w:rPr>
          <w:rFonts w:ascii="Arial" w:hAnsi="Arial" w:cs="Arial"/>
          <w:i/>
          <w:iCs/>
          <w:sz w:val="14"/>
          <w:szCs w:val="14"/>
        </w:rPr>
        <w:t>Fuente: MEF-Consulta amigable</w:t>
      </w:r>
    </w:p>
    <w:p w14:paraId="1E22587D" w14:textId="248BDA05" w:rsidR="00801050" w:rsidRPr="00801050" w:rsidRDefault="00801050" w:rsidP="00714EFD">
      <w:pPr>
        <w:spacing w:line="360" w:lineRule="auto"/>
        <w:jc w:val="both"/>
        <w:rPr>
          <w:rFonts w:ascii="Arial" w:hAnsi="Arial" w:cs="Arial"/>
          <w:b/>
          <w:bCs/>
          <w:sz w:val="22"/>
          <w:szCs w:val="22"/>
        </w:rPr>
      </w:pPr>
      <w:r w:rsidRPr="00801050">
        <w:rPr>
          <w:rFonts w:ascii="Arial" w:hAnsi="Arial" w:cs="Arial"/>
          <w:b/>
          <w:bCs/>
          <w:sz w:val="22"/>
          <w:szCs w:val="22"/>
        </w:rPr>
        <w:t>Conclusiones</w:t>
      </w:r>
    </w:p>
    <w:p w14:paraId="339A9B44" w14:textId="4BC9B456" w:rsidR="00AE7BAD" w:rsidRPr="00801050" w:rsidRDefault="00011F1D" w:rsidP="00714EFD">
      <w:pPr>
        <w:spacing w:line="360" w:lineRule="auto"/>
        <w:jc w:val="both"/>
        <w:rPr>
          <w:rFonts w:ascii="Arial" w:hAnsi="Arial" w:cs="Arial"/>
          <w:sz w:val="22"/>
          <w:szCs w:val="22"/>
        </w:rPr>
      </w:pPr>
      <w:r w:rsidRPr="00011F1D">
        <w:rPr>
          <w:rFonts w:ascii="Arial" w:hAnsi="Arial" w:cs="Arial"/>
          <w:sz w:val="22"/>
          <w:szCs w:val="22"/>
        </w:rPr>
        <w:t xml:space="preserve">Esta experiencia marca un cambio en la gestión de inversiones públicas en Cajamarca, con un enfoque más articulado y orientado al impacto. En 2025, </w:t>
      </w:r>
      <w:proofErr w:type="spellStart"/>
      <w:r w:rsidRPr="00011F1D">
        <w:rPr>
          <w:rFonts w:ascii="Arial" w:hAnsi="Arial" w:cs="Arial"/>
          <w:sz w:val="22"/>
          <w:szCs w:val="22"/>
        </w:rPr>
        <w:t>Newmont</w:t>
      </w:r>
      <w:proofErr w:type="spellEnd"/>
      <w:r w:rsidRPr="00011F1D">
        <w:rPr>
          <w:rFonts w:ascii="Arial" w:hAnsi="Arial" w:cs="Arial"/>
          <w:sz w:val="22"/>
          <w:szCs w:val="22"/>
        </w:rPr>
        <w:t>-ALAC continúa la asistencia técnica para asegurar la sostenibilidad de los avances logrados y facilitar una transición ordenada ante el próximo cambio de gestión, con el objetivo de mejorar los indicadores de pobreza, desarrollo humano y acceso a servicios básicos a mediano y largo plazo.</w:t>
      </w:r>
      <w:r w:rsidR="001A53CC" w:rsidRPr="00801050">
        <w:rPr>
          <w:rFonts w:ascii="Arial" w:hAnsi="Arial" w:cs="Arial"/>
          <w:sz w:val="22"/>
          <w:szCs w:val="22"/>
        </w:rPr>
        <w:t xml:space="preserve"> </w:t>
      </w:r>
    </w:p>
    <w:p w14:paraId="161F2289" w14:textId="1E9D9B88" w:rsidR="00801050" w:rsidRPr="00801050" w:rsidRDefault="00801050" w:rsidP="00801050">
      <w:pPr>
        <w:spacing w:line="360" w:lineRule="auto"/>
        <w:rPr>
          <w:rFonts w:ascii="Arial" w:hAnsi="Arial" w:cs="Arial"/>
          <w:b/>
          <w:bCs/>
          <w:sz w:val="22"/>
          <w:szCs w:val="22"/>
        </w:rPr>
      </w:pPr>
      <w:r w:rsidRPr="00801050">
        <w:rPr>
          <w:rFonts w:ascii="Arial" w:hAnsi="Arial" w:cs="Arial"/>
          <w:b/>
          <w:bCs/>
          <w:sz w:val="22"/>
          <w:szCs w:val="22"/>
        </w:rPr>
        <w:t>Reseña de los autores</w:t>
      </w:r>
    </w:p>
    <w:p w14:paraId="3576FFBC" w14:textId="28BF95F4" w:rsidR="00801050" w:rsidRPr="00801050" w:rsidRDefault="00801050" w:rsidP="002130B2">
      <w:pPr>
        <w:spacing w:line="360" w:lineRule="auto"/>
        <w:jc w:val="both"/>
        <w:rPr>
          <w:rFonts w:ascii="Arial" w:hAnsi="Arial" w:cs="Arial"/>
          <w:sz w:val="22"/>
          <w:szCs w:val="22"/>
          <w:lang w:val="es-ES"/>
        </w:rPr>
      </w:pPr>
      <w:r w:rsidRPr="00334BE2">
        <w:rPr>
          <w:rFonts w:ascii="Arial" w:hAnsi="Arial" w:cs="Arial"/>
          <w:b/>
          <w:bCs/>
          <w:i/>
          <w:iCs/>
          <w:sz w:val="22"/>
          <w:szCs w:val="22"/>
        </w:rPr>
        <w:t>Roger Guevara Rodríguez</w:t>
      </w:r>
      <w:r w:rsidR="002130B2">
        <w:rPr>
          <w:rFonts w:ascii="Arial" w:hAnsi="Arial" w:cs="Arial"/>
          <w:i/>
          <w:iCs/>
          <w:sz w:val="22"/>
          <w:szCs w:val="22"/>
        </w:rPr>
        <w:t xml:space="preserve"> (</w:t>
      </w:r>
      <w:hyperlink r:id="rId10" w:history="1">
        <w:r w:rsidR="002130B2" w:rsidRPr="00801050">
          <w:rPr>
            <w:rStyle w:val="Hipervnculo"/>
            <w:rFonts w:ascii="Arial" w:hAnsi="Arial" w:cs="Arial"/>
            <w:sz w:val="22"/>
            <w:szCs w:val="22"/>
            <w:lang w:val="es-ES"/>
          </w:rPr>
          <w:t>rguevara@regioncajamarca.gob.pe</w:t>
        </w:r>
      </w:hyperlink>
      <w:r w:rsidR="002130B2">
        <w:rPr>
          <w:rFonts w:ascii="Arial" w:hAnsi="Arial" w:cs="Arial"/>
          <w:sz w:val="22"/>
          <w:szCs w:val="22"/>
        </w:rPr>
        <w:t xml:space="preserve"> | </w:t>
      </w:r>
      <w:r w:rsidR="002130B2" w:rsidRPr="00801050">
        <w:rPr>
          <w:rFonts w:ascii="Arial" w:hAnsi="Arial" w:cs="Arial"/>
          <w:sz w:val="22"/>
          <w:szCs w:val="22"/>
          <w:lang w:val="es-ES"/>
        </w:rPr>
        <w:t>Celular: 942650127</w:t>
      </w:r>
      <w:r w:rsidR="002130B2">
        <w:rPr>
          <w:rFonts w:ascii="Arial" w:hAnsi="Arial" w:cs="Arial"/>
          <w:sz w:val="22"/>
          <w:szCs w:val="22"/>
          <w:lang w:val="es-ES"/>
        </w:rPr>
        <w:t>)</w:t>
      </w:r>
      <w:r w:rsidRPr="00FC63AC">
        <w:rPr>
          <w:rFonts w:ascii="Arial" w:hAnsi="Arial" w:cs="Arial"/>
          <w:sz w:val="22"/>
          <w:szCs w:val="22"/>
        </w:rPr>
        <w:t>: Actual Gobernador Regional de Cajamarca.</w:t>
      </w:r>
      <w:r w:rsidR="00FC63AC" w:rsidRPr="00FC63AC">
        <w:rPr>
          <w:rFonts w:ascii="Arial" w:hAnsi="Arial" w:cs="Arial"/>
          <w:sz w:val="22"/>
          <w:szCs w:val="22"/>
        </w:rPr>
        <w:t xml:space="preserve"> Contador Público con m</w:t>
      </w:r>
      <w:r w:rsidRPr="00FC63AC">
        <w:rPr>
          <w:rFonts w:ascii="Arial" w:hAnsi="Arial" w:cs="Arial"/>
          <w:sz w:val="22"/>
          <w:szCs w:val="22"/>
        </w:rPr>
        <w:t>ás de 15 años dedicado a la generación de proyectos privados, para generar dinamismo económico en distintos sectores productivos de la región, como: Construcción, cadena logística de productos alimenticios, agroexportación, servicios de asesoramiento en proyectos de inversiones privada.</w:t>
      </w:r>
    </w:p>
    <w:p w14:paraId="38B4D4A6" w14:textId="32D0C102" w:rsidR="002130B2" w:rsidRDefault="002130B2" w:rsidP="00FC63AC">
      <w:pPr>
        <w:spacing w:line="360" w:lineRule="auto"/>
        <w:jc w:val="both"/>
        <w:rPr>
          <w:rFonts w:ascii="Arial" w:hAnsi="Arial" w:cs="Arial"/>
          <w:i/>
          <w:iCs/>
          <w:sz w:val="22"/>
          <w:szCs w:val="22"/>
        </w:rPr>
      </w:pPr>
      <w:r w:rsidRPr="00334BE2">
        <w:rPr>
          <w:rFonts w:ascii="Arial" w:hAnsi="Arial" w:cs="Arial"/>
          <w:b/>
          <w:bCs/>
          <w:i/>
          <w:iCs/>
          <w:sz w:val="22"/>
          <w:szCs w:val="22"/>
        </w:rPr>
        <w:t>Violeta Vigo Vargas</w:t>
      </w:r>
      <w:r>
        <w:rPr>
          <w:rFonts w:ascii="Arial" w:hAnsi="Arial" w:cs="Arial"/>
          <w:i/>
          <w:iCs/>
          <w:sz w:val="22"/>
          <w:szCs w:val="22"/>
        </w:rPr>
        <w:t xml:space="preserve"> </w:t>
      </w:r>
      <w:r w:rsidRPr="00FC0476">
        <w:rPr>
          <w:rFonts w:ascii="Arial" w:hAnsi="Arial" w:cs="Arial"/>
          <w:sz w:val="22"/>
          <w:szCs w:val="22"/>
        </w:rPr>
        <w:t>(</w:t>
      </w:r>
      <w:hyperlink r:id="rId11" w:history="1">
        <w:r w:rsidR="00FC0476" w:rsidRPr="00FC0476">
          <w:rPr>
            <w:rStyle w:val="Hipervnculo"/>
            <w:rFonts w:ascii="Arial" w:hAnsi="Arial" w:cs="Arial"/>
            <w:sz w:val="22"/>
            <w:szCs w:val="22"/>
          </w:rPr>
          <w:t>violeta.vigo@newmont.com</w:t>
        </w:r>
      </w:hyperlink>
      <w:r w:rsidR="00FC0476" w:rsidRPr="00FC0476">
        <w:rPr>
          <w:rFonts w:ascii="Arial" w:hAnsi="Arial" w:cs="Arial"/>
          <w:sz w:val="22"/>
          <w:szCs w:val="22"/>
        </w:rPr>
        <w:t xml:space="preserve"> | Celular: 976228719</w:t>
      </w:r>
      <w:r w:rsidRPr="00FC0476">
        <w:rPr>
          <w:rFonts w:ascii="Arial" w:hAnsi="Arial" w:cs="Arial"/>
          <w:sz w:val="22"/>
          <w:szCs w:val="22"/>
          <w:lang w:val="es-ES"/>
        </w:rPr>
        <w:t>)</w:t>
      </w:r>
      <w:r w:rsidRPr="00FC0476">
        <w:rPr>
          <w:rFonts w:ascii="Arial" w:hAnsi="Arial" w:cs="Arial"/>
          <w:sz w:val="22"/>
          <w:szCs w:val="22"/>
        </w:rPr>
        <w:t xml:space="preserve">: </w:t>
      </w:r>
      <w:r w:rsidRPr="002130B2">
        <w:rPr>
          <w:rFonts w:ascii="Arial" w:hAnsi="Arial" w:cs="Arial"/>
          <w:sz w:val="22"/>
          <w:szCs w:val="22"/>
        </w:rPr>
        <w:t xml:space="preserve">Economista por la Universidad Nacional de Trujillo, con especialización en gestión de proyectos y desarrollo gerencial en instituciones de EE. UU., México, Costa Rica y Perú. Emprendedora social con amplia experiencia en desarrollo sostenible y reconocida experta en responsabilidad social empresarial en Perú. Ha sido clave en la creación y consolidación de </w:t>
      </w:r>
      <w:proofErr w:type="spellStart"/>
      <w:r w:rsidRPr="002130B2">
        <w:rPr>
          <w:rFonts w:ascii="Arial" w:hAnsi="Arial" w:cs="Arial"/>
          <w:sz w:val="22"/>
          <w:szCs w:val="22"/>
        </w:rPr>
        <w:t>Newmont</w:t>
      </w:r>
      <w:proofErr w:type="spellEnd"/>
      <w:r w:rsidRPr="002130B2">
        <w:rPr>
          <w:rFonts w:ascii="Arial" w:hAnsi="Arial" w:cs="Arial"/>
          <w:sz w:val="22"/>
          <w:szCs w:val="22"/>
        </w:rPr>
        <w:t xml:space="preserve"> ALAC, organización que lidera actualmente.</w:t>
      </w:r>
      <w:r>
        <w:rPr>
          <w:rFonts w:ascii="Arial" w:hAnsi="Arial" w:cs="Arial"/>
          <w:i/>
          <w:iCs/>
          <w:sz w:val="22"/>
          <w:szCs w:val="22"/>
        </w:rPr>
        <w:t xml:space="preserve"> </w:t>
      </w:r>
    </w:p>
    <w:p w14:paraId="6910CA01" w14:textId="6E53FA2D" w:rsidR="00801050" w:rsidRPr="00801050" w:rsidRDefault="00FC63AC" w:rsidP="002130B2">
      <w:pPr>
        <w:spacing w:line="360" w:lineRule="auto"/>
        <w:jc w:val="both"/>
        <w:rPr>
          <w:rFonts w:ascii="Arial" w:hAnsi="Arial" w:cs="Arial"/>
          <w:i/>
          <w:iCs/>
          <w:sz w:val="22"/>
          <w:szCs w:val="22"/>
          <w:lang w:val="es-ES"/>
        </w:rPr>
      </w:pPr>
      <w:r w:rsidRPr="00334BE2">
        <w:rPr>
          <w:rFonts w:ascii="Arial" w:hAnsi="Arial" w:cs="Arial"/>
          <w:b/>
          <w:bCs/>
          <w:i/>
          <w:iCs/>
          <w:sz w:val="22"/>
          <w:szCs w:val="22"/>
        </w:rPr>
        <w:t xml:space="preserve">Milton </w:t>
      </w:r>
      <w:proofErr w:type="spellStart"/>
      <w:r w:rsidRPr="00334BE2">
        <w:rPr>
          <w:rFonts w:ascii="Arial" w:hAnsi="Arial" w:cs="Arial"/>
          <w:b/>
          <w:bCs/>
          <w:i/>
          <w:iCs/>
          <w:sz w:val="22"/>
          <w:szCs w:val="22"/>
        </w:rPr>
        <w:t>von</w:t>
      </w:r>
      <w:proofErr w:type="spellEnd"/>
      <w:r w:rsidRPr="00334BE2">
        <w:rPr>
          <w:rFonts w:ascii="Arial" w:hAnsi="Arial" w:cs="Arial"/>
          <w:b/>
          <w:bCs/>
          <w:i/>
          <w:iCs/>
          <w:sz w:val="22"/>
          <w:szCs w:val="22"/>
        </w:rPr>
        <w:t xml:space="preserve"> Hesse</w:t>
      </w:r>
      <w:r w:rsidR="002130B2">
        <w:rPr>
          <w:rFonts w:ascii="Arial" w:hAnsi="Arial" w:cs="Arial"/>
          <w:i/>
          <w:iCs/>
          <w:sz w:val="22"/>
          <w:szCs w:val="22"/>
        </w:rPr>
        <w:t xml:space="preserve"> </w:t>
      </w:r>
      <w:r w:rsidR="002130B2" w:rsidRPr="00FC0476">
        <w:rPr>
          <w:rFonts w:ascii="Arial" w:hAnsi="Arial" w:cs="Arial"/>
          <w:sz w:val="22"/>
          <w:szCs w:val="22"/>
        </w:rPr>
        <w:t>(</w:t>
      </w:r>
      <w:hyperlink r:id="rId12" w:history="1">
        <w:r w:rsidR="00FC0476" w:rsidRPr="00163857">
          <w:rPr>
            <w:rStyle w:val="Hipervnculo"/>
            <w:rFonts w:ascii="Arial" w:hAnsi="Arial" w:cs="Arial"/>
            <w:sz w:val="22"/>
            <w:szCs w:val="22"/>
            <w:lang w:val="es-ES"/>
          </w:rPr>
          <w:t>mvonhesse@gmail.com</w:t>
        </w:r>
      </w:hyperlink>
      <w:r w:rsidR="002130B2">
        <w:rPr>
          <w:rFonts w:ascii="Arial" w:hAnsi="Arial" w:cs="Arial"/>
          <w:sz w:val="22"/>
          <w:szCs w:val="22"/>
        </w:rPr>
        <w:t xml:space="preserve"> | </w:t>
      </w:r>
      <w:r w:rsidR="002130B2" w:rsidRPr="00801050">
        <w:rPr>
          <w:rFonts w:ascii="Arial" w:hAnsi="Arial" w:cs="Arial"/>
          <w:sz w:val="22"/>
          <w:szCs w:val="22"/>
          <w:lang w:val="es-ES"/>
        </w:rPr>
        <w:t xml:space="preserve">Celular: </w:t>
      </w:r>
      <w:r w:rsidR="00FC0476" w:rsidRPr="00FC0476">
        <w:rPr>
          <w:rFonts w:ascii="Arial" w:hAnsi="Arial" w:cs="Arial"/>
          <w:sz w:val="22"/>
          <w:szCs w:val="22"/>
          <w:lang w:val="es-ES"/>
        </w:rPr>
        <w:t>943154786</w:t>
      </w:r>
      <w:r w:rsidR="002130B2">
        <w:rPr>
          <w:rFonts w:ascii="Arial" w:hAnsi="Arial" w:cs="Arial"/>
          <w:sz w:val="22"/>
          <w:szCs w:val="22"/>
          <w:lang w:val="es-ES"/>
        </w:rPr>
        <w:t>)</w:t>
      </w:r>
      <w:r w:rsidRPr="00FC63AC">
        <w:rPr>
          <w:rFonts w:ascii="Arial" w:hAnsi="Arial" w:cs="Arial"/>
          <w:sz w:val="22"/>
          <w:szCs w:val="22"/>
        </w:rPr>
        <w:t xml:space="preserve">: </w:t>
      </w:r>
      <w:r w:rsidR="002130B2" w:rsidRPr="002130B2">
        <w:rPr>
          <w:rFonts w:ascii="Arial" w:hAnsi="Arial" w:cs="Arial"/>
          <w:sz w:val="22"/>
          <w:szCs w:val="22"/>
        </w:rPr>
        <w:t xml:space="preserve">Máster en Economía por la Universidad de Georgetown (ILADES/Georgetown) y economista por la Universidad del Pacífico. Ha sido ministro de Vivienda y de Agricultura, y director ejecutivo de </w:t>
      </w:r>
      <w:proofErr w:type="spellStart"/>
      <w:r w:rsidR="002130B2" w:rsidRPr="002130B2">
        <w:rPr>
          <w:rFonts w:ascii="Arial" w:hAnsi="Arial" w:cs="Arial"/>
          <w:sz w:val="22"/>
          <w:szCs w:val="22"/>
        </w:rPr>
        <w:t>ProInversión</w:t>
      </w:r>
      <w:proofErr w:type="spellEnd"/>
      <w:r w:rsidR="002130B2" w:rsidRPr="002130B2">
        <w:rPr>
          <w:rFonts w:ascii="Arial" w:hAnsi="Arial" w:cs="Arial"/>
          <w:sz w:val="22"/>
          <w:szCs w:val="22"/>
        </w:rPr>
        <w:t>. También ha trabajado en el Banco Mundial, la CEPAL y el MEF. Fue director de la Maestría en Gestión Pública y docente en la Universidad del Pacífico, ESAN y la Universidad de Chile. Tiene amplia experiencia como consultor en proyectos con organismos como el BID y el Banco Mundial.</w:t>
      </w:r>
    </w:p>
    <w:sectPr w:rsidR="00801050" w:rsidRPr="00801050">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98B68" w14:textId="77777777" w:rsidR="009804A0" w:rsidRDefault="009804A0" w:rsidP="00A841A8">
      <w:pPr>
        <w:spacing w:after="0" w:line="240" w:lineRule="auto"/>
      </w:pPr>
      <w:r>
        <w:separator/>
      </w:r>
    </w:p>
  </w:endnote>
  <w:endnote w:type="continuationSeparator" w:id="0">
    <w:p w14:paraId="52A72AF4" w14:textId="77777777" w:rsidR="009804A0" w:rsidRDefault="009804A0" w:rsidP="00A84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1289438"/>
      <w:docPartObj>
        <w:docPartGallery w:val="Page Numbers (Bottom of Page)"/>
        <w:docPartUnique/>
      </w:docPartObj>
    </w:sdtPr>
    <w:sdtContent>
      <w:p w14:paraId="417219FD" w14:textId="3324B979" w:rsidR="00A841A8" w:rsidRDefault="00A841A8">
        <w:pPr>
          <w:pStyle w:val="Piedepgina"/>
          <w:jc w:val="center"/>
        </w:pPr>
        <w:r>
          <w:fldChar w:fldCharType="begin"/>
        </w:r>
        <w:r>
          <w:instrText>PAGE   \* MERGEFORMAT</w:instrText>
        </w:r>
        <w:r>
          <w:fldChar w:fldCharType="separate"/>
        </w:r>
        <w:r>
          <w:rPr>
            <w:lang w:val="es-MX"/>
          </w:rPr>
          <w:t>2</w:t>
        </w:r>
        <w:r>
          <w:fldChar w:fldCharType="end"/>
        </w:r>
      </w:p>
    </w:sdtContent>
  </w:sdt>
  <w:p w14:paraId="167D6782" w14:textId="77777777" w:rsidR="00A841A8" w:rsidRDefault="00A841A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54DCB" w14:textId="77777777" w:rsidR="009804A0" w:rsidRDefault="009804A0" w:rsidP="00A841A8">
      <w:pPr>
        <w:spacing w:after="0" w:line="240" w:lineRule="auto"/>
      </w:pPr>
      <w:r>
        <w:separator/>
      </w:r>
    </w:p>
  </w:footnote>
  <w:footnote w:type="continuationSeparator" w:id="0">
    <w:p w14:paraId="38AA77FC" w14:textId="77777777" w:rsidR="009804A0" w:rsidRDefault="009804A0" w:rsidP="00A841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663CBE"/>
    <w:multiLevelType w:val="hybridMultilevel"/>
    <w:tmpl w:val="2B0235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3BD647C2"/>
    <w:multiLevelType w:val="hybridMultilevel"/>
    <w:tmpl w:val="0FDE1988"/>
    <w:lvl w:ilvl="0" w:tplc="9BFCB868">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81976151">
    <w:abstractNumId w:val="0"/>
  </w:num>
  <w:num w:numId="2" w16cid:durableId="493452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F9F"/>
    <w:rsid w:val="00011F1D"/>
    <w:rsid w:val="00045133"/>
    <w:rsid w:val="000451D5"/>
    <w:rsid w:val="00053988"/>
    <w:rsid w:val="00053BC8"/>
    <w:rsid w:val="0007531F"/>
    <w:rsid w:val="000A453E"/>
    <w:rsid w:val="000C1F61"/>
    <w:rsid w:val="000C2E40"/>
    <w:rsid w:val="000D7D9F"/>
    <w:rsid w:val="00141084"/>
    <w:rsid w:val="001444BA"/>
    <w:rsid w:val="001A53CC"/>
    <w:rsid w:val="001B0508"/>
    <w:rsid w:val="001B14AF"/>
    <w:rsid w:val="001B483D"/>
    <w:rsid w:val="002130B2"/>
    <w:rsid w:val="0024046D"/>
    <w:rsid w:val="00265E36"/>
    <w:rsid w:val="00334BE2"/>
    <w:rsid w:val="00371559"/>
    <w:rsid w:val="00374F9F"/>
    <w:rsid w:val="003A6B21"/>
    <w:rsid w:val="003D24FD"/>
    <w:rsid w:val="004A6527"/>
    <w:rsid w:val="004D1F20"/>
    <w:rsid w:val="004D55DC"/>
    <w:rsid w:val="00507EDC"/>
    <w:rsid w:val="00533ECB"/>
    <w:rsid w:val="00542276"/>
    <w:rsid w:val="00557C75"/>
    <w:rsid w:val="005778E9"/>
    <w:rsid w:val="00577B23"/>
    <w:rsid w:val="005E46B7"/>
    <w:rsid w:val="0060480E"/>
    <w:rsid w:val="006610E7"/>
    <w:rsid w:val="00682F90"/>
    <w:rsid w:val="006A4408"/>
    <w:rsid w:val="00711012"/>
    <w:rsid w:val="00714EFD"/>
    <w:rsid w:val="007200D2"/>
    <w:rsid w:val="007878CF"/>
    <w:rsid w:val="00801050"/>
    <w:rsid w:val="00911766"/>
    <w:rsid w:val="00935796"/>
    <w:rsid w:val="009804A0"/>
    <w:rsid w:val="009952E1"/>
    <w:rsid w:val="00A44A28"/>
    <w:rsid w:val="00A6654A"/>
    <w:rsid w:val="00A841A8"/>
    <w:rsid w:val="00AA5639"/>
    <w:rsid w:val="00AC3FF7"/>
    <w:rsid w:val="00AE7BAD"/>
    <w:rsid w:val="00B530C2"/>
    <w:rsid w:val="00BB6656"/>
    <w:rsid w:val="00C1775D"/>
    <w:rsid w:val="00D727A8"/>
    <w:rsid w:val="00DD43E0"/>
    <w:rsid w:val="00E70933"/>
    <w:rsid w:val="00F14FD4"/>
    <w:rsid w:val="00FC0476"/>
    <w:rsid w:val="00FC4403"/>
    <w:rsid w:val="00FC63A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CC562"/>
  <w15:chartTrackingRefBased/>
  <w15:docId w15:val="{BE3780D0-7B20-487B-AE29-5C78D59A5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4F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4F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4F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4F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4F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4F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4F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4F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4F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4F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4F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4F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4F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4F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4F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4F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4F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4F9F"/>
    <w:rPr>
      <w:rFonts w:eastAsiaTheme="majorEastAsia" w:cstheme="majorBidi"/>
      <w:color w:val="272727" w:themeColor="text1" w:themeTint="D8"/>
    </w:rPr>
  </w:style>
  <w:style w:type="paragraph" w:styleId="Ttulo">
    <w:name w:val="Title"/>
    <w:basedOn w:val="Normal"/>
    <w:next w:val="Normal"/>
    <w:link w:val="TtuloCar"/>
    <w:uiPriority w:val="10"/>
    <w:qFormat/>
    <w:rsid w:val="00374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4F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4F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4F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4F9F"/>
    <w:pPr>
      <w:spacing w:before="160"/>
      <w:jc w:val="center"/>
    </w:pPr>
    <w:rPr>
      <w:i/>
      <w:iCs/>
      <w:color w:val="404040" w:themeColor="text1" w:themeTint="BF"/>
    </w:rPr>
  </w:style>
  <w:style w:type="character" w:customStyle="1" w:styleId="CitaCar">
    <w:name w:val="Cita Car"/>
    <w:basedOn w:val="Fuentedeprrafopredeter"/>
    <w:link w:val="Cita"/>
    <w:uiPriority w:val="29"/>
    <w:rsid w:val="00374F9F"/>
    <w:rPr>
      <w:i/>
      <w:iCs/>
      <w:color w:val="404040" w:themeColor="text1" w:themeTint="BF"/>
    </w:rPr>
  </w:style>
  <w:style w:type="paragraph" w:styleId="Prrafodelista">
    <w:name w:val="List Paragraph"/>
    <w:basedOn w:val="Normal"/>
    <w:uiPriority w:val="34"/>
    <w:qFormat/>
    <w:rsid w:val="00374F9F"/>
    <w:pPr>
      <w:ind w:left="720"/>
      <w:contextualSpacing/>
    </w:pPr>
  </w:style>
  <w:style w:type="character" w:styleId="nfasisintenso">
    <w:name w:val="Intense Emphasis"/>
    <w:basedOn w:val="Fuentedeprrafopredeter"/>
    <w:uiPriority w:val="21"/>
    <w:qFormat/>
    <w:rsid w:val="00374F9F"/>
    <w:rPr>
      <w:i/>
      <w:iCs/>
      <w:color w:val="0F4761" w:themeColor="accent1" w:themeShade="BF"/>
    </w:rPr>
  </w:style>
  <w:style w:type="paragraph" w:styleId="Citadestacada">
    <w:name w:val="Intense Quote"/>
    <w:basedOn w:val="Normal"/>
    <w:next w:val="Normal"/>
    <w:link w:val="CitadestacadaCar"/>
    <w:uiPriority w:val="30"/>
    <w:qFormat/>
    <w:rsid w:val="00374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4F9F"/>
    <w:rPr>
      <w:i/>
      <w:iCs/>
      <w:color w:val="0F4761" w:themeColor="accent1" w:themeShade="BF"/>
    </w:rPr>
  </w:style>
  <w:style w:type="character" w:styleId="Referenciaintensa">
    <w:name w:val="Intense Reference"/>
    <w:basedOn w:val="Fuentedeprrafopredeter"/>
    <w:uiPriority w:val="32"/>
    <w:qFormat/>
    <w:rsid w:val="00374F9F"/>
    <w:rPr>
      <w:b/>
      <w:bCs/>
      <w:smallCaps/>
      <w:color w:val="0F4761" w:themeColor="accent1" w:themeShade="BF"/>
      <w:spacing w:val="5"/>
    </w:rPr>
  </w:style>
  <w:style w:type="paragraph" w:styleId="Encabezado">
    <w:name w:val="header"/>
    <w:basedOn w:val="Normal"/>
    <w:link w:val="EncabezadoCar"/>
    <w:uiPriority w:val="99"/>
    <w:unhideWhenUsed/>
    <w:rsid w:val="00A841A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841A8"/>
  </w:style>
  <w:style w:type="paragraph" w:styleId="Piedepgina">
    <w:name w:val="footer"/>
    <w:basedOn w:val="Normal"/>
    <w:link w:val="PiedepginaCar"/>
    <w:uiPriority w:val="99"/>
    <w:unhideWhenUsed/>
    <w:rsid w:val="00A841A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841A8"/>
  </w:style>
  <w:style w:type="character" w:styleId="Hipervnculo">
    <w:name w:val="Hyperlink"/>
    <w:basedOn w:val="Fuentedeprrafopredeter"/>
    <w:uiPriority w:val="99"/>
    <w:unhideWhenUsed/>
    <w:rsid w:val="007200D2"/>
    <w:rPr>
      <w:color w:val="467886" w:themeColor="hyperlink"/>
      <w:u w:val="single"/>
    </w:rPr>
  </w:style>
  <w:style w:type="character" w:styleId="Mencinsinresolver">
    <w:name w:val="Unresolved Mention"/>
    <w:basedOn w:val="Fuentedeprrafopredeter"/>
    <w:uiPriority w:val="99"/>
    <w:semiHidden/>
    <w:unhideWhenUsed/>
    <w:rsid w:val="007200D2"/>
    <w:rPr>
      <w:color w:val="605E5C"/>
      <w:shd w:val="clear" w:color="auto" w:fill="E1DFDD"/>
    </w:rPr>
  </w:style>
  <w:style w:type="table" w:styleId="Tablaconcuadrcula">
    <w:name w:val="Table Grid"/>
    <w:basedOn w:val="Tablanormal"/>
    <w:uiPriority w:val="39"/>
    <w:rsid w:val="009357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57C75"/>
    <w:rPr>
      <w:sz w:val="16"/>
      <w:szCs w:val="16"/>
    </w:rPr>
  </w:style>
  <w:style w:type="paragraph" w:styleId="Textocomentario">
    <w:name w:val="annotation text"/>
    <w:basedOn w:val="Normal"/>
    <w:link w:val="TextocomentarioCar"/>
    <w:uiPriority w:val="99"/>
    <w:unhideWhenUsed/>
    <w:rsid w:val="00557C75"/>
    <w:pPr>
      <w:spacing w:line="240" w:lineRule="auto"/>
    </w:pPr>
    <w:rPr>
      <w:sz w:val="20"/>
      <w:szCs w:val="20"/>
    </w:rPr>
  </w:style>
  <w:style w:type="character" w:customStyle="1" w:styleId="TextocomentarioCar">
    <w:name w:val="Texto comentario Car"/>
    <w:basedOn w:val="Fuentedeprrafopredeter"/>
    <w:link w:val="Textocomentario"/>
    <w:uiPriority w:val="99"/>
    <w:rsid w:val="00557C75"/>
    <w:rPr>
      <w:sz w:val="20"/>
      <w:szCs w:val="20"/>
    </w:rPr>
  </w:style>
  <w:style w:type="paragraph" w:styleId="Asuntodelcomentario">
    <w:name w:val="annotation subject"/>
    <w:basedOn w:val="Textocomentario"/>
    <w:next w:val="Textocomentario"/>
    <w:link w:val="AsuntodelcomentarioCar"/>
    <w:uiPriority w:val="99"/>
    <w:semiHidden/>
    <w:unhideWhenUsed/>
    <w:rsid w:val="00557C75"/>
    <w:rPr>
      <w:b/>
      <w:bCs/>
    </w:rPr>
  </w:style>
  <w:style w:type="character" w:customStyle="1" w:styleId="AsuntodelcomentarioCar">
    <w:name w:val="Asunto del comentario Car"/>
    <w:basedOn w:val="TextocomentarioCar"/>
    <w:link w:val="Asuntodelcomentario"/>
    <w:uiPriority w:val="99"/>
    <w:semiHidden/>
    <w:rsid w:val="00557C7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075812">
      <w:bodyDiv w:val="1"/>
      <w:marLeft w:val="0"/>
      <w:marRight w:val="0"/>
      <w:marTop w:val="0"/>
      <w:marBottom w:val="0"/>
      <w:divBdr>
        <w:top w:val="none" w:sz="0" w:space="0" w:color="auto"/>
        <w:left w:val="none" w:sz="0" w:space="0" w:color="auto"/>
        <w:bottom w:val="none" w:sz="0" w:space="0" w:color="auto"/>
        <w:right w:val="none" w:sz="0" w:space="0" w:color="auto"/>
      </w:divBdr>
    </w:div>
    <w:div w:id="237522949">
      <w:bodyDiv w:val="1"/>
      <w:marLeft w:val="0"/>
      <w:marRight w:val="0"/>
      <w:marTop w:val="0"/>
      <w:marBottom w:val="0"/>
      <w:divBdr>
        <w:top w:val="none" w:sz="0" w:space="0" w:color="auto"/>
        <w:left w:val="none" w:sz="0" w:space="0" w:color="auto"/>
        <w:bottom w:val="none" w:sz="0" w:space="0" w:color="auto"/>
        <w:right w:val="none" w:sz="0" w:space="0" w:color="auto"/>
      </w:divBdr>
    </w:div>
    <w:div w:id="409933295">
      <w:bodyDiv w:val="1"/>
      <w:marLeft w:val="0"/>
      <w:marRight w:val="0"/>
      <w:marTop w:val="0"/>
      <w:marBottom w:val="0"/>
      <w:divBdr>
        <w:top w:val="none" w:sz="0" w:space="0" w:color="auto"/>
        <w:left w:val="none" w:sz="0" w:space="0" w:color="auto"/>
        <w:bottom w:val="none" w:sz="0" w:space="0" w:color="auto"/>
        <w:right w:val="none" w:sz="0" w:space="0" w:color="auto"/>
      </w:divBdr>
    </w:div>
    <w:div w:id="474566456">
      <w:bodyDiv w:val="1"/>
      <w:marLeft w:val="0"/>
      <w:marRight w:val="0"/>
      <w:marTop w:val="0"/>
      <w:marBottom w:val="0"/>
      <w:divBdr>
        <w:top w:val="none" w:sz="0" w:space="0" w:color="auto"/>
        <w:left w:val="none" w:sz="0" w:space="0" w:color="auto"/>
        <w:bottom w:val="none" w:sz="0" w:space="0" w:color="auto"/>
        <w:right w:val="none" w:sz="0" w:space="0" w:color="auto"/>
      </w:divBdr>
    </w:div>
    <w:div w:id="524683589">
      <w:bodyDiv w:val="1"/>
      <w:marLeft w:val="0"/>
      <w:marRight w:val="0"/>
      <w:marTop w:val="0"/>
      <w:marBottom w:val="0"/>
      <w:divBdr>
        <w:top w:val="none" w:sz="0" w:space="0" w:color="auto"/>
        <w:left w:val="none" w:sz="0" w:space="0" w:color="auto"/>
        <w:bottom w:val="none" w:sz="0" w:space="0" w:color="auto"/>
        <w:right w:val="none" w:sz="0" w:space="0" w:color="auto"/>
      </w:divBdr>
    </w:div>
    <w:div w:id="992752835">
      <w:bodyDiv w:val="1"/>
      <w:marLeft w:val="0"/>
      <w:marRight w:val="0"/>
      <w:marTop w:val="0"/>
      <w:marBottom w:val="0"/>
      <w:divBdr>
        <w:top w:val="none" w:sz="0" w:space="0" w:color="auto"/>
        <w:left w:val="none" w:sz="0" w:space="0" w:color="auto"/>
        <w:bottom w:val="none" w:sz="0" w:space="0" w:color="auto"/>
        <w:right w:val="none" w:sz="0" w:space="0" w:color="auto"/>
      </w:divBdr>
    </w:div>
    <w:div w:id="1155729868">
      <w:bodyDiv w:val="1"/>
      <w:marLeft w:val="0"/>
      <w:marRight w:val="0"/>
      <w:marTop w:val="0"/>
      <w:marBottom w:val="0"/>
      <w:divBdr>
        <w:top w:val="none" w:sz="0" w:space="0" w:color="auto"/>
        <w:left w:val="none" w:sz="0" w:space="0" w:color="auto"/>
        <w:bottom w:val="none" w:sz="0" w:space="0" w:color="auto"/>
        <w:right w:val="none" w:sz="0" w:space="0" w:color="auto"/>
      </w:divBdr>
    </w:div>
    <w:div w:id="1212763896">
      <w:bodyDiv w:val="1"/>
      <w:marLeft w:val="0"/>
      <w:marRight w:val="0"/>
      <w:marTop w:val="0"/>
      <w:marBottom w:val="0"/>
      <w:divBdr>
        <w:top w:val="none" w:sz="0" w:space="0" w:color="auto"/>
        <w:left w:val="none" w:sz="0" w:space="0" w:color="auto"/>
        <w:bottom w:val="none" w:sz="0" w:space="0" w:color="auto"/>
        <w:right w:val="none" w:sz="0" w:space="0" w:color="auto"/>
      </w:divBdr>
    </w:div>
    <w:div w:id="1218201708">
      <w:bodyDiv w:val="1"/>
      <w:marLeft w:val="0"/>
      <w:marRight w:val="0"/>
      <w:marTop w:val="0"/>
      <w:marBottom w:val="0"/>
      <w:divBdr>
        <w:top w:val="none" w:sz="0" w:space="0" w:color="auto"/>
        <w:left w:val="none" w:sz="0" w:space="0" w:color="auto"/>
        <w:bottom w:val="none" w:sz="0" w:space="0" w:color="auto"/>
        <w:right w:val="none" w:sz="0" w:space="0" w:color="auto"/>
      </w:divBdr>
    </w:div>
    <w:div w:id="1234468239">
      <w:bodyDiv w:val="1"/>
      <w:marLeft w:val="0"/>
      <w:marRight w:val="0"/>
      <w:marTop w:val="0"/>
      <w:marBottom w:val="0"/>
      <w:divBdr>
        <w:top w:val="none" w:sz="0" w:space="0" w:color="auto"/>
        <w:left w:val="none" w:sz="0" w:space="0" w:color="auto"/>
        <w:bottom w:val="none" w:sz="0" w:space="0" w:color="auto"/>
        <w:right w:val="none" w:sz="0" w:space="0" w:color="auto"/>
      </w:divBdr>
    </w:div>
    <w:div w:id="1314217288">
      <w:bodyDiv w:val="1"/>
      <w:marLeft w:val="0"/>
      <w:marRight w:val="0"/>
      <w:marTop w:val="0"/>
      <w:marBottom w:val="0"/>
      <w:divBdr>
        <w:top w:val="none" w:sz="0" w:space="0" w:color="auto"/>
        <w:left w:val="none" w:sz="0" w:space="0" w:color="auto"/>
        <w:bottom w:val="none" w:sz="0" w:space="0" w:color="auto"/>
        <w:right w:val="none" w:sz="0" w:space="0" w:color="auto"/>
      </w:divBdr>
    </w:div>
    <w:div w:id="1517386083">
      <w:bodyDiv w:val="1"/>
      <w:marLeft w:val="0"/>
      <w:marRight w:val="0"/>
      <w:marTop w:val="0"/>
      <w:marBottom w:val="0"/>
      <w:divBdr>
        <w:top w:val="none" w:sz="0" w:space="0" w:color="auto"/>
        <w:left w:val="none" w:sz="0" w:space="0" w:color="auto"/>
        <w:bottom w:val="none" w:sz="0" w:space="0" w:color="auto"/>
        <w:right w:val="none" w:sz="0" w:space="0" w:color="auto"/>
      </w:divBdr>
    </w:div>
    <w:div w:id="1735615742">
      <w:bodyDiv w:val="1"/>
      <w:marLeft w:val="0"/>
      <w:marRight w:val="0"/>
      <w:marTop w:val="0"/>
      <w:marBottom w:val="0"/>
      <w:divBdr>
        <w:top w:val="none" w:sz="0" w:space="0" w:color="auto"/>
        <w:left w:val="none" w:sz="0" w:space="0" w:color="auto"/>
        <w:bottom w:val="none" w:sz="0" w:space="0" w:color="auto"/>
        <w:right w:val="none" w:sz="0" w:space="0" w:color="auto"/>
      </w:divBdr>
    </w:div>
    <w:div w:id="1936859922">
      <w:bodyDiv w:val="1"/>
      <w:marLeft w:val="0"/>
      <w:marRight w:val="0"/>
      <w:marTop w:val="0"/>
      <w:marBottom w:val="0"/>
      <w:divBdr>
        <w:top w:val="none" w:sz="0" w:space="0" w:color="auto"/>
        <w:left w:val="none" w:sz="0" w:space="0" w:color="auto"/>
        <w:bottom w:val="none" w:sz="0" w:space="0" w:color="auto"/>
        <w:right w:val="none" w:sz="0" w:space="0" w:color="auto"/>
      </w:divBdr>
    </w:div>
    <w:div w:id="2091391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gioncajamarca.gob.pe/"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mvonhess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violeta.vigo@newmont.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rguevara@regioncajamarca.gob.pe"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1091</Words>
  <Characters>6001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Leguía</dc:creator>
  <cp:keywords/>
  <dc:description/>
  <cp:lastModifiedBy>Edinson Terán -</cp:lastModifiedBy>
  <cp:revision>3</cp:revision>
  <dcterms:created xsi:type="dcterms:W3CDTF">2025-05-12T13:42:00Z</dcterms:created>
  <dcterms:modified xsi:type="dcterms:W3CDTF">2025-05-12T13:42:00Z</dcterms:modified>
</cp:coreProperties>
</file>