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3518" w14:textId="77777777" w:rsidR="00AB678B" w:rsidRPr="002F2974" w:rsidRDefault="00AB678B" w:rsidP="002F2974">
      <w:pPr>
        <w:spacing w:after="0" w:line="360" w:lineRule="auto"/>
        <w:ind w:left="1080" w:hanging="720"/>
        <w:jc w:val="center"/>
        <w:rPr>
          <w:rFonts w:ascii="Arial" w:hAnsi="Arial" w:cs="Arial"/>
          <w:b/>
          <w:bCs/>
        </w:rPr>
      </w:pPr>
      <w:r w:rsidRPr="002F2974">
        <w:rPr>
          <w:rFonts w:ascii="Arial" w:hAnsi="Arial" w:cs="Arial"/>
          <w:b/>
          <w:bCs/>
        </w:rPr>
        <w:t>FORO DE TECNOLOGÍA, INNOVACIÓN Y SOSTENIBILIDAD</w:t>
      </w:r>
    </w:p>
    <w:p w14:paraId="3ECBE53C" w14:textId="77777777" w:rsidR="00AB678B" w:rsidRPr="002F2974" w:rsidRDefault="00AB678B" w:rsidP="002F2974">
      <w:pPr>
        <w:spacing w:after="0" w:line="360" w:lineRule="auto"/>
        <w:ind w:left="1080" w:hanging="720"/>
        <w:jc w:val="center"/>
        <w:rPr>
          <w:rFonts w:ascii="Arial" w:hAnsi="Arial" w:cs="Arial"/>
          <w:b/>
          <w:bCs/>
        </w:rPr>
      </w:pPr>
      <w:r w:rsidRPr="002F2974">
        <w:rPr>
          <w:rFonts w:ascii="Arial" w:hAnsi="Arial" w:cs="Arial"/>
          <w:b/>
          <w:bCs/>
        </w:rPr>
        <w:t>CONVOCATORIA DE TRABAJOS TÉCNICOS</w:t>
      </w:r>
    </w:p>
    <w:p w14:paraId="5A7E492D" w14:textId="2F261107" w:rsidR="00A91B46" w:rsidRPr="002F2974" w:rsidRDefault="00AB678B" w:rsidP="002F2974">
      <w:pPr>
        <w:spacing w:after="0" w:line="360" w:lineRule="auto"/>
        <w:ind w:left="1080" w:hanging="720"/>
        <w:jc w:val="center"/>
        <w:rPr>
          <w:rFonts w:ascii="Arial" w:hAnsi="Arial" w:cs="Arial"/>
        </w:rPr>
      </w:pPr>
      <w:r w:rsidRPr="002F2974">
        <w:rPr>
          <w:rFonts w:ascii="Arial" w:hAnsi="Arial" w:cs="Arial"/>
          <w:b/>
          <w:bCs/>
        </w:rPr>
        <w:t>PREMIO NACIONAL DE MINERÍA</w:t>
      </w:r>
    </w:p>
    <w:p w14:paraId="1C04D2A2" w14:textId="77777777" w:rsidR="00A91B46" w:rsidRPr="002F2974" w:rsidRDefault="00A91B46" w:rsidP="002F2974">
      <w:pPr>
        <w:pStyle w:val="Prrafodelista"/>
        <w:spacing w:after="0" w:line="360" w:lineRule="auto"/>
        <w:ind w:left="1080"/>
        <w:jc w:val="both"/>
        <w:rPr>
          <w:rFonts w:ascii="Arial" w:eastAsia="Calibri" w:hAnsi="Arial" w:cs="Arial"/>
          <w:b/>
          <w:u w:val="single"/>
          <w:lang w:val="es-ES"/>
        </w:rPr>
      </w:pPr>
    </w:p>
    <w:p w14:paraId="3637057C" w14:textId="77777777" w:rsidR="00A91B46" w:rsidRPr="002F2974" w:rsidRDefault="00A91B46" w:rsidP="002F2974">
      <w:pPr>
        <w:pStyle w:val="Prrafodelista"/>
        <w:spacing w:after="0" w:line="360" w:lineRule="auto"/>
        <w:ind w:left="1080"/>
        <w:jc w:val="both"/>
        <w:rPr>
          <w:rFonts w:ascii="Arial" w:eastAsia="Calibri" w:hAnsi="Arial" w:cs="Arial"/>
          <w:b/>
          <w:u w:val="single"/>
          <w:lang w:val="es-ES"/>
        </w:rPr>
      </w:pPr>
    </w:p>
    <w:p w14:paraId="33CD739E" w14:textId="00116407" w:rsidR="00410CA5" w:rsidRPr="002F2974" w:rsidRDefault="00410CA5" w:rsidP="002F2974">
      <w:pPr>
        <w:pStyle w:val="Prrafodelista"/>
        <w:numPr>
          <w:ilvl w:val="0"/>
          <w:numId w:val="3"/>
        </w:numPr>
        <w:spacing w:after="0" w:line="360" w:lineRule="auto"/>
        <w:jc w:val="both"/>
        <w:rPr>
          <w:rFonts w:ascii="Arial" w:eastAsia="Calibri" w:hAnsi="Arial" w:cs="Arial"/>
          <w:b/>
          <w:u w:val="single"/>
          <w:lang w:val="es-ES"/>
        </w:rPr>
      </w:pPr>
      <w:r w:rsidRPr="002F2974">
        <w:rPr>
          <w:rFonts w:ascii="Arial" w:eastAsia="Calibri" w:hAnsi="Arial" w:cs="Arial"/>
          <w:b/>
          <w:u w:val="single"/>
          <w:lang w:val="es-ES"/>
        </w:rPr>
        <w:t>INFORMACIÓN</w:t>
      </w:r>
    </w:p>
    <w:p w14:paraId="54B1A4C4" w14:textId="77777777" w:rsidR="00410CA5" w:rsidRPr="002F2974" w:rsidRDefault="00410CA5" w:rsidP="002F2974">
      <w:pPr>
        <w:spacing w:after="0" w:line="360" w:lineRule="auto"/>
        <w:jc w:val="both"/>
        <w:rPr>
          <w:rFonts w:ascii="Arial" w:eastAsia="Calibri" w:hAnsi="Arial" w:cs="Arial"/>
          <w:bCs/>
          <w:lang w:val="es-ES"/>
        </w:rPr>
      </w:pPr>
    </w:p>
    <w:p w14:paraId="3FF86A79" w14:textId="03CFFF2E" w:rsidR="007239FA" w:rsidRPr="002F2974" w:rsidRDefault="00410CA5" w:rsidP="002F2974">
      <w:pPr>
        <w:pStyle w:val="Prrafodelista"/>
        <w:numPr>
          <w:ilvl w:val="0"/>
          <w:numId w:val="1"/>
        </w:numPr>
        <w:spacing w:after="0" w:line="360" w:lineRule="auto"/>
        <w:jc w:val="both"/>
        <w:rPr>
          <w:rFonts w:ascii="Arial" w:eastAsia="Calibri" w:hAnsi="Arial" w:cs="Arial"/>
          <w:b/>
          <w:lang w:val="es-ES"/>
        </w:rPr>
      </w:pPr>
      <w:r w:rsidRPr="002F2974">
        <w:rPr>
          <w:rFonts w:ascii="Arial" w:eastAsia="Calibri" w:hAnsi="Arial" w:cs="Arial"/>
          <w:b/>
          <w:lang w:val="es-ES"/>
        </w:rPr>
        <w:t>T</w:t>
      </w:r>
      <w:r w:rsidR="000E3784" w:rsidRPr="002F2974">
        <w:rPr>
          <w:rFonts w:ascii="Arial" w:eastAsia="Calibri" w:hAnsi="Arial" w:cs="Arial"/>
          <w:b/>
          <w:lang w:val="es-ES"/>
        </w:rPr>
        <w:t>ítulo del trabajo</w:t>
      </w:r>
      <w:r w:rsidRPr="002F2974">
        <w:rPr>
          <w:rFonts w:ascii="Arial" w:eastAsia="Calibri" w:hAnsi="Arial" w:cs="Arial"/>
          <w:b/>
          <w:lang w:val="es-ES"/>
        </w:rPr>
        <w:t>:</w:t>
      </w:r>
      <w:r w:rsidR="007530EE" w:rsidRPr="002F2974">
        <w:rPr>
          <w:rFonts w:ascii="Arial" w:eastAsia="Calibri" w:hAnsi="Arial" w:cs="Arial"/>
          <w:b/>
          <w:lang w:val="es-ES"/>
        </w:rPr>
        <w:t xml:space="preserve"> </w:t>
      </w:r>
      <w:r w:rsidR="007239FA" w:rsidRPr="002F2974">
        <w:rPr>
          <w:rFonts w:ascii="Arial" w:hAnsi="Arial" w:cs="Arial"/>
        </w:rPr>
        <w:t xml:space="preserve">La Base de Datos de Pueblos Indígenas como condición habilitante para la consulta previa y la seguridad jurídica </w:t>
      </w:r>
      <w:r w:rsidR="0049695C" w:rsidRPr="002F2974">
        <w:rPr>
          <w:rFonts w:ascii="Arial" w:hAnsi="Arial" w:cs="Arial"/>
        </w:rPr>
        <w:t>de</w:t>
      </w:r>
      <w:r w:rsidR="007239FA" w:rsidRPr="002F2974">
        <w:rPr>
          <w:rFonts w:ascii="Arial" w:hAnsi="Arial" w:cs="Arial"/>
        </w:rPr>
        <w:t xml:space="preserve"> la inversión minera</w:t>
      </w:r>
    </w:p>
    <w:p w14:paraId="58B8C19C" w14:textId="77777777" w:rsidR="007239FA" w:rsidRPr="002F2974" w:rsidRDefault="007239FA" w:rsidP="002F2974">
      <w:pPr>
        <w:pStyle w:val="Prrafodelista"/>
        <w:spacing w:after="0" w:line="360" w:lineRule="auto"/>
        <w:jc w:val="both"/>
        <w:rPr>
          <w:rFonts w:ascii="Arial" w:eastAsia="Calibri" w:hAnsi="Arial" w:cs="Arial"/>
          <w:b/>
          <w:lang w:val="es-ES"/>
        </w:rPr>
      </w:pPr>
    </w:p>
    <w:p w14:paraId="7502BF4B" w14:textId="596F8DA0" w:rsidR="00AB678B" w:rsidRPr="002F2974" w:rsidRDefault="00AB678B" w:rsidP="002F2974">
      <w:pPr>
        <w:pStyle w:val="Prrafodelista"/>
        <w:numPr>
          <w:ilvl w:val="0"/>
          <w:numId w:val="1"/>
        </w:numPr>
        <w:spacing w:after="0" w:line="360" w:lineRule="auto"/>
        <w:jc w:val="both"/>
        <w:rPr>
          <w:rFonts w:ascii="Arial" w:eastAsia="Calibri" w:hAnsi="Arial" w:cs="Arial"/>
          <w:bCs/>
          <w:lang w:val="es-ES"/>
        </w:rPr>
      </w:pPr>
      <w:r w:rsidRPr="002F2974">
        <w:rPr>
          <w:rFonts w:ascii="Arial" w:eastAsia="Calibri" w:hAnsi="Arial" w:cs="Arial"/>
          <w:b/>
          <w:lang w:val="es-ES"/>
        </w:rPr>
        <w:t>Tema:</w:t>
      </w:r>
      <w:r w:rsidR="007239FA" w:rsidRPr="002F2974">
        <w:rPr>
          <w:rFonts w:ascii="Arial" w:eastAsia="Calibri" w:hAnsi="Arial" w:cs="Arial"/>
          <w:b/>
          <w:lang w:val="es-ES"/>
        </w:rPr>
        <w:t xml:space="preserve"> </w:t>
      </w:r>
      <w:r w:rsidR="007239FA" w:rsidRPr="002F2974">
        <w:rPr>
          <w:rFonts w:ascii="Arial" w:eastAsia="Calibri" w:hAnsi="Arial" w:cs="Arial"/>
          <w:bCs/>
          <w:lang w:val="es-ES"/>
        </w:rPr>
        <w:t>Mecanismos de solución de conflictos</w:t>
      </w:r>
    </w:p>
    <w:p w14:paraId="7AE58D11" w14:textId="77777777" w:rsidR="00AB678B" w:rsidRPr="002F2974" w:rsidRDefault="00AB678B" w:rsidP="002F2974">
      <w:pPr>
        <w:pStyle w:val="Prrafodelista"/>
        <w:spacing w:after="0" w:line="360" w:lineRule="auto"/>
        <w:jc w:val="both"/>
        <w:rPr>
          <w:rFonts w:ascii="Arial" w:eastAsia="Calibri" w:hAnsi="Arial" w:cs="Arial"/>
          <w:b/>
          <w:lang w:val="es-ES"/>
        </w:rPr>
      </w:pPr>
    </w:p>
    <w:p w14:paraId="46F2B5F5" w14:textId="6A96C7D0" w:rsidR="00804BC9" w:rsidRPr="002F2974" w:rsidRDefault="00410CA5" w:rsidP="002F2974">
      <w:pPr>
        <w:pStyle w:val="Prrafodelista"/>
        <w:numPr>
          <w:ilvl w:val="0"/>
          <w:numId w:val="1"/>
        </w:numPr>
        <w:spacing w:after="0" w:line="360" w:lineRule="auto"/>
        <w:jc w:val="both"/>
        <w:rPr>
          <w:rFonts w:ascii="Arial" w:eastAsia="Calibri" w:hAnsi="Arial" w:cs="Arial"/>
          <w:b/>
          <w:lang w:val="es-ES"/>
        </w:rPr>
      </w:pPr>
      <w:r w:rsidRPr="002F2974">
        <w:rPr>
          <w:rFonts w:ascii="Arial" w:eastAsia="Calibri" w:hAnsi="Arial" w:cs="Arial"/>
          <w:b/>
          <w:lang w:val="es-ES"/>
        </w:rPr>
        <w:t>C</w:t>
      </w:r>
      <w:r w:rsidR="000E3784" w:rsidRPr="002F2974">
        <w:rPr>
          <w:rFonts w:ascii="Arial" w:eastAsia="Calibri" w:hAnsi="Arial" w:cs="Arial"/>
          <w:b/>
          <w:lang w:val="es-ES"/>
        </w:rPr>
        <w:t>ategoría</w:t>
      </w:r>
      <w:r w:rsidRPr="002F2974">
        <w:rPr>
          <w:rFonts w:ascii="Arial" w:eastAsia="Calibri" w:hAnsi="Arial" w:cs="Arial"/>
          <w:b/>
          <w:lang w:val="es-ES"/>
        </w:rPr>
        <w:t>:</w:t>
      </w:r>
      <w:r w:rsidR="0034526A" w:rsidRPr="002F2974">
        <w:rPr>
          <w:rFonts w:ascii="Arial" w:hAnsi="Arial" w:cs="Arial"/>
        </w:rPr>
        <w:t xml:space="preserve"> </w:t>
      </w:r>
      <w:r w:rsidR="007239FA" w:rsidRPr="002F2974">
        <w:rPr>
          <w:rFonts w:ascii="Arial" w:hAnsi="Arial" w:cs="Arial"/>
        </w:rPr>
        <w:t>Regulación y Economía Minera</w:t>
      </w:r>
    </w:p>
    <w:p w14:paraId="683B4900" w14:textId="77777777" w:rsidR="00804BC9" w:rsidRPr="002F2974" w:rsidRDefault="00804BC9" w:rsidP="002F2974">
      <w:pPr>
        <w:pStyle w:val="Prrafodelista"/>
        <w:spacing w:after="0" w:line="360" w:lineRule="auto"/>
        <w:rPr>
          <w:rFonts w:ascii="Arial" w:eastAsia="Calibri" w:hAnsi="Arial" w:cs="Arial"/>
          <w:b/>
          <w:lang w:val="es-ES"/>
        </w:rPr>
      </w:pPr>
    </w:p>
    <w:p w14:paraId="51F69766" w14:textId="358750E4" w:rsidR="00804BC9" w:rsidRPr="002F2974" w:rsidRDefault="00804BC9" w:rsidP="002F2974">
      <w:pPr>
        <w:pStyle w:val="Prrafodelista"/>
        <w:numPr>
          <w:ilvl w:val="0"/>
          <w:numId w:val="1"/>
        </w:numPr>
        <w:spacing w:after="0" w:line="360" w:lineRule="auto"/>
        <w:jc w:val="both"/>
        <w:rPr>
          <w:rFonts w:ascii="Arial" w:eastAsia="Times New Roman" w:hAnsi="Arial" w:cs="Arial"/>
          <w:lang w:eastAsia="es-PE"/>
        </w:rPr>
      </w:pPr>
      <w:r w:rsidRPr="002F2974">
        <w:rPr>
          <w:rFonts w:ascii="Arial" w:eastAsia="Calibri" w:hAnsi="Arial" w:cs="Arial"/>
          <w:b/>
          <w:lang w:val="es-ES"/>
        </w:rPr>
        <w:t xml:space="preserve">Seis Palabras clave:  </w:t>
      </w:r>
      <w:r w:rsidRPr="002F2974">
        <w:rPr>
          <w:rFonts w:ascii="Arial" w:eastAsia="Times New Roman" w:hAnsi="Arial" w:cs="Arial"/>
          <w:lang w:eastAsia="es-PE"/>
        </w:rPr>
        <w:t>BDPI, Consulta previa, Pueblos indígenas u Originarios, Comunidades Campesinas y Comunidades Nativas, Seguridad jurídica y Convenio 169 OIT</w:t>
      </w:r>
    </w:p>
    <w:p w14:paraId="5BF38CA4" w14:textId="77777777" w:rsidR="00804BC9" w:rsidRPr="002F2974" w:rsidRDefault="00804BC9" w:rsidP="002F2974">
      <w:pPr>
        <w:pStyle w:val="Prrafodelista"/>
        <w:spacing w:after="0" w:line="360" w:lineRule="auto"/>
        <w:jc w:val="both"/>
        <w:rPr>
          <w:rFonts w:ascii="Arial" w:eastAsia="Calibri" w:hAnsi="Arial" w:cs="Arial"/>
          <w:lang w:val="es-ES"/>
        </w:rPr>
      </w:pPr>
    </w:p>
    <w:p w14:paraId="050F7D29" w14:textId="1BAB5781" w:rsidR="00AB678B" w:rsidRPr="002F2974" w:rsidRDefault="00410CA5" w:rsidP="002F2974">
      <w:pPr>
        <w:pStyle w:val="Prrafodelista"/>
        <w:numPr>
          <w:ilvl w:val="0"/>
          <w:numId w:val="1"/>
        </w:numPr>
        <w:spacing w:after="0" w:line="360" w:lineRule="auto"/>
        <w:jc w:val="both"/>
        <w:rPr>
          <w:rFonts w:ascii="Arial" w:eastAsia="Calibri" w:hAnsi="Arial" w:cs="Arial"/>
          <w:b/>
          <w:lang w:val="es-ES"/>
        </w:rPr>
      </w:pPr>
      <w:r w:rsidRPr="002F2974">
        <w:rPr>
          <w:rFonts w:ascii="Arial" w:eastAsia="Calibri" w:hAnsi="Arial" w:cs="Arial"/>
          <w:b/>
          <w:lang w:val="es-ES"/>
        </w:rPr>
        <w:t>D</w:t>
      </w:r>
      <w:r w:rsidR="000E3784" w:rsidRPr="002F2974">
        <w:rPr>
          <w:rFonts w:ascii="Arial" w:eastAsia="Calibri" w:hAnsi="Arial" w:cs="Arial"/>
          <w:b/>
          <w:lang w:val="es-ES"/>
        </w:rPr>
        <w:t>atos del autor</w:t>
      </w:r>
      <w:r w:rsidRPr="002F2974">
        <w:rPr>
          <w:rFonts w:ascii="Arial" w:eastAsia="Calibri" w:hAnsi="Arial" w:cs="Arial"/>
          <w:b/>
          <w:lang w:val="es-ES"/>
        </w:rPr>
        <w:t>:</w:t>
      </w:r>
    </w:p>
    <w:p w14:paraId="3AA60A2A" w14:textId="77777777" w:rsidR="00AB678B" w:rsidRPr="002F2974" w:rsidRDefault="00AB678B" w:rsidP="002F2974">
      <w:pPr>
        <w:spacing w:after="0" w:line="360" w:lineRule="auto"/>
        <w:jc w:val="both"/>
        <w:rPr>
          <w:rFonts w:ascii="Arial" w:eastAsia="Calibri" w:hAnsi="Arial" w:cs="Arial"/>
          <w:bCs/>
          <w:lang w:val="es-ES"/>
        </w:rPr>
      </w:pPr>
    </w:p>
    <w:p w14:paraId="0C680845" w14:textId="7B0B2D0F" w:rsidR="00AB678B" w:rsidRPr="002F2974" w:rsidRDefault="00AB678B" w:rsidP="002F2974">
      <w:pPr>
        <w:pStyle w:val="Prrafodelista"/>
        <w:numPr>
          <w:ilvl w:val="1"/>
          <w:numId w:val="1"/>
        </w:numPr>
        <w:spacing w:after="0" w:line="360" w:lineRule="auto"/>
        <w:jc w:val="both"/>
        <w:rPr>
          <w:rFonts w:ascii="Arial" w:eastAsia="Calibri" w:hAnsi="Arial" w:cs="Arial"/>
          <w:bCs/>
          <w:lang w:val="es-ES"/>
        </w:rPr>
      </w:pPr>
      <w:r w:rsidRPr="002F2974">
        <w:rPr>
          <w:rFonts w:ascii="Arial" w:eastAsia="Calibri" w:hAnsi="Arial" w:cs="Arial"/>
          <w:b/>
          <w:lang w:val="es-ES"/>
        </w:rPr>
        <w:t>COAUTOR 1</w:t>
      </w:r>
    </w:p>
    <w:p w14:paraId="6D38784B" w14:textId="77777777" w:rsidR="00AB678B" w:rsidRPr="002F2974" w:rsidRDefault="00AB678B" w:rsidP="002F2974">
      <w:pPr>
        <w:pStyle w:val="Prrafodelista"/>
        <w:spacing w:after="0" w:line="360" w:lineRule="auto"/>
        <w:ind w:left="1440"/>
        <w:jc w:val="both"/>
        <w:rPr>
          <w:rFonts w:ascii="Arial" w:eastAsia="Calibri" w:hAnsi="Arial" w:cs="Arial"/>
          <w:bCs/>
          <w:lang w:val="es-ES"/>
        </w:rPr>
      </w:pPr>
    </w:p>
    <w:p w14:paraId="52E49BDA" w14:textId="08D8AA35" w:rsidR="00AB678B" w:rsidRPr="002F2974" w:rsidRDefault="00AB678B" w:rsidP="002F2974">
      <w:pPr>
        <w:pStyle w:val="Prrafodelista"/>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 xml:space="preserve">Nombres completos: Ángela Chávarri García </w:t>
      </w:r>
    </w:p>
    <w:p w14:paraId="273BD2C3" w14:textId="77777777" w:rsidR="00AB678B" w:rsidRPr="002F2974" w:rsidRDefault="00AB678B" w:rsidP="002F2974">
      <w:pPr>
        <w:pStyle w:val="Prrafodelista"/>
        <w:spacing w:after="0" w:line="360" w:lineRule="auto"/>
        <w:ind w:left="1440"/>
        <w:jc w:val="both"/>
        <w:rPr>
          <w:rFonts w:ascii="Arial" w:eastAsia="Calibri" w:hAnsi="Arial" w:cs="Arial"/>
          <w:bCs/>
          <w:lang w:val="es-ES"/>
        </w:rPr>
      </w:pPr>
    </w:p>
    <w:p w14:paraId="3D115124" w14:textId="5D35D9B4" w:rsidR="00AB678B" w:rsidRPr="002F2974" w:rsidRDefault="00AB678B" w:rsidP="002F2974">
      <w:pPr>
        <w:pStyle w:val="Prrafodelista"/>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Empresa:  Independiente</w:t>
      </w:r>
    </w:p>
    <w:p w14:paraId="5C62A4CC" w14:textId="77777777" w:rsidR="00AB678B" w:rsidRPr="002F2974" w:rsidRDefault="00AB678B" w:rsidP="002F2974">
      <w:pPr>
        <w:pStyle w:val="Prrafodelista"/>
        <w:spacing w:after="0" w:line="360" w:lineRule="auto"/>
        <w:ind w:left="1440"/>
        <w:jc w:val="both"/>
        <w:rPr>
          <w:rFonts w:ascii="Arial" w:eastAsia="Calibri" w:hAnsi="Arial" w:cs="Arial"/>
          <w:bCs/>
          <w:lang w:val="es-ES"/>
        </w:rPr>
      </w:pPr>
    </w:p>
    <w:p w14:paraId="4F591454" w14:textId="5EDC3940" w:rsidR="00AB678B" w:rsidRPr="002F2974" w:rsidRDefault="00AB678B" w:rsidP="002F2974">
      <w:pPr>
        <w:pStyle w:val="Prrafodelista"/>
        <w:numPr>
          <w:ilvl w:val="0"/>
          <w:numId w:val="2"/>
        </w:numPr>
        <w:spacing w:after="0" w:line="360" w:lineRule="auto"/>
        <w:jc w:val="both"/>
        <w:rPr>
          <w:rFonts w:ascii="Arial" w:eastAsia="Calibri" w:hAnsi="Arial" w:cs="Arial"/>
          <w:bCs/>
          <w:lang w:val="pt-PT"/>
        </w:rPr>
      </w:pPr>
      <w:r w:rsidRPr="002F2974">
        <w:rPr>
          <w:rFonts w:ascii="Arial" w:eastAsia="Calibri" w:hAnsi="Arial" w:cs="Arial"/>
          <w:bCs/>
          <w:lang w:val="pt-PT"/>
        </w:rPr>
        <w:t>Cargo: Consultor Senior</w:t>
      </w:r>
      <w:r w:rsidR="00B901F2" w:rsidRPr="002F2974">
        <w:rPr>
          <w:rFonts w:ascii="Arial" w:eastAsia="Calibri" w:hAnsi="Arial" w:cs="Arial"/>
          <w:bCs/>
          <w:lang w:val="pt-PT"/>
        </w:rPr>
        <w:t xml:space="preserve"> e investigadora académica</w:t>
      </w:r>
    </w:p>
    <w:p w14:paraId="276DBBC6" w14:textId="77777777" w:rsidR="00AB678B" w:rsidRPr="002F2974" w:rsidRDefault="00AB678B" w:rsidP="002F2974">
      <w:pPr>
        <w:pStyle w:val="Prrafodelista"/>
        <w:spacing w:after="0" w:line="360" w:lineRule="auto"/>
        <w:ind w:left="1440"/>
        <w:jc w:val="both"/>
        <w:rPr>
          <w:rFonts w:ascii="Arial" w:eastAsia="Calibri" w:hAnsi="Arial" w:cs="Arial"/>
          <w:bCs/>
          <w:lang w:val="pt-PT"/>
        </w:rPr>
      </w:pPr>
    </w:p>
    <w:p w14:paraId="37C96BEE" w14:textId="6AD9A5EC" w:rsidR="00AB678B" w:rsidRPr="002F2974" w:rsidRDefault="00AB678B" w:rsidP="002F2974">
      <w:pPr>
        <w:pStyle w:val="Prrafodelista"/>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 xml:space="preserve">Dirección particular: Duccio 173 - San Borja </w:t>
      </w:r>
    </w:p>
    <w:p w14:paraId="453E4A80" w14:textId="77777777" w:rsidR="00AB678B" w:rsidRPr="002F2974" w:rsidRDefault="00AB678B" w:rsidP="002F2974">
      <w:pPr>
        <w:pStyle w:val="Prrafodelista"/>
        <w:spacing w:after="0" w:line="360" w:lineRule="auto"/>
        <w:ind w:left="1440"/>
        <w:jc w:val="both"/>
        <w:rPr>
          <w:rFonts w:ascii="Arial" w:eastAsia="Calibri" w:hAnsi="Arial" w:cs="Arial"/>
          <w:bCs/>
          <w:lang w:val="es-ES"/>
        </w:rPr>
      </w:pPr>
    </w:p>
    <w:p w14:paraId="07BD4833" w14:textId="40A37A1C" w:rsidR="00AB678B" w:rsidRPr="002F2974" w:rsidRDefault="00AB678B" w:rsidP="002F2974">
      <w:pPr>
        <w:pStyle w:val="Prrafodelista"/>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Cor</w:t>
      </w:r>
      <w:r w:rsidR="00B901F2" w:rsidRPr="002F2974">
        <w:rPr>
          <w:rFonts w:ascii="Arial" w:eastAsia="Calibri" w:hAnsi="Arial" w:cs="Arial"/>
          <w:bCs/>
          <w:lang w:val="es-ES"/>
        </w:rPr>
        <w:t>reo: angela.chavarri@pucp.edu.pe</w:t>
      </w:r>
    </w:p>
    <w:p w14:paraId="4BAA5BCC" w14:textId="77777777" w:rsidR="00AB678B" w:rsidRPr="002F2974" w:rsidRDefault="00AB678B" w:rsidP="002F2974">
      <w:pPr>
        <w:pStyle w:val="Prrafodelista"/>
        <w:spacing w:after="0" w:line="360" w:lineRule="auto"/>
        <w:jc w:val="both"/>
        <w:rPr>
          <w:rFonts w:ascii="Arial" w:eastAsia="Calibri" w:hAnsi="Arial" w:cs="Arial"/>
          <w:bCs/>
          <w:lang w:val="es-ES"/>
        </w:rPr>
      </w:pPr>
    </w:p>
    <w:p w14:paraId="2D36D43A" w14:textId="5E65F037" w:rsidR="00AB678B" w:rsidRPr="002F2974" w:rsidRDefault="00AB678B" w:rsidP="002F2974">
      <w:pPr>
        <w:pStyle w:val="Prrafodelista"/>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 xml:space="preserve">Reseña profesional: </w:t>
      </w:r>
    </w:p>
    <w:p w14:paraId="32559DF6" w14:textId="17332BAF" w:rsidR="00AB678B" w:rsidRPr="002F2974" w:rsidRDefault="00903FAA" w:rsidP="002F2974">
      <w:pPr>
        <w:pStyle w:val="Prrafodelista"/>
        <w:spacing w:after="0" w:line="360" w:lineRule="auto"/>
        <w:ind w:left="1134"/>
        <w:jc w:val="both"/>
        <w:rPr>
          <w:rFonts w:ascii="Arial" w:eastAsia="Calibri" w:hAnsi="Arial" w:cs="Arial"/>
          <w:bCs/>
          <w:lang w:val="es-ES"/>
        </w:rPr>
      </w:pPr>
      <w:r w:rsidRPr="002F2974">
        <w:rPr>
          <w:rFonts w:ascii="Arial" w:eastAsia="Calibri" w:hAnsi="Arial" w:cs="Arial"/>
          <w:bCs/>
        </w:rPr>
        <w:t xml:space="preserve">Abogada especializada en Derecho Minero, Derecho Ambiental y Desarrollo Sostenible, con más de 18 años de experiencia, principalmente en el sector privado y en el ámbito académico. Graduada de la Pontificia Universidad Católica del Perú (PUCP), donde obtuvo el grado de Magíster en </w:t>
      </w:r>
      <w:r w:rsidRPr="002F2974">
        <w:rPr>
          <w:rFonts w:ascii="Arial" w:eastAsia="Calibri" w:hAnsi="Arial" w:cs="Arial"/>
          <w:bCs/>
        </w:rPr>
        <w:lastRenderedPageBreak/>
        <w:t>Regulación, Gestión y Economía Minera, y culminó los estudios de la Maestría en Gerencia Social (con tesis en desarrollo). Cuenta con una Segunda Especialización en Derecho Ambiental y Recursos Naturales, así como con diplomados especializados y pasantías internacionales en Brasil y Colombia, centrados en industrias extractivas y la sostenibilidad. Actualmente se desempeña como consultora legal, investigadora académica y panelista en foros especializados.</w:t>
      </w:r>
    </w:p>
    <w:p w14:paraId="39C02AD1" w14:textId="77777777" w:rsidR="00AB678B" w:rsidRPr="002F2974" w:rsidRDefault="00AB678B" w:rsidP="002F2974">
      <w:pPr>
        <w:pStyle w:val="Prrafodelista"/>
        <w:spacing w:after="0" w:line="360" w:lineRule="auto"/>
        <w:ind w:left="1440"/>
        <w:jc w:val="both"/>
        <w:rPr>
          <w:rFonts w:ascii="Arial" w:eastAsia="Calibri" w:hAnsi="Arial" w:cs="Arial"/>
          <w:bCs/>
          <w:lang w:val="es-ES"/>
        </w:rPr>
      </w:pPr>
    </w:p>
    <w:p w14:paraId="232FB608" w14:textId="78323B8D" w:rsidR="00AB678B" w:rsidRPr="002F2974" w:rsidRDefault="00AB678B" w:rsidP="002F2974">
      <w:pPr>
        <w:pStyle w:val="Prrafodelista"/>
        <w:numPr>
          <w:ilvl w:val="1"/>
          <w:numId w:val="1"/>
        </w:numPr>
        <w:spacing w:after="0" w:line="360" w:lineRule="auto"/>
        <w:jc w:val="both"/>
        <w:rPr>
          <w:rFonts w:ascii="Arial" w:eastAsia="Calibri" w:hAnsi="Arial" w:cs="Arial"/>
          <w:bCs/>
          <w:lang w:val="es-ES"/>
        </w:rPr>
      </w:pPr>
      <w:r w:rsidRPr="002F2974">
        <w:rPr>
          <w:rFonts w:ascii="Arial" w:eastAsia="Calibri" w:hAnsi="Arial" w:cs="Arial"/>
          <w:b/>
          <w:lang w:val="es-ES"/>
        </w:rPr>
        <w:t>COAUTOR 2</w:t>
      </w:r>
    </w:p>
    <w:p w14:paraId="342AAAC3" w14:textId="77777777" w:rsidR="000E3784" w:rsidRPr="002F2974" w:rsidRDefault="000E3784" w:rsidP="002F2974">
      <w:pPr>
        <w:spacing w:after="0" w:line="360" w:lineRule="auto"/>
        <w:jc w:val="both"/>
        <w:rPr>
          <w:rFonts w:ascii="Arial" w:eastAsia="Calibri" w:hAnsi="Arial" w:cs="Arial"/>
          <w:bCs/>
          <w:lang w:val="es-ES"/>
        </w:rPr>
      </w:pPr>
    </w:p>
    <w:p w14:paraId="1339C78F" w14:textId="20419693" w:rsidR="00B901F2" w:rsidRPr="002F2974" w:rsidRDefault="00B901F2" w:rsidP="002F2974">
      <w:pPr>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 xml:space="preserve">Nombres completos: </w:t>
      </w:r>
      <w:r w:rsidR="00C04184" w:rsidRPr="002F2974">
        <w:rPr>
          <w:rFonts w:ascii="Arial" w:eastAsia="Calibri" w:hAnsi="Arial" w:cs="Arial"/>
          <w:bCs/>
          <w:lang w:val="es-ES"/>
        </w:rPr>
        <w:t>María Amelia Trigoso Barentzen</w:t>
      </w:r>
    </w:p>
    <w:p w14:paraId="2AA97053" w14:textId="77777777" w:rsidR="00B901F2" w:rsidRPr="002F2974" w:rsidRDefault="00B901F2" w:rsidP="002F2974">
      <w:pPr>
        <w:spacing w:after="0" w:line="360" w:lineRule="auto"/>
        <w:jc w:val="both"/>
        <w:rPr>
          <w:rFonts w:ascii="Arial" w:eastAsia="Calibri" w:hAnsi="Arial" w:cs="Arial"/>
          <w:bCs/>
          <w:lang w:val="es-ES"/>
        </w:rPr>
      </w:pPr>
    </w:p>
    <w:p w14:paraId="4146DC8B" w14:textId="2F26F44D" w:rsidR="00B901F2" w:rsidRPr="002F2974" w:rsidRDefault="00B901F2" w:rsidP="002F2974">
      <w:pPr>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 xml:space="preserve">Empresa:  </w:t>
      </w:r>
      <w:r w:rsidR="006D46E0" w:rsidRPr="002F2974">
        <w:rPr>
          <w:rFonts w:ascii="Arial" w:eastAsia="Calibri" w:hAnsi="Arial" w:cs="Arial"/>
          <w:bCs/>
          <w:lang w:val="es-ES"/>
        </w:rPr>
        <w:t>Ministerio de Cultura (con licencia actualmente)</w:t>
      </w:r>
    </w:p>
    <w:p w14:paraId="5687A9C5" w14:textId="77777777" w:rsidR="00B901F2" w:rsidRPr="002F2974" w:rsidRDefault="00B901F2" w:rsidP="002F2974">
      <w:pPr>
        <w:spacing w:after="0" w:line="360" w:lineRule="auto"/>
        <w:jc w:val="both"/>
        <w:rPr>
          <w:rFonts w:ascii="Arial" w:eastAsia="Calibri" w:hAnsi="Arial" w:cs="Arial"/>
          <w:bCs/>
          <w:lang w:val="es-ES"/>
        </w:rPr>
      </w:pPr>
    </w:p>
    <w:p w14:paraId="2D88CC46" w14:textId="3C4F52B7" w:rsidR="00B901F2" w:rsidRPr="002F2974" w:rsidRDefault="00B901F2" w:rsidP="002F2974">
      <w:pPr>
        <w:numPr>
          <w:ilvl w:val="0"/>
          <w:numId w:val="2"/>
        </w:numPr>
        <w:spacing w:after="0" w:line="360" w:lineRule="auto"/>
        <w:jc w:val="both"/>
        <w:rPr>
          <w:rFonts w:ascii="Arial" w:eastAsia="Calibri" w:hAnsi="Arial" w:cs="Arial"/>
          <w:bCs/>
        </w:rPr>
      </w:pPr>
      <w:r w:rsidRPr="002F2974">
        <w:rPr>
          <w:rFonts w:ascii="Arial" w:eastAsia="Calibri" w:hAnsi="Arial" w:cs="Arial"/>
          <w:bCs/>
        </w:rPr>
        <w:t xml:space="preserve">Cargo: </w:t>
      </w:r>
      <w:r w:rsidR="006D46E0" w:rsidRPr="002F2974">
        <w:rPr>
          <w:rFonts w:ascii="Arial" w:eastAsia="Calibri" w:hAnsi="Arial" w:cs="Arial"/>
          <w:bCs/>
        </w:rPr>
        <w:t xml:space="preserve">Directora (con licencia actualmente) de la Dirección de </w:t>
      </w:r>
      <w:r w:rsidR="00A90D47" w:rsidRPr="002F2974">
        <w:rPr>
          <w:rFonts w:ascii="Arial" w:eastAsia="Calibri" w:hAnsi="Arial" w:cs="Arial"/>
          <w:bCs/>
        </w:rPr>
        <w:t>pueblos</w:t>
      </w:r>
      <w:r w:rsidR="006D46E0" w:rsidRPr="002F2974">
        <w:rPr>
          <w:rFonts w:ascii="Arial" w:eastAsia="Calibri" w:hAnsi="Arial" w:cs="Arial"/>
          <w:bCs/>
        </w:rPr>
        <w:t xml:space="preserve"> indígenas en situación de </w:t>
      </w:r>
      <w:r w:rsidR="00A90D47" w:rsidRPr="002F2974">
        <w:rPr>
          <w:rFonts w:ascii="Arial" w:eastAsia="Calibri" w:hAnsi="Arial" w:cs="Arial"/>
          <w:bCs/>
        </w:rPr>
        <w:t>aislamiento</w:t>
      </w:r>
      <w:r w:rsidR="006D46E0" w:rsidRPr="002F2974">
        <w:rPr>
          <w:rFonts w:ascii="Arial" w:eastAsia="Calibri" w:hAnsi="Arial" w:cs="Arial"/>
          <w:bCs/>
        </w:rPr>
        <w:t xml:space="preserve"> y contacto inicial - DACI</w:t>
      </w:r>
    </w:p>
    <w:p w14:paraId="74116DDF" w14:textId="77777777" w:rsidR="00B901F2" w:rsidRPr="002F2974" w:rsidRDefault="00B901F2" w:rsidP="002F2974">
      <w:pPr>
        <w:spacing w:after="0" w:line="360" w:lineRule="auto"/>
        <w:jc w:val="both"/>
        <w:rPr>
          <w:rFonts w:ascii="Arial" w:eastAsia="Calibri" w:hAnsi="Arial" w:cs="Arial"/>
          <w:bCs/>
        </w:rPr>
      </w:pPr>
    </w:p>
    <w:p w14:paraId="5BB0F90C" w14:textId="44FBEE01" w:rsidR="00B901F2" w:rsidRPr="002F2974" w:rsidRDefault="00B901F2" w:rsidP="002F2974">
      <w:pPr>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 xml:space="preserve">Dirección particular: </w:t>
      </w:r>
      <w:r w:rsidR="00C04184" w:rsidRPr="002F2974">
        <w:rPr>
          <w:rFonts w:ascii="Arial" w:eastAsia="Calibri" w:hAnsi="Arial" w:cs="Arial"/>
          <w:bCs/>
          <w:lang w:val="es-ES"/>
        </w:rPr>
        <w:t>Calle Bellavista 325, dpto. 702. Miraflores.</w:t>
      </w:r>
    </w:p>
    <w:p w14:paraId="2F4F3713" w14:textId="77777777" w:rsidR="00B901F2" w:rsidRPr="002F2974" w:rsidRDefault="00B901F2" w:rsidP="002F2974">
      <w:pPr>
        <w:spacing w:after="0" w:line="360" w:lineRule="auto"/>
        <w:jc w:val="both"/>
        <w:rPr>
          <w:rFonts w:ascii="Arial" w:eastAsia="Calibri" w:hAnsi="Arial" w:cs="Arial"/>
          <w:bCs/>
          <w:lang w:val="es-ES"/>
        </w:rPr>
      </w:pPr>
    </w:p>
    <w:p w14:paraId="0D009518" w14:textId="0419E796" w:rsidR="00B901F2" w:rsidRPr="002F2974" w:rsidRDefault="00B901F2" w:rsidP="002F2974">
      <w:pPr>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 xml:space="preserve">Correo: </w:t>
      </w:r>
      <w:r w:rsidR="00C04184" w:rsidRPr="002F2974">
        <w:rPr>
          <w:rFonts w:ascii="Arial" w:eastAsia="Calibri" w:hAnsi="Arial" w:cs="Arial"/>
          <w:bCs/>
          <w:lang w:val="es-ES"/>
        </w:rPr>
        <w:t>mtrigosob@gmail.com</w:t>
      </w:r>
    </w:p>
    <w:p w14:paraId="6A646E3E" w14:textId="77777777" w:rsidR="00B901F2" w:rsidRPr="002F2974" w:rsidRDefault="00B901F2" w:rsidP="002F2974">
      <w:pPr>
        <w:spacing w:after="0" w:line="360" w:lineRule="auto"/>
        <w:jc w:val="both"/>
        <w:rPr>
          <w:rFonts w:ascii="Arial" w:eastAsia="Calibri" w:hAnsi="Arial" w:cs="Arial"/>
          <w:bCs/>
          <w:lang w:val="es-ES"/>
        </w:rPr>
      </w:pPr>
    </w:p>
    <w:p w14:paraId="29E62707" w14:textId="77777777" w:rsidR="00B901F2" w:rsidRPr="002F2974" w:rsidRDefault="00B901F2" w:rsidP="002F2974">
      <w:pPr>
        <w:numPr>
          <w:ilvl w:val="0"/>
          <w:numId w:val="2"/>
        </w:numPr>
        <w:spacing w:after="0" w:line="360" w:lineRule="auto"/>
        <w:jc w:val="both"/>
        <w:rPr>
          <w:rFonts w:ascii="Arial" w:eastAsia="Calibri" w:hAnsi="Arial" w:cs="Arial"/>
          <w:bCs/>
          <w:lang w:val="es-ES"/>
        </w:rPr>
      </w:pPr>
      <w:r w:rsidRPr="002F2974">
        <w:rPr>
          <w:rFonts w:ascii="Arial" w:eastAsia="Calibri" w:hAnsi="Arial" w:cs="Arial"/>
          <w:bCs/>
          <w:lang w:val="es-ES"/>
        </w:rPr>
        <w:t xml:space="preserve">Reseña profesional: </w:t>
      </w:r>
    </w:p>
    <w:p w14:paraId="3B47B9A5" w14:textId="7351347A" w:rsidR="00832F26" w:rsidRPr="002F2974" w:rsidRDefault="00832F26" w:rsidP="002F2974">
      <w:pPr>
        <w:pStyle w:val="Prrafodelista"/>
        <w:spacing w:after="0" w:line="360" w:lineRule="auto"/>
        <w:ind w:left="1134"/>
        <w:jc w:val="both"/>
        <w:rPr>
          <w:rFonts w:ascii="Arial" w:eastAsia="Calibri" w:hAnsi="Arial" w:cs="Arial"/>
          <w:bCs/>
          <w:lang w:val="es-ES"/>
        </w:rPr>
      </w:pPr>
      <w:r w:rsidRPr="002F2974">
        <w:rPr>
          <w:rFonts w:ascii="Arial" w:eastAsia="Calibri" w:hAnsi="Arial" w:cs="Arial"/>
          <w:bCs/>
          <w:lang w:val="es-ES"/>
        </w:rPr>
        <w:t xml:space="preserve">Antropóloga, con más de 20 años de experiencia en la gestión de políticas públicas </w:t>
      </w:r>
      <w:r w:rsidR="00C46C47" w:rsidRPr="002F2974">
        <w:rPr>
          <w:rFonts w:ascii="Arial" w:eastAsia="Calibri" w:hAnsi="Arial" w:cs="Arial"/>
          <w:bCs/>
          <w:lang w:val="es-ES"/>
        </w:rPr>
        <w:t xml:space="preserve">a favor de poblaciones rurales e indígenas </w:t>
      </w:r>
      <w:r w:rsidRPr="002F2974">
        <w:rPr>
          <w:rFonts w:ascii="Arial" w:eastAsia="Calibri" w:hAnsi="Arial" w:cs="Arial"/>
          <w:bCs/>
          <w:lang w:val="es-ES"/>
        </w:rPr>
        <w:t>y</w:t>
      </w:r>
      <w:r w:rsidR="00C46C47" w:rsidRPr="002F2974">
        <w:rPr>
          <w:rFonts w:ascii="Arial" w:eastAsia="Calibri" w:hAnsi="Arial" w:cs="Arial"/>
          <w:bCs/>
          <w:lang w:val="es-ES"/>
        </w:rPr>
        <w:t xml:space="preserve"> en formulación y gestión de proyectos vinculados a mujeres indígenas y medio ambiente</w:t>
      </w:r>
      <w:r w:rsidRPr="002F2974">
        <w:rPr>
          <w:rFonts w:ascii="Arial" w:eastAsia="Calibri" w:hAnsi="Arial" w:cs="Arial"/>
          <w:bCs/>
          <w:lang w:val="es-ES"/>
        </w:rPr>
        <w:t xml:space="preserve">. </w:t>
      </w:r>
      <w:r w:rsidRPr="002F2974">
        <w:rPr>
          <w:rFonts w:ascii="Arial" w:eastAsia="Calibri" w:hAnsi="Arial" w:cs="Arial"/>
          <w:bCs/>
        </w:rPr>
        <w:t>Graduada de la Pontificia Universidad Católica del Perú (PUCP), donde culminó sus estudio</w:t>
      </w:r>
      <w:r w:rsidR="00C46C47" w:rsidRPr="002F2974">
        <w:rPr>
          <w:rFonts w:ascii="Arial" w:eastAsia="Calibri" w:hAnsi="Arial" w:cs="Arial"/>
          <w:bCs/>
        </w:rPr>
        <w:t>s de la Maestría en Gerencia Soc</w:t>
      </w:r>
      <w:r w:rsidRPr="002F2974">
        <w:rPr>
          <w:rFonts w:ascii="Arial" w:eastAsia="Calibri" w:hAnsi="Arial" w:cs="Arial"/>
          <w:bCs/>
        </w:rPr>
        <w:t>ial (con tesis en desarrollo). Cuenta con un Diplomado en Gestión Pública</w:t>
      </w:r>
      <w:r w:rsidR="00C46C47" w:rsidRPr="002F2974">
        <w:rPr>
          <w:rFonts w:ascii="Arial" w:eastAsia="Calibri" w:hAnsi="Arial" w:cs="Arial"/>
          <w:bCs/>
        </w:rPr>
        <w:t xml:space="preserve"> y publicaciones</w:t>
      </w:r>
      <w:r w:rsidRPr="002F2974">
        <w:rPr>
          <w:rFonts w:ascii="Arial" w:eastAsia="Calibri" w:hAnsi="Arial" w:cs="Arial"/>
          <w:bCs/>
        </w:rPr>
        <w:t xml:space="preserve"> </w:t>
      </w:r>
      <w:r w:rsidR="00C46C47" w:rsidRPr="002F2974">
        <w:rPr>
          <w:rFonts w:ascii="Arial" w:eastAsia="Calibri" w:hAnsi="Arial" w:cs="Arial"/>
          <w:bCs/>
        </w:rPr>
        <w:t xml:space="preserve">en temas de desarrollo rural y género. </w:t>
      </w:r>
      <w:r w:rsidRPr="002F2974">
        <w:rPr>
          <w:rFonts w:ascii="Arial" w:eastAsia="Calibri" w:hAnsi="Arial" w:cs="Arial"/>
          <w:bCs/>
        </w:rPr>
        <w:t xml:space="preserve">Actualmente se desempeña como </w:t>
      </w:r>
      <w:r w:rsidR="00C46C47" w:rsidRPr="002F2974">
        <w:rPr>
          <w:rFonts w:ascii="Arial" w:eastAsia="Calibri" w:hAnsi="Arial" w:cs="Arial"/>
          <w:bCs/>
        </w:rPr>
        <w:t>directora (con licencia) de la Dirección de Pueblos Indígenas en situación de aislamiento y contacto inicial del Ministerio de Cultura.</w:t>
      </w:r>
    </w:p>
    <w:p w14:paraId="2A719354" w14:textId="77777777" w:rsidR="007239FA" w:rsidRPr="002F2974" w:rsidRDefault="007239FA" w:rsidP="002F2974">
      <w:pPr>
        <w:spacing w:after="0" w:line="360" w:lineRule="auto"/>
        <w:jc w:val="both"/>
        <w:rPr>
          <w:rFonts w:ascii="Arial" w:eastAsia="Calibri" w:hAnsi="Arial" w:cs="Arial"/>
          <w:bCs/>
          <w:lang w:val="es-ES"/>
        </w:rPr>
      </w:pPr>
    </w:p>
    <w:p w14:paraId="0FF13AAB" w14:textId="77777777" w:rsidR="007239FA" w:rsidRPr="002F2974" w:rsidRDefault="007239FA" w:rsidP="002F2974">
      <w:pPr>
        <w:spacing w:after="0" w:line="360" w:lineRule="auto"/>
        <w:jc w:val="both"/>
        <w:rPr>
          <w:rFonts w:ascii="Arial" w:eastAsia="Calibri" w:hAnsi="Arial" w:cs="Arial"/>
          <w:bCs/>
          <w:lang w:val="es-ES"/>
        </w:rPr>
      </w:pPr>
    </w:p>
    <w:p w14:paraId="7515FE94" w14:textId="77777777" w:rsidR="00410CA5" w:rsidRPr="002F2974" w:rsidRDefault="00410CA5" w:rsidP="002F2974">
      <w:pPr>
        <w:numPr>
          <w:ilvl w:val="0"/>
          <w:numId w:val="3"/>
        </w:numPr>
        <w:spacing w:after="0" w:line="360" w:lineRule="auto"/>
        <w:jc w:val="both"/>
        <w:rPr>
          <w:rFonts w:ascii="Arial" w:eastAsia="Calibri" w:hAnsi="Arial" w:cs="Arial"/>
          <w:b/>
          <w:bCs/>
          <w:lang w:val="es-ES"/>
        </w:rPr>
      </w:pPr>
      <w:r w:rsidRPr="002F2974">
        <w:rPr>
          <w:rFonts w:ascii="Arial" w:eastAsia="Calibri" w:hAnsi="Arial" w:cs="Arial"/>
          <w:b/>
          <w:bCs/>
          <w:u w:val="single"/>
          <w:lang w:val="es-ES"/>
        </w:rPr>
        <w:t>RESUMEN DE TRABAJO TÉCNICO</w:t>
      </w:r>
      <w:r w:rsidRPr="002F2974">
        <w:rPr>
          <w:rFonts w:ascii="Arial" w:eastAsia="Calibri" w:hAnsi="Arial" w:cs="Arial"/>
          <w:b/>
          <w:bCs/>
          <w:lang w:val="es-ES"/>
        </w:rPr>
        <w:t>:</w:t>
      </w:r>
    </w:p>
    <w:p w14:paraId="0BA4028C" w14:textId="77777777" w:rsidR="00A90D47" w:rsidRPr="002F2974" w:rsidRDefault="00A90D47" w:rsidP="002F2974">
      <w:pPr>
        <w:spacing w:after="0" w:line="360" w:lineRule="auto"/>
        <w:jc w:val="both"/>
        <w:rPr>
          <w:rFonts w:ascii="Arial" w:eastAsia="Calibri" w:hAnsi="Arial" w:cs="Arial"/>
          <w:lang w:val="es-ES"/>
        </w:rPr>
      </w:pPr>
    </w:p>
    <w:p w14:paraId="2CB18531" w14:textId="77777777" w:rsidR="00A90D47" w:rsidRPr="002F2974" w:rsidRDefault="00A90D47" w:rsidP="002F2974">
      <w:pPr>
        <w:spacing w:after="0" w:line="360" w:lineRule="auto"/>
        <w:jc w:val="both"/>
        <w:rPr>
          <w:rFonts w:ascii="Arial" w:eastAsia="Calibri" w:hAnsi="Arial" w:cs="Arial"/>
          <w:lang w:val="es-ES"/>
        </w:rPr>
      </w:pPr>
    </w:p>
    <w:p w14:paraId="518A684D" w14:textId="77777777" w:rsidR="00A90D47" w:rsidRPr="002F2974" w:rsidRDefault="00A90D47" w:rsidP="002F2974">
      <w:pPr>
        <w:spacing w:after="0" w:line="360" w:lineRule="auto"/>
        <w:jc w:val="both"/>
        <w:rPr>
          <w:rFonts w:ascii="Arial" w:eastAsia="Calibri" w:hAnsi="Arial" w:cs="Arial"/>
          <w:lang w:val="es-ES"/>
        </w:rPr>
      </w:pPr>
    </w:p>
    <w:p w14:paraId="23A3A22F" w14:textId="77777777" w:rsidR="00A90D47" w:rsidRPr="00A90D47" w:rsidRDefault="00A90D47" w:rsidP="002F2974">
      <w:pPr>
        <w:spacing w:after="0" w:line="360" w:lineRule="auto"/>
        <w:jc w:val="center"/>
        <w:rPr>
          <w:rFonts w:ascii="Arial" w:eastAsia="MS Mincho" w:hAnsi="Arial" w:cs="Arial"/>
          <w:b/>
          <w:bCs/>
        </w:rPr>
      </w:pPr>
      <w:r w:rsidRPr="00A90D47">
        <w:rPr>
          <w:rFonts w:ascii="Arial" w:eastAsia="MS Mincho" w:hAnsi="Arial" w:cs="Arial"/>
          <w:b/>
          <w:bCs/>
        </w:rPr>
        <w:lastRenderedPageBreak/>
        <w:t>LA BASE DE DATOS DE PUEBLOS INDÍGENAS COMO REQUISITO PARA LA CONSULTA PREVIA Y LA SEGURIDAD JURÍDICA EN MINERÍA</w:t>
      </w:r>
    </w:p>
    <w:p w14:paraId="5791A2E4" w14:textId="77777777" w:rsidR="00A90D47" w:rsidRPr="00A90D47" w:rsidRDefault="00A90D47" w:rsidP="002F2974">
      <w:pPr>
        <w:spacing w:after="0" w:line="360" w:lineRule="auto"/>
        <w:jc w:val="both"/>
        <w:rPr>
          <w:rFonts w:ascii="Arial" w:eastAsia="MS Mincho" w:hAnsi="Arial" w:cs="Arial"/>
          <w:i/>
          <w:iCs/>
        </w:rPr>
      </w:pPr>
    </w:p>
    <w:p w14:paraId="0922D90D" w14:textId="77777777" w:rsidR="00A90D47" w:rsidRPr="00A90D47" w:rsidRDefault="00A90D47" w:rsidP="002F2974">
      <w:pPr>
        <w:numPr>
          <w:ilvl w:val="0"/>
          <w:numId w:val="4"/>
        </w:numPr>
        <w:spacing w:after="0" w:line="360" w:lineRule="auto"/>
        <w:ind w:left="426" w:hanging="426"/>
        <w:contextualSpacing/>
        <w:jc w:val="both"/>
        <w:rPr>
          <w:rFonts w:ascii="Arial" w:eastAsia="MS Mincho" w:hAnsi="Arial" w:cs="Arial"/>
          <w:b/>
          <w:bCs/>
        </w:rPr>
      </w:pPr>
      <w:r w:rsidRPr="00A90D47">
        <w:rPr>
          <w:rFonts w:ascii="Arial" w:eastAsia="MS Mincho" w:hAnsi="Arial" w:cs="Arial"/>
          <w:b/>
          <w:bCs/>
        </w:rPr>
        <w:t xml:space="preserve">Contexto y delimitación del trabajo. </w:t>
      </w:r>
      <w:r w:rsidRPr="00A90D47">
        <w:rPr>
          <w:rFonts w:ascii="Arial" w:eastAsia="Aptos" w:hAnsi="Arial" w:cs="Arial"/>
          <w:kern w:val="2"/>
        </w:rPr>
        <w:t xml:space="preserve">El presente trabajo se inscribe en el ámbito del derecho minero y los estándares internacionales de derechos humanos y sostenibilidad aplicables a la inversión extractiva en el Perú. </w:t>
      </w:r>
    </w:p>
    <w:p w14:paraId="18ED817F" w14:textId="77777777" w:rsidR="00A90D47" w:rsidRPr="00A90D47" w:rsidRDefault="00A90D47" w:rsidP="002F2974">
      <w:pPr>
        <w:spacing w:after="0" w:line="360" w:lineRule="auto"/>
        <w:jc w:val="both"/>
        <w:rPr>
          <w:rFonts w:ascii="Arial" w:eastAsia="Aptos" w:hAnsi="Arial" w:cs="Arial"/>
          <w:kern w:val="2"/>
        </w:rPr>
      </w:pPr>
    </w:p>
    <w:p w14:paraId="6A8D9A55" w14:textId="57228C3F" w:rsidR="00A90D47" w:rsidRPr="00A90D47" w:rsidRDefault="00A90D47" w:rsidP="002F2974">
      <w:pPr>
        <w:spacing w:after="0" w:line="360" w:lineRule="auto"/>
        <w:ind w:left="426"/>
        <w:jc w:val="both"/>
        <w:rPr>
          <w:rFonts w:ascii="Arial" w:eastAsia="Aptos" w:hAnsi="Arial" w:cs="Arial"/>
          <w:kern w:val="2"/>
        </w:rPr>
      </w:pPr>
      <w:r w:rsidRPr="00A90D47">
        <w:rPr>
          <w:rFonts w:ascii="Arial" w:eastAsia="Aptos" w:hAnsi="Arial" w:cs="Arial"/>
          <w:kern w:val="2"/>
        </w:rPr>
        <w:t>Conforme al Convenio 169 de la OIT, ratificado por Perú mediante la Resolución Legislativa N.º 26253, y a la Ley N.º 29785 (Ley de Consulta Previa), el Estado tiene la obligación de identificar formalmente a los pueblos indígenas y originarios en su territorio, aplicando criterios técnicos y objetivos, como continuidad histórica, instituciones propias, conexión territorial y autoidentificación colectiva, así como proteger y salvaguardar sus derechos colectivos</w:t>
      </w:r>
      <w:r w:rsidR="00252321">
        <w:rPr>
          <w:rFonts w:ascii="Arial" w:eastAsia="Aptos" w:hAnsi="Arial" w:cs="Arial"/>
          <w:kern w:val="2"/>
        </w:rPr>
        <w:t>;</w:t>
      </w:r>
      <w:r w:rsidRPr="00A90D47">
        <w:rPr>
          <w:rFonts w:ascii="Arial" w:eastAsia="Aptos" w:hAnsi="Arial" w:cs="Arial"/>
          <w:kern w:val="2"/>
        </w:rPr>
        <w:t xml:space="preserve"> entre ellos</w:t>
      </w:r>
      <w:r w:rsidR="00252321">
        <w:rPr>
          <w:rFonts w:ascii="Arial" w:eastAsia="Aptos" w:hAnsi="Arial" w:cs="Arial"/>
          <w:kern w:val="2"/>
        </w:rPr>
        <w:t>,</w:t>
      </w:r>
      <w:r w:rsidRPr="00A90D47">
        <w:rPr>
          <w:rFonts w:ascii="Arial" w:eastAsia="Aptos" w:hAnsi="Arial" w:cs="Arial"/>
          <w:kern w:val="2"/>
        </w:rPr>
        <w:t xml:space="preserve"> el derecho a la consulta previa.</w:t>
      </w:r>
    </w:p>
    <w:p w14:paraId="5566ADBB" w14:textId="77777777" w:rsidR="00A90D47" w:rsidRPr="00A90D47" w:rsidRDefault="00A90D47" w:rsidP="002F2974">
      <w:pPr>
        <w:spacing w:after="0" w:line="360" w:lineRule="auto"/>
        <w:ind w:left="426"/>
        <w:jc w:val="both"/>
        <w:rPr>
          <w:rFonts w:ascii="Arial" w:eastAsia="Aptos" w:hAnsi="Arial" w:cs="Arial"/>
          <w:kern w:val="2"/>
        </w:rPr>
      </w:pPr>
    </w:p>
    <w:p w14:paraId="5F23CCA1" w14:textId="77777777" w:rsidR="00A90D47" w:rsidRPr="00A90D47" w:rsidRDefault="00A90D47" w:rsidP="002F2974">
      <w:pPr>
        <w:spacing w:after="0" w:line="360" w:lineRule="auto"/>
        <w:ind w:left="426"/>
        <w:jc w:val="both"/>
        <w:rPr>
          <w:rFonts w:ascii="Arial" w:eastAsia="Aptos" w:hAnsi="Arial" w:cs="Arial"/>
          <w:kern w:val="2"/>
        </w:rPr>
      </w:pPr>
      <w:r w:rsidRPr="00A90D47">
        <w:rPr>
          <w:rFonts w:ascii="Arial" w:eastAsia="Aptos" w:hAnsi="Arial" w:cs="Arial"/>
          <w:kern w:val="2"/>
        </w:rPr>
        <w:t xml:space="preserve">En este contexto, la Base de Datos de Pueblos Indígenas y Originarios (BDPI) fue creada mediante normativa nacional como una herramienta técnica para operacionalizar las obligaciones asumidas por el Estado en virtud del Convenio 169 de la OIT. </w:t>
      </w:r>
    </w:p>
    <w:p w14:paraId="7B6E1354" w14:textId="77777777" w:rsidR="00A90D47" w:rsidRPr="00A90D47" w:rsidRDefault="00A90D47" w:rsidP="002F2974">
      <w:pPr>
        <w:spacing w:after="0" w:line="360" w:lineRule="auto"/>
        <w:ind w:left="426"/>
        <w:jc w:val="both"/>
        <w:rPr>
          <w:rFonts w:ascii="Arial" w:eastAsia="Aptos" w:hAnsi="Arial" w:cs="Arial"/>
          <w:kern w:val="2"/>
        </w:rPr>
      </w:pPr>
    </w:p>
    <w:p w14:paraId="48E86B5C" w14:textId="30FE5936" w:rsidR="00A90D47" w:rsidRPr="00A90D47" w:rsidRDefault="00A90D47" w:rsidP="002F2974">
      <w:pPr>
        <w:spacing w:after="0" w:line="360" w:lineRule="auto"/>
        <w:ind w:left="426"/>
        <w:jc w:val="both"/>
        <w:rPr>
          <w:rFonts w:ascii="Arial" w:eastAsia="Aptos" w:hAnsi="Arial" w:cs="Arial"/>
          <w:kern w:val="2"/>
        </w:rPr>
      </w:pPr>
      <w:r w:rsidRPr="00A90D47">
        <w:rPr>
          <w:rFonts w:ascii="Arial" w:eastAsia="Aptos" w:hAnsi="Arial" w:cs="Arial"/>
          <w:kern w:val="2"/>
        </w:rPr>
        <w:t>A pesar del tiempo transcurrido desde su creación, persisten importantes vacíos y deficiencias técnicas en la cobertura, calidad y actualización de la BDPI. A 2021, de las 6,029 comunidades campesinas registradas por el INEI (2017)</w:t>
      </w:r>
      <w:r w:rsidRPr="00A90D47">
        <w:rPr>
          <w:rFonts w:ascii="Arial" w:eastAsia="Aptos" w:hAnsi="Arial" w:cs="Arial"/>
          <w:kern w:val="2"/>
          <w:vertAlign w:val="superscript"/>
        </w:rPr>
        <w:footnoteReference w:id="1"/>
      </w:r>
      <w:r w:rsidRPr="00A90D47">
        <w:rPr>
          <w:rFonts w:ascii="Arial" w:eastAsia="Aptos" w:hAnsi="Arial" w:cs="Arial"/>
          <w:kern w:val="2"/>
        </w:rPr>
        <w:t>, solo 505 contaban con informe técnico de identificación conforme al Convenio 169. Sin embargo, 4,390 comunidades fueron incorporadas a la BDPI sin dicho informe, utilizando criterios estadísticos preliminares (Ministerio de Cultura, 2021)</w:t>
      </w:r>
      <w:r w:rsidRPr="00A90D47">
        <w:rPr>
          <w:rFonts w:ascii="Arial" w:eastAsia="Aptos" w:hAnsi="Arial" w:cs="Arial"/>
          <w:kern w:val="2"/>
          <w:vertAlign w:val="superscript"/>
        </w:rPr>
        <w:footnoteReference w:id="2"/>
      </w:r>
      <w:r w:rsidRPr="00A90D47">
        <w:rPr>
          <w:rFonts w:ascii="Arial" w:eastAsia="Aptos" w:hAnsi="Arial" w:cs="Arial"/>
          <w:kern w:val="2"/>
        </w:rPr>
        <w:t xml:space="preserve">. </w:t>
      </w:r>
      <w:r w:rsidRPr="000E1C36">
        <w:rPr>
          <w:rFonts w:ascii="Arial" w:eastAsia="Aptos" w:hAnsi="Arial" w:cs="Arial"/>
          <w:kern w:val="2"/>
        </w:rPr>
        <w:t>En 2023, se mantenía la ausencia de información suficiente para incorporar a 1,053 comunidades adicionales, a pesar de la puesta en marcha de la "Estrategia de Identificación" en 2022, que logró avances limitados (Ministerio de Cultura, 2023)</w:t>
      </w:r>
      <w:r w:rsidRPr="000E1C36">
        <w:rPr>
          <w:rFonts w:ascii="Arial" w:eastAsia="Aptos" w:hAnsi="Arial" w:cs="Arial"/>
          <w:kern w:val="2"/>
          <w:vertAlign w:val="superscript"/>
        </w:rPr>
        <w:footnoteReference w:id="3"/>
      </w:r>
      <w:r w:rsidRPr="000E1C36">
        <w:rPr>
          <w:rFonts w:ascii="Arial" w:eastAsia="Aptos" w:hAnsi="Arial" w:cs="Arial"/>
          <w:kern w:val="2"/>
        </w:rPr>
        <w:t>. En 2024, el Ministerio de Cultura declinó entregar un nuevo análisis actualizado sobre la BDPI, alegando no estar obligado a realizar sistematizaciones adicionales</w:t>
      </w:r>
      <w:r w:rsidRPr="00A90D47">
        <w:rPr>
          <w:rFonts w:ascii="Arial" w:eastAsia="Aptos" w:hAnsi="Arial" w:cs="Arial"/>
          <w:kern w:val="2"/>
          <w:vertAlign w:val="superscript"/>
        </w:rPr>
        <w:footnoteReference w:id="4"/>
      </w:r>
      <w:r w:rsidRPr="00A90D47">
        <w:rPr>
          <w:rFonts w:ascii="Arial" w:eastAsia="Aptos" w:hAnsi="Arial" w:cs="Arial"/>
          <w:kern w:val="2"/>
        </w:rPr>
        <w:t xml:space="preserve">. </w:t>
      </w:r>
      <w:r w:rsidRPr="00A90D47">
        <w:rPr>
          <w:rFonts w:ascii="Arial" w:eastAsia="Aptos" w:hAnsi="Arial" w:cs="Arial"/>
          <w:kern w:val="2"/>
        </w:rPr>
        <w:lastRenderedPageBreak/>
        <w:t>En 2025, como parte del cierre de este estudio, se ha formulado una nueva solicitud de información pública, cuyos resultados se encuentran en trámite.</w:t>
      </w:r>
    </w:p>
    <w:p w14:paraId="176B8D5A" w14:textId="77777777" w:rsidR="00A90D47" w:rsidRPr="00A90D47" w:rsidRDefault="00A90D47" w:rsidP="002F2974">
      <w:pPr>
        <w:spacing w:after="0" w:line="360" w:lineRule="auto"/>
        <w:ind w:left="426"/>
        <w:jc w:val="both"/>
        <w:rPr>
          <w:rFonts w:ascii="Arial" w:eastAsia="Aptos" w:hAnsi="Arial" w:cs="Arial"/>
          <w:kern w:val="2"/>
        </w:rPr>
      </w:pPr>
    </w:p>
    <w:p w14:paraId="141A82E0" w14:textId="55042840" w:rsidR="00A90D47" w:rsidRPr="00A90D47" w:rsidRDefault="00A90D47" w:rsidP="002F2974">
      <w:pPr>
        <w:spacing w:after="0" w:line="360" w:lineRule="auto"/>
        <w:ind w:left="426"/>
        <w:jc w:val="both"/>
        <w:rPr>
          <w:rFonts w:ascii="Arial" w:eastAsia="Aptos" w:hAnsi="Arial" w:cs="Arial"/>
          <w:kern w:val="2"/>
        </w:rPr>
      </w:pPr>
      <w:r w:rsidRPr="00A90D47">
        <w:rPr>
          <w:rFonts w:ascii="Arial" w:eastAsia="Aptos" w:hAnsi="Arial" w:cs="Arial"/>
          <w:kern w:val="2"/>
        </w:rPr>
        <w:t>Respecto a la importancia de la Base de Datos de Pueblos Indígenas, las sentencias recientes del Poder Judicial y el Tribunal Constitucional han reforzado la exigencia de que el Estado cumpla con su obligación de identificación y consulta previa, al anular disposiciones que vulneraban este derecho</w:t>
      </w:r>
      <w:r w:rsidRPr="00A90D47">
        <w:rPr>
          <w:rFonts w:ascii="Arial" w:eastAsia="Aptos" w:hAnsi="Arial" w:cs="Arial"/>
          <w:kern w:val="2"/>
          <w:vertAlign w:val="superscript"/>
        </w:rPr>
        <w:footnoteReference w:id="5"/>
      </w:r>
      <w:r w:rsidRPr="00A90D47">
        <w:rPr>
          <w:rFonts w:ascii="Arial" w:eastAsia="Aptos" w:hAnsi="Arial" w:cs="Arial"/>
          <w:kern w:val="2"/>
        </w:rPr>
        <w:t xml:space="preserve">. Además, la Comisión de Expertos en Aplicación de Convenios y Recomendaciones (CEAR) de la OIT </w:t>
      </w:r>
      <w:r w:rsidR="002F2974" w:rsidRPr="002F2974">
        <w:rPr>
          <w:rFonts w:ascii="Arial" w:eastAsia="Aptos" w:hAnsi="Arial" w:cs="Arial"/>
          <w:kern w:val="2"/>
        </w:rPr>
        <w:t>solicitó</w:t>
      </w:r>
      <w:r w:rsidRPr="00A90D47">
        <w:rPr>
          <w:rFonts w:ascii="Arial" w:eastAsia="Aptos" w:hAnsi="Arial" w:cs="Arial"/>
          <w:kern w:val="2"/>
        </w:rPr>
        <w:t xml:space="preserve"> al Gobierno información sobre la actualización de la BDPI y sobre las dificultades para identificar adecuadamente a los pueblos indígenas u originarios (OIT, 2017)</w:t>
      </w:r>
      <w:r w:rsidRPr="00A90D47">
        <w:rPr>
          <w:rFonts w:ascii="Arial" w:eastAsia="Aptos" w:hAnsi="Arial" w:cs="Arial"/>
          <w:kern w:val="2"/>
          <w:vertAlign w:val="superscript"/>
        </w:rPr>
        <w:footnoteReference w:id="6"/>
      </w:r>
      <w:r w:rsidRPr="00A90D47">
        <w:rPr>
          <w:rFonts w:ascii="Arial" w:eastAsia="Aptos" w:hAnsi="Arial" w:cs="Arial"/>
          <w:kern w:val="2"/>
        </w:rPr>
        <w:t xml:space="preserve">. </w:t>
      </w:r>
    </w:p>
    <w:p w14:paraId="581B824C" w14:textId="77777777" w:rsidR="00A90D47" w:rsidRPr="00A90D47" w:rsidRDefault="00A90D47" w:rsidP="002F2974">
      <w:pPr>
        <w:spacing w:after="0" w:line="360" w:lineRule="auto"/>
        <w:ind w:left="426"/>
        <w:jc w:val="both"/>
        <w:rPr>
          <w:rFonts w:ascii="Arial" w:eastAsia="Aptos" w:hAnsi="Arial" w:cs="Arial"/>
          <w:kern w:val="2"/>
        </w:rPr>
      </w:pPr>
    </w:p>
    <w:p w14:paraId="32627CEB" w14:textId="77777777" w:rsidR="00A90D47" w:rsidRPr="00A90D47" w:rsidRDefault="00A90D47" w:rsidP="002F2974">
      <w:pPr>
        <w:spacing w:after="0" w:line="360" w:lineRule="auto"/>
        <w:ind w:left="426"/>
        <w:jc w:val="both"/>
        <w:rPr>
          <w:rFonts w:ascii="Arial" w:eastAsia="Aptos" w:hAnsi="Arial" w:cs="Arial"/>
          <w:kern w:val="2"/>
        </w:rPr>
      </w:pPr>
      <w:r w:rsidRPr="00A90D47">
        <w:rPr>
          <w:rFonts w:ascii="Arial" w:eastAsia="Aptos" w:hAnsi="Arial" w:cs="Arial"/>
          <w:kern w:val="2"/>
        </w:rPr>
        <w:t xml:space="preserve">La ausencia de una BDPI completa, actualizada y técnicamente validada compromete la aplicación efectiva del derecho a la consulta previa y la seguridad jurídica de las decisiones administrativas, incrementando los riesgos de conflictividad y judicialización de proyectos mineros. </w:t>
      </w:r>
    </w:p>
    <w:p w14:paraId="075F1F03" w14:textId="77777777" w:rsidR="00A90D47" w:rsidRPr="00A90D47" w:rsidRDefault="00A90D47" w:rsidP="002F2974">
      <w:pPr>
        <w:spacing w:after="0" w:line="360" w:lineRule="auto"/>
        <w:jc w:val="both"/>
        <w:rPr>
          <w:rFonts w:ascii="Arial" w:eastAsia="Aptos" w:hAnsi="Arial" w:cs="Arial"/>
          <w:kern w:val="2"/>
        </w:rPr>
      </w:pPr>
    </w:p>
    <w:p w14:paraId="67356F2F" w14:textId="77777777" w:rsidR="00A90D47" w:rsidRPr="00A90D47" w:rsidRDefault="00A90D47" w:rsidP="002F2974">
      <w:pPr>
        <w:numPr>
          <w:ilvl w:val="0"/>
          <w:numId w:val="4"/>
        </w:numPr>
        <w:spacing w:after="0" w:line="360" w:lineRule="auto"/>
        <w:ind w:left="426" w:hanging="426"/>
        <w:contextualSpacing/>
        <w:jc w:val="both"/>
        <w:rPr>
          <w:rFonts w:ascii="Arial" w:eastAsia="MS Mincho" w:hAnsi="Arial" w:cs="Arial"/>
          <w:b/>
          <w:bCs/>
        </w:rPr>
      </w:pPr>
      <w:r w:rsidRPr="00A90D47">
        <w:rPr>
          <w:rFonts w:ascii="Arial" w:eastAsia="MS Mincho" w:hAnsi="Arial" w:cs="Arial"/>
          <w:b/>
          <w:bCs/>
        </w:rPr>
        <w:t xml:space="preserve">Objeto del trabajo. </w:t>
      </w:r>
      <w:r w:rsidRPr="00A90D47">
        <w:rPr>
          <w:rFonts w:ascii="Arial" w:eastAsia="MS Mincho" w:hAnsi="Arial" w:cs="Arial"/>
        </w:rPr>
        <w:t xml:space="preserve">Evidenciar cómo la falta de identificación técnica de los pueblos indígenas y originarios limita la capacidad del Estado para cumplir adecuadamente su obligación de salvaguardar los derechos colectivos de estos pueblos (por ejemplo, implementar la consulta previa), exponiendo los proyectos mineros a escenarios de judicialización, conflictividad o eventual paralización, lo que genera impactos negativos directos en la seguridad jurídica de las inversiones y la gobernabilidad en territorios con presencia de pueblos indígenas u originarios. </w:t>
      </w:r>
    </w:p>
    <w:p w14:paraId="07F747A7" w14:textId="77777777" w:rsidR="00A90D47" w:rsidRPr="00A90D47" w:rsidRDefault="00A90D47" w:rsidP="002F2974">
      <w:pPr>
        <w:spacing w:after="0" w:line="360" w:lineRule="auto"/>
        <w:contextualSpacing/>
        <w:jc w:val="both"/>
        <w:rPr>
          <w:rFonts w:ascii="Arial" w:eastAsia="MS Mincho" w:hAnsi="Arial" w:cs="Arial"/>
          <w:b/>
          <w:bCs/>
        </w:rPr>
      </w:pPr>
    </w:p>
    <w:p w14:paraId="34848286" w14:textId="6A28F62B" w:rsidR="00A90D47" w:rsidRPr="00A90D47" w:rsidRDefault="00A90D47" w:rsidP="002F2974">
      <w:pPr>
        <w:numPr>
          <w:ilvl w:val="0"/>
          <w:numId w:val="4"/>
        </w:numPr>
        <w:spacing w:after="0" w:line="360" w:lineRule="auto"/>
        <w:ind w:left="426" w:hanging="426"/>
        <w:contextualSpacing/>
        <w:jc w:val="both"/>
        <w:rPr>
          <w:rFonts w:ascii="Arial" w:eastAsia="MS Mincho" w:hAnsi="Arial" w:cs="Arial"/>
          <w:b/>
          <w:bCs/>
        </w:rPr>
      </w:pPr>
      <w:r w:rsidRPr="00A90D47">
        <w:rPr>
          <w:rFonts w:ascii="Arial" w:eastAsia="MS Mincho" w:hAnsi="Arial" w:cs="Arial"/>
          <w:b/>
          <w:bCs/>
        </w:rPr>
        <w:t xml:space="preserve">Metodología. </w:t>
      </w:r>
      <w:r w:rsidRPr="00A90D47">
        <w:rPr>
          <w:rFonts w:ascii="Arial" w:eastAsia="MS Mincho" w:hAnsi="Arial" w:cs="Arial"/>
        </w:rPr>
        <w:t xml:space="preserve">El enfoque del trabajo es cualitativo. Se revisaron normas internacionales y nacionales vinculadas a la consulta previa, informes oficiales del Ministerio de Cultura (obtenidos mediante </w:t>
      </w:r>
      <w:r w:rsidR="00A2290F" w:rsidRPr="002F2974">
        <w:rPr>
          <w:rFonts w:ascii="Arial" w:eastAsia="MS Mincho" w:hAnsi="Arial" w:cs="Arial"/>
        </w:rPr>
        <w:t xml:space="preserve">solicitudes de </w:t>
      </w:r>
      <w:r w:rsidRPr="00A90D47">
        <w:rPr>
          <w:rFonts w:ascii="Arial" w:eastAsia="MS Mincho" w:hAnsi="Arial" w:cs="Arial"/>
        </w:rPr>
        <w:t>acceso a la información pública</w:t>
      </w:r>
      <w:r w:rsidR="00A2290F" w:rsidRPr="002F2974">
        <w:rPr>
          <w:rFonts w:ascii="Arial" w:eastAsia="MS Mincho" w:hAnsi="Arial" w:cs="Arial"/>
        </w:rPr>
        <w:t xml:space="preserve">, realizadas desde </w:t>
      </w:r>
      <w:r w:rsidRPr="002F2974">
        <w:rPr>
          <w:rFonts w:ascii="Arial" w:eastAsia="MS Mincho" w:hAnsi="Arial" w:cs="Arial"/>
        </w:rPr>
        <w:t>2021</w:t>
      </w:r>
      <w:r w:rsidRPr="00A90D47">
        <w:rPr>
          <w:rFonts w:ascii="Arial" w:eastAsia="MS Mincho" w:hAnsi="Arial" w:cs="Arial"/>
        </w:rPr>
        <w:t xml:space="preserve">), documentos del Sistema Interamericano de Derechos Humanos (SIDH), la OIT y otros organismos especializados. En la última </w:t>
      </w:r>
      <w:r w:rsidRPr="00A90D47">
        <w:rPr>
          <w:rFonts w:ascii="Arial" w:eastAsia="MS Mincho" w:hAnsi="Arial" w:cs="Arial"/>
        </w:rPr>
        <w:lastRenderedPageBreak/>
        <w:t>fase del estudio, se tiene previsto realizar entrevistas semiestructuradas a funcionarios de los ministerios de Cultura y de Energía y Minas, con el objeto de contrastar la información documental obtenida.</w:t>
      </w:r>
    </w:p>
    <w:p w14:paraId="5A9012A3" w14:textId="77777777" w:rsidR="00A90D47" w:rsidRPr="00A90D47" w:rsidRDefault="00A90D47" w:rsidP="002F2974">
      <w:pPr>
        <w:spacing w:after="0" w:line="360" w:lineRule="auto"/>
        <w:jc w:val="both"/>
        <w:rPr>
          <w:rFonts w:ascii="Arial" w:eastAsia="MS Mincho" w:hAnsi="Arial" w:cs="Arial"/>
        </w:rPr>
      </w:pPr>
    </w:p>
    <w:p w14:paraId="6427EDC0" w14:textId="6838A17E" w:rsidR="00A90D47" w:rsidRPr="00A90D47" w:rsidRDefault="00A90D47" w:rsidP="002F2974">
      <w:pPr>
        <w:numPr>
          <w:ilvl w:val="0"/>
          <w:numId w:val="4"/>
        </w:numPr>
        <w:spacing w:after="0" w:line="360" w:lineRule="auto"/>
        <w:ind w:left="426" w:hanging="426"/>
        <w:jc w:val="both"/>
        <w:rPr>
          <w:rFonts w:ascii="Arial" w:eastAsia="MS Mincho" w:hAnsi="Arial" w:cs="Arial"/>
          <w:b/>
          <w:bCs/>
        </w:rPr>
      </w:pPr>
      <w:r w:rsidRPr="00A90D47">
        <w:rPr>
          <w:rFonts w:ascii="Arial" w:eastAsia="MS Mincho" w:hAnsi="Arial" w:cs="Arial"/>
          <w:b/>
          <w:bCs/>
        </w:rPr>
        <w:t xml:space="preserve">Resultados alcanzados. </w:t>
      </w:r>
      <w:r w:rsidRPr="00A90D47">
        <w:rPr>
          <w:rFonts w:ascii="Arial" w:eastAsia="MS Mincho" w:hAnsi="Arial" w:cs="Arial"/>
        </w:rPr>
        <w:t xml:space="preserve">Los resultados alcanzados permiten identificar una tendencia sostenida de cumplimiento parcial de la obligación estatal de identificación técnica de pueblos indígenas y originarios. Lo anterior confirma la tesis de que la BDPI, en su estado actual, presenta una cobertura insuficiente y no cumple adecuadamente la función habilitante esencial para la aplicación efectiva del derecho a la consulta previa. </w:t>
      </w:r>
    </w:p>
    <w:p w14:paraId="6AD8C639" w14:textId="033DB600" w:rsidR="00A90D47" w:rsidRPr="00A90D47" w:rsidRDefault="00A90D47" w:rsidP="002F2974">
      <w:pPr>
        <w:spacing w:after="0" w:line="360" w:lineRule="auto"/>
        <w:ind w:left="426"/>
        <w:jc w:val="both"/>
        <w:rPr>
          <w:rFonts w:ascii="Arial" w:eastAsia="MS Mincho" w:hAnsi="Arial" w:cs="Arial"/>
        </w:rPr>
      </w:pPr>
      <w:r w:rsidRPr="000E1C36">
        <w:rPr>
          <w:rFonts w:ascii="Arial" w:eastAsia="MS Mincho" w:hAnsi="Arial" w:cs="Arial"/>
        </w:rPr>
        <w:t xml:space="preserve">Esta situación incrementa la inseguridad jurídica de las decisiones administrativas, </w:t>
      </w:r>
      <w:r w:rsidR="00600ADE" w:rsidRPr="000E1C36">
        <w:rPr>
          <w:rFonts w:ascii="Arial" w:eastAsia="MS Mincho" w:hAnsi="Arial" w:cs="Arial"/>
        </w:rPr>
        <w:t>pone en riesgo el ejercicio del derecho colectivo a la consulta de pueblos indígenas,</w:t>
      </w:r>
      <w:r w:rsidRPr="000E1C36">
        <w:rPr>
          <w:rFonts w:ascii="Arial" w:eastAsia="MS Mincho" w:hAnsi="Arial" w:cs="Arial"/>
        </w:rPr>
        <w:t xml:space="preserve"> eleva los riesgos de judicialización, conflictividad social y paralización de proyectos mineros, y se configura como un factor crítico para la gobernabilidad en territorios indígenas.</w:t>
      </w:r>
    </w:p>
    <w:p w14:paraId="193972FE" w14:textId="77777777" w:rsidR="00A90D47" w:rsidRPr="00A90D47" w:rsidRDefault="00A90D47" w:rsidP="002F2974">
      <w:pPr>
        <w:spacing w:after="0" w:line="360" w:lineRule="auto"/>
        <w:jc w:val="both"/>
        <w:rPr>
          <w:rFonts w:ascii="Arial" w:eastAsia="MS Mincho" w:hAnsi="Arial" w:cs="Arial"/>
        </w:rPr>
      </w:pPr>
    </w:p>
    <w:p w14:paraId="4BFD3E88" w14:textId="77777777" w:rsidR="00A90D47" w:rsidRPr="00A90D47" w:rsidRDefault="00A90D47" w:rsidP="002F2974">
      <w:pPr>
        <w:numPr>
          <w:ilvl w:val="0"/>
          <w:numId w:val="4"/>
        </w:numPr>
        <w:spacing w:after="0" w:line="360" w:lineRule="auto"/>
        <w:ind w:left="426" w:hanging="426"/>
        <w:contextualSpacing/>
        <w:jc w:val="both"/>
        <w:rPr>
          <w:rFonts w:ascii="Arial" w:eastAsia="MS Mincho" w:hAnsi="Arial" w:cs="Arial"/>
        </w:rPr>
      </w:pPr>
      <w:r w:rsidRPr="00A90D47">
        <w:rPr>
          <w:rFonts w:ascii="Arial" w:eastAsia="MS Mincho" w:hAnsi="Arial" w:cs="Arial"/>
          <w:b/>
          <w:bCs/>
        </w:rPr>
        <w:t xml:space="preserve">Conclusiones y recomendaciones. </w:t>
      </w:r>
      <w:r w:rsidRPr="00A90D47">
        <w:rPr>
          <w:rFonts w:ascii="Arial" w:eastAsia="MS Mincho" w:hAnsi="Arial" w:cs="Arial"/>
        </w:rPr>
        <w:t>Las más resaltantes son:</w:t>
      </w:r>
    </w:p>
    <w:p w14:paraId="4D54D374" w14:textId="77777777" w:rsidR="00A90D47" w:rsidRPr="00A90D47" w:rsidRDefault="00A90D47" w:rsidP="002F2974">
      <w:pPr>
        <w:spacing w:after="0" w:line="360" w:lineRule="auto"/>
        <w:ind w:left="426" w:hanging="142"/>
        <w:jc w:val="both"/>
        <w:rPr>
          <w:rFonts w:ascii="Arial" w:eastAsia="Aptos" w:hAnsi="Arial" w:cs="Arial"/>
          <w:kern w:val="2"/>
        </w:rPr>
      </w:pPr>
      <w:r w:rsidRPr="00A90D47">
        <w:rPr>
          <w:rFonts w:ascii="Arial" w:eastAsia="Aptos" w:hAnsi="Arial" w:cs="Arial"/>
          <w:kern w:val="2"/>
        </w:rPr>
        <w:t>•</w:t>
      </w:r>
      <w:r w:rsidRPr="00A90D47">
        <w:rPr>
          <w:rFonts w:ascii="Arial" w:eastAsia="Aptos" w:hAnsi="Arial" w:cs="Arial"/>
          <w:kern w:val="2"/>
        </w:rPr>
        <w:tab/>
      </w:r>
      <w:r w:rsidRPr="00A90D47">
        <w:rPr>
          <w:rFonts w:ascii="Arial" w:eastAsia="Aptos" w:hAnsi="Arial" w:cs="Arial"/>
          <w:kern w:val="2"/>
          <w:u w:val="single"/>
        </w:rPr>
        <w:t>Fortalecimiento técnico de la BDPI</w:t>
      </w:r>
      <w:r w:rsidRPr="00A90D47">
        <w:rPr>
          <w:rFonts w:ascii="Arial" w:eastAsia="Aptos" w:hAnsi="Arial" w:cs="Arial"/>
          <w:kern w:val="2"/>
        </w:rPr>
        <w:t xml:space="preserve">. Una BDPI técnicamente fortalecida, que cumpla con los informes técnicos de identificación, es esencial para garantizar el cumplimiento de las obligaciones internacionales asumidas por el Estado en materia de derechos de los pueblos indígenas u originarios. El procedimiento previsto para ser incorporado en la BDPI debe cumplirse plenamente.  </w:t>
      </w:r>
    </w:p>
    <w:p w14:paraId="4A40E022" w14:textId="28B144CF" w:rsidR="00A90D47" w:rsidRPr="00A90D47" w:rsidRDefault="00A90D47" w:rsidP="002F2974">
      <w:pPr>
        <w:spacing w:after="0" w:line="360" w:lineRule="auto"/>
        <w:ind w:left="426" w:hanging="142"/>
        <w:jc w:val="both"/>
        <w:rPr>
          <w:rFonts w:ascii="Arial" w:eastAsia="Aptos" w:hAnsi="Arial" w:cs="Arial"/>
          <w:kern w:val="2"/>
        </w:rPr>
      </w:pPr>
      <w:r w:rsidRPr="00A90D47">
        <w:rPr>
          <w:rFonts w:ascii="Arial" w:eastAsia="Aptos" w:hAnsi="Arial" w:cs="Arial"/>
          <w:kern w:val="2"/>
        </w:rPr>
        <w:t>•</w:t>
      </w:r>
      <w:r w:rsidRPr="00A90D47">
        <w:rPr>
          <w:rFonts w:ascii="Arial" w:eastAsia="Aptos" w:hAnsi="Arial" w:cs="Arial"/>
          <w:kern w:val="2"/>
        </w:rPr>
        <w:tab/>
      </w:r>
      <w:r w:rsidRPr="00A90D47">
        <w:rPr>
          <w:rFonts w:ascii="Arial" w:eastAsia="Aptos" w:hAnsi="Arial" w:cs="Arial"/>
          <w:kern w:val="2"/>
          <w:u w:val="single"/>
        </w:rPr>
        <w:t>Valor estratégico de una BDPI</w:t>
      </w:r>
      <w:r w:rsidRPr="00A90D47">
        <w:rPr>
          <w:rFonts w:ascii="Arial" w:eastAsia="Aptos" w:hAnsi="Arial" w:cs="Arial"/>
          <w:kern w:val="2"/>
        </w:rPr>
        <w:t xml:space="preserve">. Una BDPI </w:t>
      </w:r>
      <w:r w:rsidR="00600ADE">
        <w:rPr>
          <w:rFonts w:ascii="Arial" w:eastAsia="Aptos" w:hAnsi="Arial" w:cs="Arial"/>
          <w:kern w:val="2"/>
        </w:rPr>
        <w:t>sólida</w:t>
      </w:r>
      <w:r w:rsidRPr="00A90D47">
        <w:rPr>
          <w:rFonts w:ascii="Arial" w:eastAsia="Aptos" w:hAnsi="Arial" w:cs="Arial"/>
          <w:kern w:val="2"/>
        </w:rPr>
        <w:t xml:space="preserve"> no solo facilita la identificación oportuna de los pueblos indígenas u originarios, sino que también elimina controversias y verificaciones adicionales, reduciendo demoras en la ejecución de proyectos mineros. En consecuencia, contribuye a optimizar la gestión pública, mejorar la predictibilidad de la inversión, fortalecer la legitimidad social y la gobernabilidad de los procesos de toma de decisiones estatales.</w:t>
      </w:r>
    </w:p>
    <w:p w14:paraId="35E34DC5" w14:textId="5022756A" w:rsidR="00A90D47" w:rsidRPr="00A90D47" w:rsidRDefault="00A90D47" w:rsidP="002F2974">
      <w:pPr>
        <w:spacing w:after="0" w:line="360" w:lineRule="auto"/>
        <w:ind w:left="426" w:hanging="142"/>
        <w:jc w:val="both"/>
        <w:rPr>
          <w:rFonts w:ascii="Arial" w:eastAsia="Aptos" w:hAnsi="Arial" w:cs="Arial"/>
          <w:kern w:val="2"/>
        </w:rPr>
      </w:pPr>
      <w:r w:rsidRPr="00A90D47">
        <w:rPr>
          <w:rFonts w:ascii="Arial" w:eastAsia="Aptos" w:hAnsi="Arial" w:cs="Arial"/>
          <w:kern w:val="2"/>
        </w:rPr>
        <w:t>•</w:t>
      </w:r>
      <w:r w:rsidRPr="00A90D47">
        <w:rPr>
          <w:rFonts w:ascii="Arial" w:eastAsia="Aptos" w:hAnsi="Arial" w:cs="Arial"/>
          <w:kern w:val="2"/>
        </w:rPr>
        <w:tab/>
      </w:r>
      <w:r w:rsidRPr="00A90D47">
        <w:rPr>
          <w:rFonts w:ascii="Arial" w:eastAsia="Aptos" w:hAnsi="Arial" w:cs="Arial"/>
          <w:kern w:val="2"/>
          <w:u w:val="single"/>
        </w:rPr>
        <w:t>La B</w:t>
      </w:r>
      <w:r w:rsidR="00A2290F" w:rsidRPr="002F2974">
        <w:rPr>
          <w:rFonts w:ascii="Arial" w:eastAsia="Aptos" w:hAnsi="Arial" w:cs="Arial"/>
          <w:kern w:val="2"/>
          <w:u w:val="single"/>
        </w:rPr>
        <w:t>DP</w:t>
      </w:r>
      <w:r w:rsidRPr="00A90D47">
        <w:rPr>
          <w:rFonts w:ascii="Arial" w:eastAsia="Aptos" w:hAnsi="Arial" w:cs="Arial"/>
          <w:kern w:val="2"/>
          <w:u w:val="single"/>
        </w:rPr>
        <w:t>I como herramienta indispensable en procesos de Consulta Previa</w:t>
      </w:r>
      <w:r w:rsidRPr="00A90D47">
        <w:rPr>
          <w:rFonts w:ascii="Arial" w:eastAsia="Aptos" w:hAnsi="Arial" w:cs="Arial"/>
          <w:kern w:val="2"/>
        </w:rPr>
        <w:t>. La información fiable y oportuna sobre pueblos indígenas u originarios disminuye la incertidumbre en los procesos de consulta previa, facilitando su implementación como un mecanismo preventivo de conflictos.</w:t>
      </w:r>
    </w:p>
    <w:p w14:paraId="1BD584B0" w14:textId="69502396" w:rsidR="000E1C36" w:rsidRPr="002F2974" w:rsidRDefault="00A90D47" w:rsidP="000E1C36">
      <w:pPr>
        <w:spacing w:after="0" w:line="360" w:lineRule="auto"/>
        <w:ind w:left="426" w:hanging="142"/>
        <w:jc w:val="both"/>
        <w:rPr>
          <w:rFonts w:ascii="Arial" w:eastAsia="Aptos" w:hAnsi="Arial" w:cs="Arial"/>
          <w:kern w:val="2"/>
        </w:rPr>
      </w:pPr>
      <w:r w:rsidRPr="00A90D47">
        <w:rPr>
          <w:rFonts w:ascii="Arial" w:eastAsia="Aptos" w:hAnsi="Arial" w:cs="Arial"/>
          <w:kern w:val="2"/>
        </w:rPr>
        <w:t>•</w:t>
      </w:r>
      <w:r w:rsidRPr="00A90D47">
        <w:rPr>
          <w:rFonts w:ascii="Arial" w:eastAsia="Aptos" w:hAnsi="Arial" w:cs="Arial"/>
          <w:kern w:val="2"/>
        </w:rPr>
        <w:tab/>
      </w:r>
      <w:r w:rsidRPr="00A90D47">
        <w:rPr>
          <w:rFonts w:ascii="Arial" w:eastAsia="Aptos" w:hAnsi="Arial" w:cs="Arial"/>
          <w:kern w:val="2"/>
          <w:u w:val="single"/>
        </w:rPr>
        <w:t>La solidez de la BDPI resulta clave para toda industria extractiva</w:t>
      </w:r>
      <w:r w:rsidRPr="00A90D47">
        <w:rPr>
          <w:rFonts w:ascii="Arial" w:eastAsia="Aptos" w:hAnsi="Arial" w:cs="Arial"/>
          <w:kern w:val="2"/>
        </w:rPr>
        <w:t>. Su mejora sustantiva debe ser una prioridad no solo para el subsector minero, sino también para todas las entidades públicas que promueven actividades extractivas, dada su condición habilitante para la seguridad jurídica de los proyectos.</w:t>
      </w:r>
    </w:p>
    <w:p w14:paraId="6118FA9C" w14:textId="2E013175" w:rsidR="00A90D47" w:rsidRPr="002F2974" w:rsidRDefault="00A90D47" w:rsidP="002F2974">
      <w:pPr>
        <w:spacing w:after="0" w:line="360" w:lineRule="auto"/>
        <w:jc w:val="both"/>
        <w:rPr>
          <w:rFonts w:ascii="Arial" w:eastAsia="Calibri" w:hAnsi="Arial" w:cs="Arial"/>
          <w:b/>
          <w:bCs/>
        </w:rPr>
      </w:pPr>
      <w:r w:rsidRPr="002F2974">
        <w:rPr>
          <w:rFonts w:ascii="Arial" w:eastAsia="Calibri" w:hAnsi="Arial" w:cs="Arial"/>
          <w:b/>
          <w:bCs/>
        </w:rPr>
        <w:t xml:space="preserve">                                              ---------------------------------------</w:t>
      </w:r>
    </w:p>
    <w:sectPr w:rsidR="00A90D47" w:rsidRPr="002F2974">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571D0" w14:textId="77777777" w:rsidR="009F557E" w:rsidRDefault="009F557E" w:rsidP="000E3784">
      <w:pPr>
        <w:spacing w:after="0" w:line="240" w:lineRule="auto"/>
      </w:pPr>
      <w:r>
        <w:separator/>
      </w:r>
    </w:p>
  </w:endnote>
  <w:endnote w:type="continuationSeparator" w:id="0">
    <w:p w14:paraId="75B5C80A" w14:textId="77777777" w:rsidR="009F557E" w:rsidRDefault="009F557E" w:rsidP="000E3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920279"/>
      <w:docPartObj>
        <w:docPartGallery w:val="Page Numbers (Bottom of Page)"/>
        <w:docPartUnique/>
      </w:docPartObj>
    </w:sdtPr>
    <w:sdtContent>
      <w:p w14:paraId="5AA5DE2B" w14:textId="75EBFDA7" w:rsidR="006D46E0" w:rsidRDefault="006D46E0">
        <w:pPr>
          <w:pStyle w:val="Piedepgina"/>
          <w:jc w:val="right"/>
        </w:pPr>
        <w:r>
          <w:fldChar w:fldCharType="begin"/>
        </w:r>
        <w:r>
          <w:instrText>PAGE   \* MERGEFORMAT</w:instrText>
        </w:r>
        <w:r>
          <w:fldChar w:fldCharType="separate"/>
        </w:r>
        <w:r w:rsidR="00600ADE" w:rsidRPr="00600ADE">
          <w:rPr>
            <w:noProof/>
            <w:lang w:val="es-ES"/>
          </w:rPr>
          <w:t>4</w:t>
        </w:r>
        <w:r>
          <w:fldChar w:fldCharType="end"/>
        </w:r>
      </w:p>
    </w:sdtContent>
  </w:sdt>
  <w:p w14:paraId="7CC49F52" w14:textId="77777777" w:rsidR="006D46E0" w:rsidRDefault="006D46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1D9DD" w14:textId="77777777" w:rsidR="009F557E" w:rsidRDefault="009F557E" w:rsidP="000E3784">
      <w:pPr>
        <w:spacing w:after="0" w:line="240" w:lineRule="auto"/>
      </w:pPr>
      <w:r>
        <w:separator/>
      </w:r>
    </w:p>
  </w:footnote>
  <w:footnote w:type="continuationSeparator" w:id="0">
    <w:p w14:paraId="2852DC31" w14:textId="77777777" w:rsidR="009F557E" w:rsidRDefault="009F557E" w:rsidP="000E3784">
      <w:pPr>
        <w:spacing w:after="0" w:line="240" w:lineRule="auto"/>
      </w:pPr>
      <w:r>
        <w:continuationSeparator/>
      </w:r>
    </w:p>
  </w:footnote>
  <w:footnote w:id="1">
    <w:p w14:paraId="5652DACC" w14:textId="77777777" w:rsidR="00A90D47" w:rsidRPr="00A90D47" w:rsidRDefault="00A90D47" w:rsidP="00A90D47">
      <w:pPr>
        <w:pStyle w:val="Textonotapie"/>
        <w:ind w:left="142" w:hanging="142"/>
        <w:jc w:val="both"/>
        <w:rPr>
          <w:rFonts w:ascii="Arial" w:hAnsi="Arial" w:cs="Arial"/>
          <w:sz w:val="16"/>
          <w:szCs w:val="16"/>
          <w:lang w:val="pt-PT"/>
        </w:rPr>
      </w:pPr>
      <w:r w:rsidRPr="00BA5276">
        <w:rPr>
          <w:rStyle w:val="Refdenotaalpie"/>
          <w:rFonts w:ascii="Arial" w:hAnsi="Arial" w:cs="Arial"/>
          <w:sz w:val="16"/>
          <w:szCs w:val="16"/>
        </w:rPr>
        <w:footnoteRef/>
      </w:r>
      <w:r w:rsidRPr="00BA5276">
        <w:rPr>
          <w:rFonts w:ascii="Arial" w:hAnsi="Arial" w:cs="Arial"/>
          <w:sz w:val="16"/>
          <w:szCs w:val="16"/>
          <w:lang w:val="pt-PT"/>
        </w:rPr>
        <w:t xml:space="preserve"> Instituto Nacional de Estadística e Informática (INEI). </w:t>
      </w:r>
      <w:r w:rsidRPr="00A90D47">
        <w:rPr>
          <w:rFonts w:ascii="Arial" w:hAnsi="Arial" w:cs="Arial"/>
          <w:sz w:val="16"/>
          <w:szCs w:val="16"/>
          <w:lang w:val="pt-PT"/>
        </w:rPr>
        <w:t>(2017). Censo Nacional de Comunidades Campesinas 2017. INEI.</w:t>
      </w:r>
    </w:p>
  </w:footnote>
  <w:footnote w:id="2">
    <w:p w14:paraId="43A0A2BE" w14:textId="77777777" w:rsidR="00A90D47" w:rsidRPr="00BA5276" w:rsidRDefault="00A90D47" w:rsidP="00A90D47">
      <w:pPr>
        <w:pStyle w:val="Prrafodelista"/>
        <w:spacing w:after="0" w:line="240" w:lineRule="auto"/>
        <w:ind w:left="142" w:hanging="142"/>
        <w:jc w:val="both"/>
        <w:rPr>
          <w:rFonts w:ascii="Arial" w:hAnsi="Arial" w:cs="Arial"/>
          <w:sz w:val="16"/>
          <w:szCs w:val="16"/>
        </w:rPr>
      </w:pPr>
      <w:r w:rsidRPr="00BA5276">
        <w:rPr>
          <w:rStyle w:val="Refdenotaalpie"/>
          <w:rFonts w:ascii="Arial" w:hAnsi="Arial" w:cs="Arial"/>
          <w:sz w:val="16"/>
          <w:szCs w:val="16"/>
        </w:rPr>
        <w:footnoteRef/>
      </w:r>
      <w:r w:rsidRPr="00A90D47">
        <w:rPr>
          <w:rFonts w:ascii="Arial" w:hAnsi="Arial" w:cs="Arial"/>
          <w:sz w:val="16"/>
          <w:szCs w:val="16"/>
          <w:lang w:val="pt-PT"/>
        </w:rPr>
        <w:t xml:space="preserve">  Por acceso a información pública. Ministerio de Cultura. (2021). Informe N.º 000015-2021-DGPI-FAC/MC. </w:t>
      </w:r>
      <w:r w:rsidRPr="00BA5276">
        <w:rPr>
          <w:rFonts w:ascii="Arial" w:hAnsi="Arial" w:cs="Arial"/>
          <w:sz w:val="16"/>
          <w:szCs w:val="16"/>
        </w:rPr>
        <w:t>Dirección General de Derechos de los Pueblos Indígenas.</w:t>
      </w:r>
    </w:p>
  </w:footnote>
  <w:footnote w:id="3">
    <w:p w14:paraId="04903CAD" w14:textId="77777777" w:rsidR="00A90D47" w:rsidRPr="00BA5276" w:rsidRDefault="00A90D47" w:rsidP="00A90D47">
      <w:pPr>
        <w:pStyle w:val="Prrafodelista"/>
        <w:spacing w:after="0" w:line="240" w:lineRule="auto"/>
        <w:ind w:left="142" w:hanging="142"/>
        <w:jc w:val="both"/>
        <w:rPr>
          <w:rFonts w:ascii="Arial" w:eastAsia="MS Mincho" w:hAnsi="Arial" w:cs="Arial"/>
          <w:sz w:val="16"/>
          <w:szCs w:val="16"/>
        </w:rPr>
      </w:pPr>
      <w:r w:rsidRPr="00BA5276">
        <w:rPr>
          <w:rStyle w:val="Refdenotaalpie"/>
          <w:rFonts w:ascii="Arial" w:hAnsi="Arial" w:cs="Arial"/>
          <w:sz w:val="16"/>
          <w:szCs w:val="16"/>
        </w:rPr>
        <w:footnoteRef/>
      </w:r>
      <w:r w:rsidRPr="00BA5276">
        <w:rPr>
          <w:rFonts w:ascii="Arial" w:hAnsi="Arial" w:cs="Arial"/>
          <w:sz w:val="16"/>
          <w:szCs w:val="16"/>
        </w:rPr>
        <w:t xml:space="preserve"> Por acceso a información Pública. </w:t>
      </w:r>
      <w:r w:rsidRPr="00BA5276">
        <w:rPr>
          <w:rFonts w:ascii="Arial" w:eastAsia="MS Mincho" w:hAnsi="Arial" w:cs="Arial"/>
          <w:sz w:val="16"/>
          <w:szCs w:val="16"/>
        </w:rPr>
        <w:t>Ministerio de Cultura. (2023). Informe N.º 000085-2023-DGPI-HBC/MC. Dirección General de Derechos de los Pueblos Indígenas.</w:t>
      </w:r>
    </w:p>
  </w:footnote>
  <w:footnote w:id="4">
    <w:p w14:paraId="2C7470AC" w14:textId="77777777" w:rsidR="00A90D47" w:rsidRPr="00A90D47" w:rsidRDefault="00A90D47" w:rsidP="00A90D47">
      <w:pPr>
        <w:pStyle w:val="Textonotapie"/>
        <w:ind w:left="142" w:hanging="142"/>
        <w:jc w:val="both"/>
        <w:rPr>
          <w:rFonts w:ascii="Arial" w:hAnsi="Arial" w:cs="Arial"/>
          <w:sz w:val="16"/>
          <w:szCs w:val="16"/>
        </w:rPr>
      </w:pPr>
      <w:r w:rsidRPr="00A90D47">
        <w:rPr>
          <w:rStyle w:val="Refdenotaalpie"/>
          <w:rFonts w:ascii="Arial" w:hAnsi="Arial" w:cs="Arial"/>
          <w:sz w:val="16"/>
          <w:szCs w:val="16"/>
        </w:rPr>
        <w:footnoteRef/>
      </w:r>
      <w:r w:rsidRPr="00A90D47">
        <w:rPr>
          <w:rFonts w:ascii="Arial" w:hAnsi="Arial" w:cs="Arial"/>
          <w:sz w:val="16"/>
          <w:szCs w:val="16"/>
        </w:rPr>
        <w:t xml:space="preserve"> Por acceso a información pública. Ministerio de Cultura. (2024). Memorando N.º 000601-2024-DGPI-VMI/MC. Dirección General de Derechos de los Pueblos Indígenas</w:t>
      </w:r>
    </w:p>
  </w:footnote>
  <w:footnote w:id="5">
    <w:p w14:paraId="0A133654" w14:textId="69F1E7E5" w:rsidR="00A90D47" w:rsidRPr="00A90D47" w:rsidRDefault="00A90D47" w:rsidP="00A90D47">
      <w:pPr>
        <w:spacing w:after="0" w:line="240" w:lineRule="auto"/>
        <w:ind w:left="142" w:hanging="142"/>
        <w:jc w:val="both"/>
        <w:rPr>
          <w:rFonts w:ascii="Arial" w:eastAsia="MS Mincho" w:hAnsi="Arial" w:cs="Arial"/>
          <w:sz w:val="16"/>
          <w:szCs w:val="16"/>
        </w:rPr>
      </w:pPr>
      <w:r w:rsidRPr="00A90D47">
        <w:rPr>
          <w:rStyle w:val="Refdenotaalpie"/>
          <w:rFonts w:ascii="Arial" w:hAnsi="Arial" w:cs="Arial"/>
          <w:sz w:val="16"/>
          <w:szCs w:val="16"/>
        </w:rPr>
        <w:footnoteRef/>
      </w:r>
      <w:r w:rsidRPr="00A90D47">
        <w:rPr>
          <w:rFonts w:ascii="Arial" w:hAnsi="Arial" w:cs="Arial"/>
          <w:sz w:val="16"/>
          <w:szCs w:val="16"/>
        </w:rPr>
        <w:t xml:space="preserve"> Algunos ejemplos</w:t>
      </w:r>
      <w:r w:rsidR="004932E2">
        <w:rPr>
          <w:rFonts w:ascii="Arial" w:hAnsi="Arial" w:cs="Arial"/>
          <w:sz w:val="16"/>
          <w:szCs w:val="16"/>
        </w:rPr>
        <w:t xml:space="preserve"> reviados</w:t>
      </w:r>
      <w:r w:rsidRPr="00A90D47">
        <w:rPr>
          <w:rFonts w:ascii="Arial" w:hAnsi="Arial" w:cs="Arial"/>
          <w:sz w:val="16"/>
          <w:szCs w:val="16"/>
        </w:rPr>
        <w:t xml:space="preserve">: 1) Corte Suprema de Justicia de la República. (2019). Sentencia de Acción Popular N.º 29126-2018 (AIDESEP vs. Ministerio de Cultura). Sala de Derecho Constitucional y Social Permanente. Lima, 24 de octubre de 2019; 2) Corte Superior de Justicia de Lima. (2022). Sentencia de Proceso de Cumplimiento N.º 08243-2017-0 (CNA vs. Congreso de la República). Primera Sala Constitucional. Lima, 6 de octubre de 2022; y, 3) </w:t>
      </w:r>
      <w:r w:rsidRPr="00A90D47">
        <w:rPr>
          <w:rFonts w:ascii="Arial" w:eastAsia="MS Mincho" w:hAnsi="Arial" w:cs="Arial"/>
          <w:sz w:val="16"/>
          <w:szCs w:val="16"/>
        </w:rPr>
        <w:t>Tribunal Constitucional del Perú. (2025). Sentencia del expediente N.º 00002-2024-PI/TC: Inconstitucionalidad parcial de la Ley 31973. Publicada en febrero de 2025.</w:t>
      </w:r>
    </w:p>
  </w:footnote>
  <w:footnote w:id="6">
    <w:p w14:paraId="1E17DEB4" w14:textId="77777777" w:rsidR="00A90D47" w:rsidRPr="00A90D47" w:rsidRDefault="00A90D47" w:rsidP="00A90D47">
      <w:pPr>
        <w:pStyle w:val="Textonotapie"/>
        <w:ind w:left="142" w:hanging="142"/>
        <w:jc w:val="both"/>
        <w:rPr>
          <w:rFonts w:ascii="Arial" w:hAnsi="Arial" w:cs="Arial"/>
          <w:sz w:val="16"/>
          <w:szCs w:val="16"/>
        </w:rPr>
      </w:pPr>
      <w:r w:rsidRPr="00A90D47">
        <w:rPr>
          <w:rStyle w:val="Refdenotaalpie"/>
          <w:rFonts w:ascii="Arial" w:hAnsi="Arial" w:cs="Arial"/>
          <w:sz w:val="16"/>
          <w:szCs w:val="16"/>
        </w:rPr>
        <w:footnoteRef/>
      </w:r>
      <w:r w:rsidRPr="00A90D47">
        <w:rPr>
          <w:rFonts w:ascii="Arial" w:hAnsi="Arial" w:cs="Arial"/>
          <w:sz w:val="16"/>
          <w:szCs w:val="16"/>
        </w:rPr>
        <w:t xml:space="preserve"> Organización Internacional del Trabajo (OIT). (2017). Observación (CEACR) – Convenio 169 sobre pueblos indígenas y tribales, 1989 (núm. 169) – Perú (ratificación: 1994). Recuperado de </w:t>
      </w:r>
      <w:hyperlink r:id="rId1" w:history="1">
        <w:r w:rsidRPr="00A90D47">
          <w:rPr>
            <w:rStyle w:val="Hipervnculo"/>
            <w:rFonts w:ascii="Arial" w:hAnsi="Arial" w:cs="Arial"/>
            <w:sz w:val="16"/>
            <w:szCs w:val="16"/>
          </w:rPr>
          <w:t>https://normlex.ilo.org/dyn/nrmlx_es/f?p=1000:13100:0::NO:13100:P13100_COMMENT_ID,P13100_COUNTRY_ID:3344441,102805</w:t>
        </w:r>
      </w:hyperlink>
    </w:p>
    <w:p w14:paraId="14C75CFC" w14:textId="77777777" w:rsidR="00A90D47" w:rsidRPr="00A90D47" w:rsidRDefault="00A90D47" w:rsidP="00A90D47">
      <w:pPr>
        <w:pStyle w:val="Textonotapie"/>
        <w:jc w:val="both"/>
        <w:rPr>
          <w:rFonts w:ascii="Arial" w:hAnsi="Arial" w:cs="Arial"/>
          <w:sz w:val="16"/>
          <w:szCs w:val="16"/>
          <w:lang w:val="es-MX"/>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6F80"/>
    <w:multiLevelType w:val="hybridMultilevel"/>
    <w:tmpl w:val="E12A9D6A"/>
    <w:lvl w:ilvl="0" w:tplc="B33A280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88F3D31"/>
    <w:multiLevelType w:val="hybridMultilevel"/>
    <w:tmpl w:val="7EB0C32E"/>
    <w:lvl w:ilvl="0" w:tplc="FA90FBEE">
      <w:start w:val="1"/>
      <w:numFmt w:val="bullet"/>
      <w:lvlText w:val="-"/>
      <w:lvlJc w:val="left"/>
      <w:pPr>
        <w:ind w:left="1080" w:hanging="360"/>
      </w:pPr>
      <w:rPr>
        <w:rFonts w:ascii="Calibri" w:eastAsia="Calibri"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74F70BCC"/>
    <w:multiLevelType w:val="multilevel"/>
    <w:tmpl w:val="1FD6B56E"/>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7107F56"/>
    <w:multiLevelType w:val="multilevel"/>
    <w:tmpl w:val="67604BB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b/>
      </w:rPr>
    </w:lvl>
    <w:lvl w:ilvl="2">
      <w:start w:val="1"/>
      <w:numFmt w:val="decimal"/>
      <w:isLgl/>
      <w:lvlText w:val="%1.%2.%3"/>
      <w:lvlJc w:val="left"/>
      <w:pPr>
        <w:ind w:left="252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4320" w:hanging="1080"/>
      </w:pPr>
      <w:rPr>
        <w:rFonts w:hint="default"/>
        <w:b/>
      </w:rPr>
    </w:lvl>
    <w:lvl w:ilvl="5">
      <w:start w:val="1"/>
      <w:numFmt w:val="decimal"/>
      <w:isLgl/>
      <w:lvlText w:val="%1.%2.%3.%4.%5.%6"/>
      <w:lvlJc w:val="left"/>
      <w:pPr>
        <w:ind w:left="5040" w:hanging="1080"/>
      </w:pPr>
      <w:rPr>
        <w:rFonts w:hint="default"/>
        <w:b/>
      </w:rPr>
    </w:lvl>
    <w:lvl w:ilvl="6">
      <w:start w:val="1"/>
      <w:numFmt w:val="decimal"/>
      <w:isLgl/>
      <w:lvlText w:val="%1.%2.%3.%4.%5.%6.%7"/>
      <w:lvlJc w:val="left"/>
      <w:pPr>
        <w:ind w:left="6120" w:hanging="1440"/>
      </w:pPr>
      <w:rPr>
        <w:rFonts w:hint="default"/>
        <w:b/>
      </w:rPr>
    </w:lvl>
    <w:lvl w:ilvl="7">
      <w:start w:val="1"/>
      <w:numFmt w:val="decimal"/>
      <w:isLgl/>
      <w:lvlText w:val="%1.%2.%3.%4.%5.%6.%7.%8"/>
      <w:lvlJc w:val="left"/>
      <w:pPr>
        <w:ind w:left="6840" w:hanging="1440"/>
      </w:pPr>
      <w:rPr>
        <w:rFonts w:hint="default"/>
        <w:b/>
      </w:rPr>
    </w:lvl>
    <w:lvl w:ilvl="8">
      <w:start w:val="1"/>
      <w:numFmt w:val="decimal"/>
      <w:isLgl/>
      <w:lvlText w:val="%1.%2.%3.%4.%5.%6.%7.%8.%9"/>
      <w:lvlJc w:val="left"/>
      <w:pPr>
        <w:ind w:left="7920" w:hanging="1800"/>
      </w:pPr>
      <w:rPr>
        <w:rFonts w:hint="default"/>
        <w:b/>
      </w:rPr>
    </w:lvl>
  </w:abstractNum>
  <w:num w:numId="1" w16cid:durableId="1430351840">
    <w:abstractNumId w:val="3"/>
  </w:num>
  <w:num w:numId="2" w16cid:durableId="119308062">
    <w:abstractNumId w:val="1"/>
  </w:num>
  <w:num w:numId="3" w16cid:durableId="1719745099">
    <w:abstractNumId w:val="0"/>
  </w:num>
  <w:num w:numId="4" w16cid:durableId="2115898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784"/>
    <w:rsid w:val="00027EB1"/>
    <w:rsid w:val="000321F1"/>
    <w:rsid w:val="00034276"/>
    <w:rsid w:val="000E1C36"/>
    <w:rsid w:val="000E3784"/>
    <w:rsid w:val="000E581A"/>
    <w:rsid w:val="00121085"/>
    <w:rsid w:val="00223017"/>
    <w:rsid w:val="00252321"/>
    <w:rsid w:val="002F2974"/>
    <w:rsid w:val="0034526A"/>
    <w:rsid w:val="00410CA5"/>
    <w:rsid w:val="00484F8B"/>
    <w:rsid w:val="004932E2"/>
    <w:rsid w:val="0049695C"/>
    <w:rsid w:val="004C7651"/>
    <w:rsid w:val="00545667"/>
    <w:rsid w:val="00597E0D"/>
    <w:rsid w:val="005B5CE5"/>
    <w:rsid w:val="005D36DA"/>
    <w:rsid w:val="00600ADE"/>
    <w:rsid w:val="00623F32"/>
    <w:rsid w:val="006368C4"/>
    <w:rsid w:val="00643C6F"/>
    <w:rsid w:val="00644934"/>
    <w:rsid w:val="00650BB5"/>
    <w:rsid w:val="00663219"/>
    <w:rsid w:val="006D46E0"/>
    <w:rsid w:val="00702C1D"/>
    <w:rsid w:val="007239FA"/>
    <w:rsid w:val="007530EE"/>
    <w:rsid w:val="00804BC9"/>
    <w:rsid w:val="00832F26"/>
    <w:rsid w:val="008853D7"/>
    <w:rsid w:val="008A36F6"/>
    <w:rsid w:val="008A52BF"/>
    <w:rsid w:val="008F3BDF"/>
    <w:rsid w:val="00903FAA"/>
    <w:rsid w:val="0096676A"/>
    <w:rsid w:val="009D73A2"/>
    <w:rsid w:val="009E4461"/>
    <w:rsid w:val="009F557E"/>
    <w:rsid w:val="00A2290F"/>
    <w:rsid w:val="00A64A11"/>
    <w:rsid w:val="00A861A4"/>
    <w:rsid w:val="00A90D47"/>
    <w:rsid w:val="00A91B46"/>
    <w:rsid w:val="00A96890"/>
    <w:rsid w:val="00AB678B"/>
    <w:rsid w:val="00B31ED2"/>
    <w:rsid w:val="00B73CE9"/>
    <w:rsid w:val="00B76F56"/>
    <w:rsid w:val="00B901F2"/>
    <w:rsid w:val="00C04184"/>
    <w:rsid w:val="00C3581A"/>
    <w:rsid w:val="00C46C47"/>
    <w:rsid w:val="00C94507"/>
    <w:rsid w:val="00D24913"/>
    <w:rsid w:val="00D842A3"/>
    <w:rsid w:val="00D96352"/>
    <w:rsid w:val="00D967D6"/>
    <w:rsid w:val="00DC0990"/>
    <w:rsid w:val="00DE377B"/>
    <w:rsid w:val="00E06084"/>
    <w:rsid w:val="00E46023"/>
    <w:rsid w:val="00ED4930"/>
    <w:rsid w:val="00F56E6C"/>
    <w:rsid w:val="00F842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6305"/>
  <w15:docId w15:val="{9B71CD28-9492-4F2B-A3EB-27D001B9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notapie1">
    <w:name w:val="Texto nota pie1"/>
    <w:basedOn w:val="Normal"/>
    <w:next w:val="Textonotapie"/>
    <w:link w:val="TextonotapieCar"/>
    <w:uiPriority w:val="99"/>
    <w:unhideWhenUsed/>
    <w:rsid w:val="000E3784"/>
    <w:pPr>
      <w:spacing w:after="0" w:line="240" w:lineRule="auto"/>
    </w:pPr>
    <w:rPr>
      <w:sz w:val="20"/>
      <w:szCs w:val="20"/>
    </w:rPr>
  </w:style>
  <w:style w:type="character" w:customStyle="1" w:styleId="TextonotapieCar">
    <w:name w:val="Texto nota pie Car"/>
    <w:basedOn w:val="Fuentedeprrafopredeter"/>
    <w:link w:val="Textonotapie1"/>
    <w:uiPriority w:val="99"/>
    <w:rsid w:val="000E3784"/>
    <w:rPr>
      <w:sz w:val="20"/>
      <w:szCs w:val="20"/>
    </w:rPr>
  </w:style>
  <w:style w:type="character" w:styleId="Refdenotaalpie">
    <w:name w:val="footnote reference"/>
    <w:aliases w:val="Footnotes refss,Texto de nota al pie,Appel note de bas de page,Footnote number,referencia nota al pie,BVI fnr,f,4_G,16 Point,Superscript 6 Point,Ref. de nota al pi,Appel note de bas de...,Ref. de nota al pie 2,Texto nota al pie,FC,Re"/>
    <w:basedOn w:val="Fuentedeprrafopredeter"/>
    <w:uiPriority w:val="99"/>
    <w:unhideWhenUsed/>
    <w:qFormat/>
    <w:rsid w:val="000E3784"/>
    <w:rPr>
      <w:vertAlign w:val="superscript"/>
    </w:rPr>
  </w:style>
  <w:style w:type="paragraph" w:styleId="Textonotapie">
    <w:name w:val="footnote text"/>
    <w:basedOn w:val="Normal"/>
    <w:link w:val="TextonotapieCar1"/>
    <w:uiPriority w:val="99"/>
    <w:semiHidden/>
    <w:unhideWhenUsed/>
    <w:rsid w:val="000E3784"/>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0E3784"/>
    <w:rPr>
      <w:sz w:val="20"/>
      <w:szCs w:val="20"/>
    </w:rPr>
  </w:style>
  <w:style w:type="paragraph" w:styleId="Prrafodelista">
    <w:name w:val="List Paragraph"/>
    <w:basedOn w:val="Normal"/>
    <w:uiPriority w:val="34"/>
    <w:qFormat/>
    <w:rsid w:val="00410CA5"/>
    <w:pPr>
      <w:ind w:left="720"/>
      <w:contextualSpacing/>
    </w:pPr>
  </w:style>
  <w:style w:type="paragraph" w:styleId="Textodeglobo">
    <w:name w:val="Balloon Text"/>
    <w:basedOn w:val="Normal"/>
    <w:link w:val="TextodegloboCar"/>
    <w:uiPriority w:val="99"/>
    <w:semiHidden/>
    <w:unhideWhenUsed/>
    <w:rsid w:val="008A36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A36F6"/>
    <w:rPr>
      <w:rFonts w:ascii="Tahoma" w:hAnsi="Tahoma" w:cs="Tahoma"/>
      <w:sz w:val="16"/>
      <w:szCs w:val="16"/>
    </w:rPr>
  </w:style>
  <w:style w:type="character" w:styleId="Hipervnculo">
    <w:name w:val="Hyperlink"/>
    <w:basedOn w:val="Fuentedeprrafopredeter"/>
    <w:uiPriority w:val="99"/>
    <w:unhideWhenUsed/>
    <w:rsid w:val="00AB678B"/>
    <w:rPr>
      <w:color w:val="0563C1" w:themeColor="hyperlink"/>
      <w:u w:val="single"/>
    </w:rPr>
  </w:style>
  <w:style w:type="character" w:customStyle="1" w:styleId="Mencinsinresolver1">
    <w:name w:val="Mención sin resolver1"/>
    <w:basedOn w:val="Fuentedeprrafopredeter"/>
    <w:uiPriority w:val="99"/>
    <w:semiHidden/>
    <w:unhideWhenUsed/>
    <w:rsid w:val="00AB678B"/>
    <w:rPr>
      <w:color w:val="605E5C"/>
      <w:shd w:val="clear" w:color="auto" w:fill="E1DFDD"/>
    </w:rPr>
  </w:style>
  <w:style w:type="paragraph" w:styleId="Encabezado">
    <w:name w:val="header"/>
    <w:basedOn w:val="Normal"/>
    <w:link w:val="EncabezadoCar"/>
    <w:uiPriority w:val="99"/>
    <w:unhideWhenUsed/>
    <w:rsid w:val="00AB67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678B"/>
  </w:style>
  <w:style w:type="paragraph" w:styleId="Piedepgina">
    <w:name w:val="footer"/>
    <w:basedOn w:val="Normal"/>
    <w:link w:val="PiedepginaCar"/>
    <w:uiPriority w:val="99"/>
    <w:unhideWhenUsed/>
    <w:rsid w:val="00AB67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678B"/>
  </w:style>
  <w:style w:type="character" w:styleId="Refdecomentario">
    <w:name w:val="annotation reference"/>
    <w:basedOn w:val="Fuentedeprrafopredeter"/>
    <w:uiPriority w:val="99"/>
    <w:semiHidden/>
    <w:unhideWhenUsed/>
    <w:rsid w:val="00252321"/>
    <w:rPr>
      <w:sz w:val="16"/>
      <w:szCs w:val="16"/>
    </w:rPr>
  </w:style>
  <w:style w:type="paragraph" w:styleId="Textocomentario">
    <w:name w:val="annotation text"/>
    <w:basedOn w:val="Normal"/>
    <w:link w:val="TextocomentarioCar"/>
    <w:uiPriority w:val="99"/>
    <w:semiHidden/>
    <w:unhideWhenUsed/>
    <w:rsid w:val="0025232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52321"/>
    <w:rPr>
      <w:sz w:val="20"/>
      <w:szCs w:val="20"/>
    </w:rPr>
  </w:style>
  <w:style w:type="paragraph" w:styleId="Asuntodelcomentario">
    <w:name w:val="annotation subject"/>
    <w:basedOn w:val="Textocomentario"/>
    <w:next w:val="Textocomentario"/>
    <w:link w:val="AsuntodelcomentarioCar"/>
    <w:uiPriority w:val="99"/>
    <w:semiHidden/>
    <w:unhideWhenUsed/>
    <w:rsid w:val="00252321"/>
    <w:rPr>
      <w:b/>
      <w:bCs/>
    </w:rPr>
  </w:style>
  <w:style w:type="character" w:customStyle="1" w:styleId="AsuntodelcomentarioCar">
    <w:name w:val="Asunto del comentario Car"/>
    <w:basedOn w:val="TextocomentarioCar"/>
    <w:link w:val="Asuntodelcomentario"/>
    <w:uiPriority w:val="99"/>
    <w:semiHidden/>
    <w:rsid w:val="00252321"/>
    <w:rPr>
      <w:b/>
      <w:bCs/>
      <w:sz w:val="20"/>
      <w:szCs w:val="20"/>
    </w:rPr>
  </w:style>
  <w:style w:type="paragraph" w:styleId="Revisin">
    <w:name w:val="Revision"/>
    <w:hidden/>
    <w:uiPriority w:val="99"/>
    <w:semiHidden/>
    <w:rsid w:val="000E1C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924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normlex.ilo.org/dyn/nrmlx_es/f?p=1000:13100:0::NO:13100:P13100_COMMENT_ID,P13100_COUNTRY_ID:3344441,10280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4BA46-1C96-48F4-B7BB-3E5E17E02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1397</Words>
  <Characters>7684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Ángela Chávarri</dc:creator>
  <cp:lastModifiedBy>usuario</cp:lastModifiedBy>
  <cp:revision>2</cp:revision>
  <dcterms:created xsi:type="dcterms:W3CDTF">2025-05-12T19:30:00Z</dcterms:created>
  <dcterms:modified xsi:type="dcterms:W3CDTF">2025-05-12T19:30:00Z</dcterms:modified>
</cp:coreProperties>
</file>