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73BE4" w14:textId="20AEA405" w:rsidR="0038699C" w:rsidRPr="003609EF" w:rsidRDefault="0038699C" w:rsidP="00D91BF7">
      <w:pPr>
        <w:spacing w:before="120"/>
        <w:jc w:val="center"/>
        <w:rPr>
          <w:rFonts w:ascii="Arial" w:hAnsi="Arial" w:cs="Arial"/>
          <w:b/>
          <w:sz w:val="22"/>
          <w:szCs w:val="22"/>
        </w:rPr>
      </w:pPr>
      <w:r w:rsidRPr="003609EF">
        <w:rPr>
          <w:rFonts w:ascii="Arial" w:hAnsi="Arial" w:cs="Arial"/>
          <w:b/>
          <w:sz w:val="22"/>
          <w:szCs w:val="22"/>
        </w:rPr>
        <w:t>Cobre, soberanía y transición energética: análisis de la política pública peruana en un contexto global de minerales críticos</w:t>
      </w:r>
    </w:p>
    <w:p w14:paraId="46A3E3C2" w14:textId="04FBEB2B" w:rsidR="007373B8" w:rsidRPr="000270E6" w:rsidRDefault="0080535A" w:rsidP="00D91BF7">
      <w:pPr>
        <w:spacing w:before="120"/>
        <w:jc w:val="center"/>
        <w:rPr>
          <w:rFonts w:ascii="Arial" w:hAnsi="Arial" w:cs="Arial"/>
          <w:sz w:val="22"/>
          <w:szCs w:val="22"/>
        </w:rPr>
      </w:pPr>
      <w:r w:rsidRPr="000270E6">
        <w:rPr>
          <w:rFonts w:ascii="Arial" w:hAnsi="Arial" w:cs="Arial"/>
          <w:bCs/>
          <w:sz w:val="22"/>
          <w:szCs w:val="22"/>
        </w:rPr>
        <w:t xml:space="preserve"> </w:t>
      </w:r>
    </w:p>
    <w:p w14:paraId="18655DEC" w14:textId="5393804B" w:rsidR="007373B8" w:rsidRPr="000270E6" w:rsidRDefault="00A201D7" w:rsidP="00A201D7">
      <w:pPr>
        <w:jc w:val="center"/>
        <w:rPr>
          <w:rFonts w:ascii="Arial" w:hAnsi="Arial" w:cs="Arial"/>
          <w:sz w:val="22"/>
          <w:szCs w:val="22"/>
        </w:rPr>
      </w:pPr>
      <w:r w:rsidRPr="000270E6">
        <w:rPr>
          <w:rFonts w:ascii="Arial" w:hAnsi="Arial" w:cs="Arial"/>
          <w:sz w:val="22"/>
          <w:szCs w:val="22"/>
        </w:rPr>
        <w:t>(</w:t>
      </w:r>
      <w:r w:rsidR="0038699C" w:rsidRPr="0038699C">
        <w:rPr>
          <w:rFonts w:ascii="Arial" w:hAnsi="Arial" w:cs="Arial"/>
          <w:sz w:val="22"/>
          <w:szCs w:val="22"/>
        </w:rPr>
        <w:t>Regulación y Economía Minera</w:t>
      </w:r>
      <w:r w:rsidR="00493C85" w:rsidRPr="000270E6">
        <w:rPr>
          <w:rFonts w:ascii="Arial" w:hAnsi="Arial" w:cs="Arial"/>
          <w:sz w:val="22"/>
          <w:szCs w:val="22"/>
        </w:rPr>
        <w:t xml:space="preserve"> - </w:t>
      </w:r>
      <w:r w:rsidR="0038699C" w:rsidRPr="0038699C">
        <w:rPr>
          <w:rFonts w:ascii="Arial" w:hAnsi="Arial" w:cs="Arial"/>
          <w:sz w:val="22"/>
          <w:szCs w:val="22"/>
        </w:rPr>
        <w:t>Impacto de la transición energética en la minería</w:t>
      </w:r>
      <w:r w:rsidRPr="000270E6">
        <w:rPr>
          <w:rFonts w:ascii="Arial" w:hAnsi="Arial" w:cs="Arial"/>
          <w:sz w:val="22"/>
          <w:szCs w:val="22"/>
        </w:rPr>
        <w:t>)</w:t>
      </w:r>
    </w:p>
    <w:p w14:paraId="03D0F56A" w14:textId="77777777" w:rsidR="00A05DB9" w:rsidRPr="000270E6" w:rsidRDefault="00A05DB9" w:rsidP="007373B8">
      <w:pPr>
        <w:rPr>
          <w:rFonts w:ascii="Arial" w:hAnsi="Arial" w:cs="Arial"/>
          <w:sz w:val="22"/>
          <w:szCs w:val="22"/>
        </w:rPr>
      </w:pPr>
    </w:p>
    <w:p w14:paraId="02638C59" w14:textId="2FAD9334" w:rsidR="0087565A" w:rsidRPr="000270E6" w:rsidRDefault="0038699C" w:rsidP="0087565A">
      <w:pPr>
        <w:jc w:val="center"/>
        <w:rPr>
          <w:rFonts w:ascii="Arial" w:hAnsi="Arial" w:cs="Arial"/>
          <w:b/>
          <w:bCs/>
          <w:sz w:val="22"/>
          <w:szCs w:val="22"/>
        </w:rPr>
      </w:pPr>
      <w:r>
        <w:rPr>
          <w:rFonts w:ascii="Arial" w:hAnsi="Arial" w:cs="Arial"/>
          <w:b/>
          <w:bCs/>
          <w:sz w:val="22"/>
          <w:szCs w:val="22"/>
        </w:rPr>
        <w:t>Gabriela Galindo Gonzales</w:t>
      </w:r>
      <w:r w:rsidR="0087565A" w:rsidRPr="000270E6">
        <w:rPr>
          <w:rFonts w:ascii="Arial" w:hAnsi="Arial" w:cs="Arial"/>
          <w:b/>
          <w:bCs/>
          <w:sz w:val="22"/>
          <w:szCs w:val="22"/>
          <w:vertAlign w:val="superscript"/>
        </w:rPr>
        <w:t>1</w:t>
      </w:r>
      <w:r w:rsidR="0087565A" w:rsidRPr="000270E6">
        <w:rPr>
          <w:rFonts w:ascii="Arial" w:hAnsi="Arial" w:cs="Arial"/>
          <w:b/>
          <w:bCs/>
          <w:sz w:val="22"/>
          <w:szCs w:val="22"/>
        </w:rPr>
        <w:t xml:space="preserve">, </w:t>
      </w:r>
      <w:r>
        <w:rPr>
          <w:rFonts w:ascii="Arial" w:hAnsi="Arial" w:cs="Arial"/>
          <w:b/>
          <w:bCs/>
          <w:sz w:val="22"/>
          <w:szCs w:val="22"/>
        </w:rPr>
        <w:t>Ana Carolina Russo</w:t>
      </w:r>
      <w:r w:rsidR="0087565A" w:rsidRPr="000270E6">
        <w:rPr>
          <w:rFonts w:ascii="Arial" w:hAnsi="Arial" w:cs="Arial"/>
          <w:b/>
          <w:bCs/>
          <w:sz w:val="22"/>
          <w:szCs w:val="22"/>
          <w:vertAlign w:val="superscript"/>
        </w:rPr>
        <w:t>2</w:t>
      </w:r>
      <w:r w:rsidR="002D1C36" w:rsidRPr="000270E6">
        <w:rPr>
          <w:rFonts w:ascii="Arial" w:hAnsi="Arial" w:cs="Arial"/>
          <w:b/>
          <w:bCs/>
          <w:sz w:val="22"/>
          <w:szCs w:val="22"/>
        </w:rPr>
        <w:t xml:space="preserve"> y</w:t>
      </w:r>
      <w:r w:rsidR="0087565A" w:rsidRPr="000270E6">
        <w:rPr>
          <w:rFonts w:ascii="Arial" w:hAnsi="Arial" w:cs="Arial"/>
          <w:b/>
          <w:bCs/>
          <w:sz w:val="22"/>
          <w:szCs w:val="22"/>
        </w:rPr>
        <w:t xml:space="preserve"> </w:t>
      </w:r>
      <w:r>
        <w:rPr>
          <w:rFonts w:ascii="Arial" w:hAnsi="Arial" w:cs="Arial"/>
          <w:b/>
          <w:bCs/>
          <w:sz w:val="22"/>
          <w:szCs w:val="22"/>
        </w:rPr>
        <w:t>Giorgio De Tomi</w:t>
      </w:r>
      <w:r w:rsidR="0087565A" w:rsidRPr="000270E6">
        <w:rPr>
          <w:rFonts w:ascii="Arial" w:hAnsi="Arial" w:cs="Arial"/>
          <w:b/>
          <w:bCs/>
          <w:sz w:val="22"/>
          <w:szCs w:val="22"/>
          <w:vertAlign w:val="superscript"/>
        </w:rPr>
        <w:t>3</w:t>
      </w:r>
    </w:p>
    <w:p w14:paraId="400BE595" w14:textId="77777777" w:rsidR="0087565A" w:rsidRPr="000270E6" w:rsidRDefault="0087565A" w:rsidP="0087565A">
      <w:pPr>
        <w:jc w:val="center"/>
        <w:rPr>
          <w:rFonts w:ascii="Arial" w:hAnsi="Arial" w:cs="Arial"/>
          <w:bCs/>
          <w:sz w:val="22"/>
          <w:szCs w:val="22"/>
        </w:rPr>
      </w:pPr>
    </w:p>
    <w:p w14:paraId="23736843" w14:textId="77777777" w:rsidR="007373B8" w:rsidRPr="000270E6" w:rsidRDefault="007373B8" w:rsidP="007373B8">
      <w:pPr>
        <w:rPr>
          <w:rFonts w:ascii="Arial" w:hAnsi="Arial" w:cs="Arial"/>
          <w:sz w:val="22"/>
          <w:szCs w:val="22"/>
        </w:rPr>
      </w:pPr>
    </w:p>
    <w:p w14:paraId="1D73A8BC" w14:textId="49D984C0" w:rsidR="007373B8" w:rsidRPr="000270E6" w:rsidRDefault="001F7167" w:rsidP="006975E0">
      <w:pPr>
        <w:ind w:left="142" w:hanging="142"/>
        <w:jc w:val="both"/>
        <w:rPr>
          <w:rFonts w:ascii="Arial" w:hAnsi="Arial" w:cs="Arial"/>
          <w:sz w:val="22"/>
          <w:szCs w:val="22"/>
        </w:rPr>
      </w:pPr>
      <w:r w:rsidRPr="000270E6">
        <w:rPr>
          <w:rFonts w:ascii="Arial" w:hAnsi="Arial" w:cs="Arial"/>
          <w:sz w:val="22"/>
          <w:szCs w:val="22"/>
          <w:vertAlign w:val="superscript"/>
        </w:rPr>
        <w:t>1</w:t>
      </w:r>
      <w:r w:rsidR="007373B8" w:rsidRPr="000270E6">
        <w:rPr>
          <w:rFonts w:ascii="Arial" w:hAnsi="Arial" w:cs="Arial"/>
          <w:sz w:val="22"/>
          <w:szCs w:val="22"/>
        </w:rPr>
        <w:t xml:space="preserve"> </w:t>
      </w:r>
      <w:r w:rsidR="002D1C36" w:rsidRPr="000270E6">
        <w:rPr>
          <w:rFonts w:ascii="Arial" w:hAnsi="Arial" w:cs="Arial"/>
          <w:sz w:val="22"/>
          <w:szCs w:val="22"/>
        </w:rPr>
        <w:t xml:space="preserve">Autor: </w:t>
      </w:r>
      <w:r w:rsidR="0038699C" w:rsidRPr="0038699C">
        <w:rPr>
          <w:rFonts w:ascii="Arial" w:hAnsi="Arial" w:cs="Arial" w:hint="cs"/>
          <w:sz w:val="22"/>
          <w:szCs w:val="22"/>
        </w:rPr>
        <w:t>NAP.Mineração</w:t>
      </w:r>
      <w:r w:rsidR="0038699C" w:rsidRPr="0038699C">
        <w:rPr>
          <w:rFonts w:ascii="Arial" w:hAnsi="Arial" w:cs="Arial"/>
          <w:sz w:val="22"/>
          <w:szCs w:val="22"/>
        </w:rPr>
        <w:t>/USP</w:t>
      </w:r>
      <w:r w:rsidR="00047A63" w:rsidRPr="000270E6">
        <w:rPr>
          <w:rFonts w:ascii="Arial" w:hAnsi="Arial" w:cs="Arial"/>
          <w:sz w:val="22"/>
          <w:szCs w:val="22"/>
        </w:rPr>
        <w:t xml:space="preserve">, </w:t>
      </w:r>
      <w:r w:rsidR="0038699C">
        <w:rPr>
          <w:rFonts w:ascii="Arial" w:hAnsi="Arial" w:cs="Arial" w:hint="cs"/>
          <w:color w:val="1F1F1F"/>
          <w:sz w:val="21"/>
          <w:szCs w:val="21"/>
          <w:shd w:val="clear" w:color="auto" w:fill="FFFFFF"/>
        </w:rPr>
        <w:t>Av. Professor Mello Moraes, 2373</w:t>
      </w:r>
      <w:r w:rsidR="0038699C">
        <w:rPr>
          <w:rFonts w:ascii="Arial" w:hAnsi="Arial" w:cs="Arial"/>
          <w:color w:val="1F1F1F"/>
          <w:sz w:val="21"/>
          <w:szCs w:val="21"/>
          <w:shd w:val="clear" w:color="auto" w:fill="FFFFFF"/>
        </w:rPr>
        <w:t xml:space="preserve">, </w:t>
      </w:r>
      <w:r w:rsidR="0038699C">
        <w:rPr>
          <w:rFonts w:ascii="Arial" w:hAnsi="Arial" w:cs="Arial" w:hint="cs"/>
          <w:color w:val="1F1F1F"/>
          <w:sz w:val="21"/>
          <w:szCs w:val="21"/>
          <w:shd w:val="clear" w:color="auto" w:fill="FFFFFF"/>
        </w:rPr>
        <w:t>Butantã, São Paulo</w:t>
      </w:r>
      <w:r w:rsidR="0038699C">
        <w:rPr>
          <w:rFonts w:ascii="Arial" w:hAnsi="Arial" w:cs="Arial"/>
          <w:color w:val="1F1F1F"/>
          <w:sz w:val="21"/>
          <w:szCs w:val="21"/>
          <w:shd w:val="clear" w:color="auto" w:fill="FFFFFF"/>
        </w:rPr>
        <w:t xml:space="preserve">, Brasil </w:t>
      </w:r>
      <w:r w:rsidR="003C6D44" w:rsidRPr="000270E6">
        <w:rPr>
          <w:rFonts w:ascii="Arial" w:hAnsi="Arial" w:cs="Arial"/>
          <w:sz w:val="22"/>
          <w:szCs w:val="22"/>
        </w:rPr>
        <w:t>(</w:t>
      </w:r>
      <w:r w:rsidR="00081C4F">
        <w:rPr>
          <w:rFonts w:ascii="Arial" w:hAnsi="Arial" w:cs="Arial"/>
          <w:sz w:val="22"/>
          <w:szCs w:val="22"/>
        </w:rPr>
        <w:fldChar w:fldCharType="begin"/>
      </w:r>
      <w:r w:rsidR="00081C4F">
        <w:rPr>
          <w:rFonts w:ascii="Arial" w:hAnsi="Arial" w:cs="Arial"/>
          <w:sz w:val="22"/>
          <w:szCs w:val="22"/>
        </w:rPr>
        <w:instrText>HYPERLINK "mailto:gaby.galindo@usp.br"</w:instrText>
      </w:r>
      <w:r w:rsidR="00081C4F">
        <w:rPr>
          <w:rFonts w:ascii="Arial" w:hAnsi="Arial" w:cs="Arial"/>
          <w:sz w:val="22"/>
          <w:szCs w:val="22"/>
        </w:rPr>
      </w:r>
      <w:r w:rsidR="00081C4F">
        <w:rPr>
          <w:rFonts w:ascii="Arial" w:hAnsi="Arial" w:cs="Arial"/>
          <w:sz w:val="22"/>
          <w:szCs w:val="22"/>
        </w:rPr>
        <w:fldChar w:fldCharType="separate"/>
      </w:r>
      <w:r w:rsidR="00081C4F" w:rsidRPr="00700B55">
        <w:rPr>
          <w:rStyle w:val="Hipervnculo"/>
          <w:rFonts w:ascii="Arial" w:hAnsi="Arial" w:cs="Arial"/>
          <w:sz w:val="22"/>
          <w:szCs w:val="22"/>
        </w:rPr>
        <w:t>gaby.galindo@usp.br</w:t>
      </w:r>
      <w:r w:rsidR="00081C4F">
        <w:rPr>
          <w:rFonts w:ascii="Arial" w:hAnsi="Arial" w:cs="Arial"/>
          <w:sz w:val="22"/>
          <w:szCs w:val="22"/>
        </w:rPr>
        <w:fldChar w:fldCharType="end"/>
      </w:r>
      <w:r w:rsidR="00081C4F">
        <w:rPr>
          <w:rFonts w:ascii="Arial" w:hAnsi="Arial" w:cs="Arial"/>
          <w:sz w:val="22"/>
          <w:szCs w:val="22"/>
        </w:rPr>
        <w:t>, 956962892</w:t>
      </w:r>
      <w:r w:rsidR="003C6D44" w:rsidRPr="000270E6">
        <w:rPr>
          <w:rFonts w:ascii="Arial" w:hAnsi="Arial" w:cs="Arial"/>
          <w:sz w:val="22"/>
          <w:szCs w:val="22"/>
        </w:rPr>
        <w:t>)</w:t>
      </w:r>
    </w:p>
    <w:p w14:paraId="791CF854" w14:textId="16E4DB11" w:rsidR="007373B8" w:rsidRPr="000270E6" w:rsidRDefault="001F7167" w:rsidP="006975E0">
      <w:pPr>
        <w:ind w:left="142" w:hanging="142"/>
        <w:jc w:val="both"/>
        <w:rPr>
          <w:rFonts w:ascii="Arial" w:hAnsi="Arial" w:cs="Arial"/>
          <w:sz w:val="22"/>
          <w:szCs w:val="22"/>
        </w:rPr>
      </w:pPr>
      <w:r w:rsidRPr="00081C4F">
        <w:rPr>
          <w:rFonts w:ascii="Arial" w:hAnsi="Arial" w:cs="Arial"/>
          <w:sz w:val="22"/>
          <w:szCs w:val="22"/>
          <w:vertAlign w:val="superscript"/>
          <w:lang w:val="en-US"/>
        </w:rPr>
        <w:t>2</w:t>
      </w:r>
      <w:r w:rsidR="007373B8" w:rsidRPr="00081C4F">
        <w:rPr>
          <w:rFonts w:ascii="Arial" w:hAnsi="Arial" w:cs="Arial"/>
          <w:sz w:val="22"/>
          <w:szCs w:val="22"/>
          <w:lang w:val="en-US"/>
        </w:rPr>
        <w:t xml:space="preserve"> </w:t>
      </w:r>
      <w:proofErr w:type="spellStart"/>
      <w:r w:rsidR="002D1C36" w:rsidRPr="00081C4F">
        <w:rPr>
          <w:rFonts w:ascii="Arial" w:hAnsi="Arial" w:cs="Arial"/>
          <w:sz w:val="22"/>
          <w:szCs w:val="22"/>
          <w:lang w:val="en-US"/>
        </w:rPr>
        <w:t>Coautor</w:t>
      </w:r>
      <w:proofErr w:type="spellEnd"/>
      <w:r w:rsidR="002D1C36" w:rsidRPr="00081C4F">
        <w:rPr>
          <w:rFonts w:ascii="Arial" w:hAnsi="Arial" w:cs="Arial"/>
          <w:sz w:val="22"/>
          <w:szCs w:val="22"/>
          <w:lang w:val="en-US"/>
        </w:rPr>
        <w:t xml:space="preserve"> 1: </w:t>
      </w:r>
      <w:proofErr w:type="spellStart"/>
      <w:r w:rsidR="00081C4F" w:rsidRPr="00081C4F">
        <w:rPr>
          <w:rFonts w:ascii="Arial" w:hAnsi="Arial" w:cs="Arial" w:hint="cs"/>
          <w:sz w:val="22"/>
          <w:szCs w:val="22"/>
          <w:lang w:val="en-US"/>
        </w:rPr>
        <w:t>NAP.Mineração</w:t>
      </w:r>
      <w:proofErr w:type="spellEnd"/>
      <w:r w:rsidR="00081C4F" w:rsidRPr="00081C4F">
        <w:rPr>
          <w:rFonts w:ascii="Arial" w:hAnsi="Arial" w:cs="Arial"/>
          <w:sz w:val="22"/>
          <w:szCs w:val="22"/>
          <w:lang w:val="en-US"/>
        </w:rPr>
        <w:t xml:space="preserve">/USP, </w:t>
      </w:r>
      <w:r w:rsidR="00081C4F" w:rsidRPr="000D7C47">
        <w:rPr>
          <w:rFonts w:ascii="Arial" w:hAnsi="Arial" w:cs="Arial" w:hint="cs"/>
          <w:color w:val="1F1F1F"/>
          <w:sz w:val="21"/>
          <w:szCs w:val="21"/>
          <w:shd w:val="clear" w:color="auto" w:fill="FFFFFF"/>
          <w:lang w:val="en-US"/>
        </w:rPr>
        <w:t xml:space="preserve">Av. </w:t>
      </w:r>
      <w:r w:rsidR="00081C4F">
        <w:rPr>
          <w:rFonts w:ascii="Arial" w:hAnsi="Arial" w:cs="Arial" w:hint="cs"/>
          <w:color w:val="1F1F1F"/>
          <w:sz w:val="21"/>
          <w:szCs w:val="21"/>
          <w:shd w:val="clear" w:color="auto" w:fill="FFFFFF"/>
        </w:rPr>
        <w:t>Professor Mello Moraes, 2373</w:t>
      </w:r>
      <w:r w:rsidR="00081C4F">
        <w:rPr>
          <w:rFonts w:ascii="Arial" w:hAnsi="Arial" w:cs="Arial"/>
          <w:color w:val="1F1F1F"/>
          <w:sz w:val="21"/>
          <w:szCs w:val="21"/>
          <w:shd w:val="clear" w:color="auto" w:fill="FFFFFF"/>
        </w:rPr>
        <w:t xml:space="preserve">, </w:t>
      </w:r>
      <w:r w:rsidR="00081C4F">
        <w:rPr>
          <w:rFonts w:ascii="Arial" w:hAnsi="Arial" w:cs="Arial" w:hint="cs"/>
          <w:color w:val="1F1F1F"/>
          <w:sz w:val="21"/>
          <w:szCs w:val="21"/>
          <w:shd w:val="clear" w:color="auto" w:fill="FFFFFF"/>
        </w:rPr>
        <w:t>Butantã, São Paulo</w:t>
      </w:r>
      <w:r w:rsidR="00081C4F">
        <w:rPr>
          <w:rFonts w:ascii="Arial" w:hAnsi="Arial" w:cs="Arial"/>
          <w:color w:val="1F1F1F"/>
          <w:sz w:val="21"/>
          <w:szCs w:val="21"/>
          <w:shd w:val="clear" w:color="auto" w:fill="FFFFFF"/>
        </w:rPr>
        <w:t>, Brasil</w:t>
      </w:r>
      <w:r w:rsidR="003C6D44" w:rsidRPr="000270E6">
        <w:rPr>
          <w:rFonts w:ascii="Arial" w:hAnsi="Arial" w:cs="Arial"/>
          <w:sz w:val="22"/>
          <w:szCs w:val="22"/>
        </w:rPr>
        <w:t xml:space="preserve"> (</w:t>
      </w:r>
      <w:r w:rsidR="00081C4F">
        <w:fldChar w:fldCharType="begin"/>
      </w:r>
      <w:r w:rsidR="00081C4F">
        <w:instrText>HYPERLINK "mailto:anacarolinarusso@usp.br" \t "_blank"</w:instrText>
      </w:r>
      <w:r w:rsidR="00081C4F">
        <w:fldChar w:fldCharType="separate"/>
      </w:r>
      <w:r w:rsidR="00081C4F">
        <w:rPr>
          <w:rStyle w:val="Hipervnculo"/>
          <w:rFonts w:ascii="Roboto" w:hAnsi="Roboto"/>
          <w:color w:val="3C4043"/>
          <w:spacing w:val="3"/>
          <w:sz w:val="21"/>
          <w:szCs w:val="21"/>
          <w:shd w:val="clear" w:color="auto" w:fill="FFFFFF"/>
        </w:rPr>
        <w:t>anacarolinarusso@usp.br</w:t>
      </w:r>
      <w:r w:rsidR="00081C4F">
        <w:fldChar w:fldCharType="end"/>
      </w:r>
      <w:r w:rsidR="00081C4F">
        <w:rPr>
          <w:rFonts w:ascii="Arial" w:hAnsi="Arial" w:cs="Arial"/>
          <w:sz w:val="22"/>
          <w:szCs w:val="22"/>
        </w:rPr>
        <w:t>, +55 11 97194-0105</w:t>
      </w:r>
      <w:r w:rsidR="003C6D44" w:rsidRPr="000270E6">
        <w:rPr>
          <w:rFonts w:ascii="Arial" w:hAnsi="Arial" w:cs="Arial"/>
          <w:sz w:val="22"/>
          <w:szCs w:val="22"/>
        </w:rPr>
        <w:t>)</w:t>
      </w:r>
    </w:p>
    <w:p w14:paraId="676FAC05" w14:textId="1C4B637D" w:rsidR="006D0F12" w:rsidRPr="000270E6" w:rsidRDefault="006D0F12" w:rsidP="006975E0">
      <w:pPr>
        <w:ind w:left="142" w:hanging="142"/>
        <w:jc w:val="both"/>
        <w:rPr>
          <w:rFonts w:ascii="Arial" w:hAnsi="Arial" w:cs="Arial"/>
          <w:sz w:val="22"/>
          <w:szCs w:val="22"/>
        </w:rPr>
      </w:pPr>
      <w:r w:rsidRPr="00081C4F">
        <w:rPr>
          <w:rFonts w:ascii="Arial" w:hAnsi="Arial" w:cs="Arial"/>
          <w:sz w:val="22"/>
          <w:szCs w:val="22"/>
          <w:vertAlign w:val="superscript"/>
          <w:lang w:val="en-US"/>
        </w:rPr>
        <w:t>3</w:t>
      </w:r>
      <w:r w:rsidRPr="00081C4F">
        <w:rPr>
          <w:rFonts w:ascii="Arial" w:hAnsi="Arial" w:cs="Arial"/>
          <w:sz w:val="22"/>
          <w:szCs w:val="22"/>
          <w:lang w:val="en-US"/>
        </w:rPr>
        <w:t xml:space="preserve"> </w:t>
      </w:r>
      <w:proofErr w:type="spellStart"/>
      <w:r w:rsidR="002D1C36" w:rsidRPr="00081C4F">
        <w:rPr>
          <w:rFonts w:ascii="Arial" w:hAnsi="Arial" w:cs="Arial"/>
          <w:sz w:val="22"/>
          <w:szCs w:val="22"/>
          <w:lang w:val="en-US"/>
        </w:rPr>
        <w:t>Coautor</w:t>
      </w:r>
      <w:proofErr w:type="spellEnd"/>
      <w:r w:rsidR="002D1C36" w:rsidRPr="00081C4F">
        <w:rPr>
          <w:rFonts w:ascii="Arial" w:hAnsi="Arial" w:cs="Arial"/>
          <w:sz w:val="22"/>
          <w:szCs w:val="22"/>
          <w:lang w:val="en-US"/>
        </w:rPr>
        <w:t xml:space="preserve"> 2: </w:t>
      </w:r>
      <w:proofErr w:type="spellStart"/>
      <w:r w:rsidR="00081C4F" w:rsidRPr="00081C4F">
        <w:rPr>
          <w:rFonts w:ascii="Arial" w:hAnsi="Arial" w:cs="Arial" w:hint="cs"/>
          <w:sz w:val="22"/>
          <w:szCs w:val="22"/>
          <w:lang w:val="en-US"/>
        </w:rPr>
        <w:t>NAP.Mineração</w:t>
      </w:r>
      <w:proofErr w:type="spellEnd"/>
      <w:r w:rsidR="00081C4F" w:rsidRPr="00081C4F">
        <w:rPr>
          <w:rFonts w:ascii="Arial" w:hAnsi="Arial" w:cs="Arial"/>
          <w:sz w:val="22"/>
          <w:szCs w:val="22"/>
          <w:lang w:val="en-US"/>
        </w:rPr>
        <w:t xml:space="preserve">/USP, </w:t>
      </w:r>
      <w:r w:rsidR="00081C4F" w:rsidRPr="000D7C47">
        <w:rPr>
          <w:rFonts w:ascii="Arial" w:hAnsi="Arial" w:cs="Arial" w:hint="cs"/>
          <w:color w:val="1F1F1F"/>
          <w:sz w:val="21"/>
          <w:szCs w:val="21"/>
          <w:shd w:val="clear" w:color="auto" w:fill="FFFFFF"/>
          <w:lang w:val="en-US"/>
        </w:rPr>
        <w:t xml:space="preserve">Av. </w:t>
      </w:r>
      <w:r w:rsidR="00081C4F">
        <w:rPr>
          <w:rFonts w:ascii="Arial" w:hAnsi="Arial" w:cs="Arial" w:hint="cs"/>
          <w:color w:val="1F1F1F"/>
          <w:sz w:val="21"/>
          <w:szCs w:val="21"/>
          <w:shd w:val="clear" w:color="auto" w:fill="FFFFFF"/>
        </w:rPr>
        <w:t>Professor Mello Moraes, 2373</w:t>
      </w:r>
      <w:r w:rsidR="00081C4F">
        <w:rPr>
          <w:rFonts w:ascii="Arial" w:hAnsi="Arial" w:cs="Arial"/>
          <w:color w:val="1F1F1F"/>
          <w:sz w:val="21"/>
          <w:szCs w:val="21"/>
          <w:shd w:val="clear" w:color="auto" w:fill="FFFFFF"/>
        </w:rPr>
        <w:t xml:space="preserve">, </w:t>
      </w:r>
      <w:r w:rsidR="00081C4F">
        <w:rPr>
          <w:rFonts w:ascii="Arial" w:hAnsi="Arial" w:cs="Arial" w:hint="cs"/>
          <w:color w:val="1F1F1F"/>
          <w:sz w:val="21"/>
          <w:szCs w:val="21"/>
          <w:shd w:val="clear" w:color="auto" w:fill="FFFFFF"/>
        </w:rPr>
        <w:t>Butantã, São Paulo</w:t>
      </w:r>
      <w:r w:rsidR="00081C4F">
        <w:rPr>
          <w:rFonts w:ascii="Arial" w:hAnsi="Arial" w:cs="Arial"/>
          <w:color w:val="1F1F1F"/>
          <w:sz w:val="21"/>
          <w:szCs w:val="21"/>
          <w:shd w:val="clear" w:color="auto" w:fill="FFFFFF"/>
        </w:rPr>
        <w:t xml:space="preserve">, Brasil </w:t>
      </w:r>
      <w:r w:rsidR="004E233B" w:rsidRPr="000270E6">
        <w:rPr>
          <w:rFonts w:ascii="Arial" w:hAnsi="Arial" w:cs="Arial"/>
          <w:sz w:val="22"/>
          <w:szCs w:val="22"/>
        </w:rPr>
        <w:t>(</w:t>
      </w:r>
      <w:r w:rsidR="00081C4F">
        <w:rPr>
          <w:rFonts w:ascii="Roboto" w:hAnsi="Roboto"/>
          <w:color w:val="5E5E5E"/>
          <w:sz w:val="21"/>
          <w:szCs w:val="21"/>
          <w:shd w:val="clear" w:color="auto" w:fill="FFFFFF"/>
        </w:rPr>
        <w:fldChar w:fldCharType="begin"/>
      </w:r>
      <w:r w:rsidR="00081C4F">
        <w:rPr>
          <w:rFonts w:ascii="Roboto" w:hAnsi="Roboto"/>
          <w:color w:val="5E5E5E"/>
          <w:sz w:val="21"/>
          <w:szCs w:val="21"/>
          <w:shd w:val="clear" w:color="auto" w:fill="FFFFFF"/>
        </w:rPr>
        <w:instrText>HYPERLINK "mailto:gdetomi@usp.br"</w:instrText>
      </w:r>
      <w:r w:rsidR="00081C4F">
        <w:rPr>
          <w:rFonts w:ascii="Roboto" w:hAnsi="Roboto"/>
          <w:color w:val="5E5E5E"/>
          <w:sz w:val="21"/>
          <w:szCs w:val="21"/>
          <w:shd w:val="clear" w:color="auto" w:fill="FFFFFF"/>
        </w:rPr>
      </w:r>
      <w:r w:rsidR="00081C4F">
        <w:rPr>
          <w:rFonts w:ascii="Roboto" w:hAnsi="Roboto"/>
          <w:color w:val="5E5E5E"/>
          <w:sz w:val="21"/>
          <w:szCs w:val="21"/>
          <w:shd w:val="clear" w:color="auto" w:fill="FFFFFF"/>
        </w:rPr>
        <w:fldChar w:fldCharType="separate"/>
      </w:r>
      <w:r w:rsidR="00081C4F" w:rsidRPr="00700B55">
        <w:rPr>
          <w:rStyle w:val="Hipervnculo"/>
          <w:rFonts w:ascii="Roboto" w:hAnsi="Roboto"/>
          <w:sz w:val="21"/>
          <w:szCs w:val="21"/>
          <w:shd w:val="clear" w:color="auto" w:fill="FFFFFF"/>
        </w:rPr>
        <w:t>gdetomi@usp.br</w:t>
      </w:r>
      <w:r w:rsidR="00081C4F">
        <w:rPr>
          <w:rFonts w:ascii="Roboto" w:hAnsi="Roboto"/>
          <w:color w:val="5E5E5E"/>
          <w:sz w:val="21"/>
          <w:szCs w:val="21"/>
          <w:shd w:val="clear" w:color="auto" w:fill="FFFFFF"/>
        </w:rPr>
        <w:fldChar w:fldCharType="end"/>
      </w:r>
      <w:r w:rsidR="00081C4F">
        <w:rPr>
          <w:rFonts w:ascii="Arial" w:hAnsi="Arial" w:cs="Arial"/>
          <w:sz w:val="22"/>
          <w:szCs w:val="22"/>
        </w:rPr>
        <w:t>, +55 11 99900-</w:t>
      </w:r>
      <w:proofErr w:type="gramStart"/>
      <w:r w:rsidR="00081C4F">
        <w:rPr>
          <w:rFonts w:ascii="Arial" w:hAnsi="Arial" w:cs="Arial"/>
          <w:sz w:val="22"/>
          <w:szCs w:val="22"/>
        </w:rPr>
        <w:t xml:space="preserve">4480 </w:t>
      </w:r>
      <w:r w:rsidR="004E233B" w:rsidRPr="000270E6">
        <w:rPr>
          <w:rFonts w:ascii="Arial" w:hAnsi="Arial" w:cs="Arial"/>
          <w:sz w:val="22"/>
          <w:szCs w:val="22"/>
        </w:rPr>
        <w:t>)</w:t>
      </w:r>
      <w:proofErr w:type="gramEnd"/>
    </w:p>
    <w:p w14:paraId="42271F3F" w14:textId="6FE9DF6C"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rPr>
      </w:pPr>
    </w:p>
    <w:p w14:paraId="350E87C9" w14:textId="77777777" w:rsidR="000A599E" w:rsidRPr="000270E6" w:rsidRDefault="000A599E" w:rsidP="00650F70">
      <w:pPr>
        <w:jc w:val="both"/>
        <w:rPr>
          <w:rFonts w:ascii="Arial" w:hAnsi="Arial" w:cs="Arial"/>
          <w:b/>
          <w:sz w:val="22"/>
          <w:szCs w:val="22"/>
        </w:rPr>
        <w:sectPr w:rsidR="000A599E" w:rsidRPr="000270E6">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rPr>
      </w:pPr>
      <w:r w:rsidRPr="000270E6">
        <w:rPr>
          <w:rFonts w:ascii="Arial" w:hAnsi="Arial" w:cs="Arial"/>
          <w:b/>
          <w:sz w:val="22"/>
          <w:szCs w:val="22"/>
        </w:rPr>
        <w:t>RESUMEN</w:t>
      </w:r>
    </w:p>
    <w:p w14:paraId="0C58EFE0" w14:textId="77777777" w:rsidR="00AE5B86" w:rsidRPr="000270E6" w:rsidRDefault="00AE5B86" w:rsidP="00650F70">
      <w:pPr>
        <w:jc w:val="both"/>
        <w:rPr>
          <w:rFonts w:ascii="Arial" w:hAnsi="Arial" w:cs="Arial"/>
          <w:b/>
          <w:sz w:val="22"/>
          <w:szCs w:val="22"/>
        </w:rPr>
      </w:pPr>
    </w:p>
    <w:p w14:paraId="411502C2" w14:textId="77777777" w:rsidR="00AE5B86" w:rsidRPr="00AE5B86" w:rsidRDefault="00AE5B86" w:rsidP="00AE5B86">
      <w:pPr>
        <w:jc w:val="both"/>
        <w:rPr>
          <w:rFonts w:ascii="Arial" w:hAnsi="Arial" w:cs="Arial"/>
          <w:bCs/>
          <w:sz w:val="22"/>
          <w:szCs w:val="22"/>
        </w:rPr>
      </w:pPr>
      <w:r w:rsidRPr="00AE5B86">
        <w:rPr>
          <w:rFonts w:ascii="Arial" w:hAnsi="Arial" w:cs="Arial"/>
          <w:bCs/>
          <w:sz w:val="22"/>
          <w:szCs w:val="22"/>
        </w:rPr>
        <w:t>En el contexto de la transición energética global, el cobre se ha consolidado como un insumo esencial para tecnologías limpias, electromovilidad e infraestructuras de descarbonización. Perú, como segundo productor mundial de cobre y con vastas reservas aún por desarrollar, posee una posición geoestratégica clave. No obstante, esta ventaja no se ha traducido en una política pública articulada que reconozca al cobre como recurso crítico ni como eje de soberanía tecnológica, equidad territorial y sostenibilidad climática. Mientras países como Estados Unidos, la Unión Europea o Brasil han avanzado con marcos robustos sobre minerales estratégicos, el tratamiento del cobre en la política peruana ha sido fragmentado y tardío.</w:t>
      </w:r>
    </w:p>
    <w:p w14:paraId="5E179F7F" w14:textId="77777777" w:rsidR="00AE5B86" w:rsidRPr="00AE5B86" w:rsidRDefault="00AE5B86" w:rsidP="00AE5B86">
      <w:pPr>
        <w:jc w:val="both"/>
        <w:rPr>
          <w:rFonts w:ascii="Arial" w:hAnsi="Arial" w:cs="Arial"/>
          <w:bCs/>
          <w:sz w:val="22"/>
          <w:szCs w:val="22"/>
        </w:rPr>
      </w:pPr>
    </w:p>
    <w:p w14:paraId="4B4EAEDE" w14:textId="706AD601" w:rsidR="00AE5B86" w:rsidRPr="00AE5B86" w:rsidRDefault="00AE5B86" w:rsidP="00AE5B86">
      <w:pPr>
        <w:jc w:val="both"/>
        <w:rPr>
          <w:rFonts w:ascii="Arial" w:hAnsi="Arial" w:cs="Arial"/>
          <w:bCs/>
          <w:sz w:val="22"/>
          <w:szCs w:val="22"/>
        </w:rPr>
      </w:pPr>
      <w:r w:rsidRPr="00AE5B86">
        <w:rPr>
          <w:rFonts w:ascii="Arial" w:hAnsi="Arial" w:cs="Arial"/>
          <w:bCs/>
          <w:sz w:val="22"/>
          <w:szCs w:val="22"/>
        </w:rPr>
        <w:t xml:space="preserve">Este estudio responde a la necesidad urgente de evaluar si las políticas públicas peruanas implementadas entre 2010 y 2024 han considerado al cobre como un recurso estratégico en el marco de una transición energética justa. Se aplicó un enfoque cualitativo-documental, mediante una codificación analítica de nueve instrumentos oficiales </w:t>
      </w:r>
      <w:r>
        <w:rPr>
          <w:rFonts w:ascii="Arial" w:hAnsi="Arial" w:cs="Arial"/>
          <w:bCs/>
          <w:sz w:val="22"/>
          <w:szCs w:val="22"/>
        </w:rPr>
        <w:t xml:space="preserve">sobre </w:t>
      </w:r>
      <w:r w:rsidRPr="00AE5B86">
        <w:rPr>
          <w:rFonts w:ascii="Arial" w:hAnsi="Arial" w:cs="Arial"/>
          <w:bCs/>
          <w:sz w:val="22"/>
          <w:szCs w:val="22"/>
        </w:rPr>
        <w:t>leyes, planes nacionales, estrategias públicas y cooperación técnica</w:t>
      </w:r>
      <w:r>
        <w:rPr>
          <w:rFonts w:ascii="Arial" w:hAnsi="Arial" w:cs="Arial"/>
          <w:bCs/>
          <w:sz w:val="22"/>
          <w:szCs w:val="22"/>
        </w:rPr>
        <w:t>,</w:t>
      </w:r>
      <w:r w:rsidRPr="00AE5B86">
        <w:rPr>
          <w:rFonts w:ascii="Arial" w:hAnsi="Arial" w:cs="Arial"/>
          <w:bCs/>
          <w:sz w:val="22"/>
          <w:szCs w:val="22"/>
        </w:rPr>
        <w:t xml:space="preserve"> revisados según tres dimensiones: soberanía mineral, transición energética con justicia territorial y sostenibilidad ambiental y social.</w:t>
      </w:r>
    </w:p>
    <w:p w14:paraId="24974B6C" w14:textId="77777777" w:rsidR="00AE5B86" w:rsidRPr="00AE5B86" w:rsidRDefault="00AE5B86" w:rsidP="00AE5B86">
      <w:pPr>
        <w:jc w:val="both"/>
        <w:rPr>
          <w:rFonts w:ascii="Arial" w:hAnsi="Arial" w:cs="Arial"/>
          <w:bCs/>
          <w:sz w:val="22"/>
          <w:szCs w:val="22"/>
        </w:rPr>
      </w:pPr>
    </w:p>
    <w:p w14:paraId="5B3540BB" w14:textId="77777777" w:rsidR="00AE5B86" w:rsidRPr="00AE5B86" w:rsidRDefault="00AE5B86" w:rsidP="00AE5B86">
      <w:pPr>
        <w:jc w:val="both"/>
        <w:rPr>
          <w:rFonts w:ascii="Arial" w:hAnsi="Arial" w:cs="Arial"/>
          <w:bCs/>
          <w:sz w:val="22"/>
          <w:szCs w:val="22"/>
        </w:rPr>
      </w:pPr>
      <w:r w:rsidRPr="00AE5B86">
        <w:rPr>
          <w:rFonts w:ascii="Arial" w:hAnsi="Arial" w:cs="Arial"/>
          <w:bCs/>
          <w:sz w:val="22"/>
          <w:szCs w:val="22"/>
        </w:rPr>
        <w:t xml:space="preserve">Los hallazgos revelan que solo el 22% de los documentos (dos de nueve) reconoce al cobre como mineral crítico o plantea mecanismos para fortalecer su gobernanza con valor agregado. A pesar de algunas menciones a la transición energética o sostenibilidad en los últimos años, no se han integrado de forma coherente con la cadena de valor del cobre ni se han promovido incentivos o normativas redistributivas orientadas a las regiones productoras. Esta falta de visión integral limita la </w:t>
      </w:r>
      <w:r w:rsidRPr="00AE5B86">
        <w:rPr>
          <w:rFonts w:ascii="Arial" w:hAnsi="Arial" w:cs="Arial"/>
          <w:bCs/>
          <w:sz w:val="22"/>
          <w:szCs w:val="22"/>
        </w:rPr>
        <w:t>capacidad del Estado para aprovechar el recurso en función del desarrollo nacional, la justicia climática y la competitividad tecnológica.</w:t>
      </w:r>
    </w:p>
    <w:p w14:paraId="25011F40" w14:textId="77777777" w:rsidR="00AE5B86" w:rsidRPr="00AE5B86" w:rsidRDefault="00AE5B86" w:rsidP="00AE5B86">
      <w:pPr>
        <w:jc w:val="both"/>
        <w:rPr>
          <w:rFonts w:ascii="Arial" w:hAnsi="Arial" w:cs="Arial"/>
          <w:bCs/>
          <w:sz w:val="22"/>
          <w:szCs w:val="22"/>
        </w:rPr>
      </w:pPr>
    </w:p>
    <w:p w14:paraId="510A3F73" w14:textId="3718A182" w:rsidR="00BC4D43" w:rsidRDefault="00AE5B86" w:rsidP="00AE5B86">
      <w:pPr>
        <w:jc w:val="both"/>
        <w:rPr>
          <w:rFonts w:ascii="Arial" w:hAnsi="Arial" w:cs="Arial"/>
          <w:bCs/>
          <w:sz w:val="22"/>
          <w:szCs w:val="22"/>
        </w:rPr>
      </w:pPr>
      <w:r w:rsidRPr="00AE5B86">
        <w:rPr>
          <w:rFonts w:ascii="Arial" w:hAnsi="Arial" w:cs="Arial"/>
          <w:bCs/>
          <w:sz w:val="22"/>
          <w:szCs w:val="22"/>
        </w:rPr>
        <w:t>El estudio concluye que existe una oportunidad estratégica para que el Perú formule una política nacional de minerales críticos, que articule gobernanza descentralizada, transición energética justa y soberanía climática. Esta debe ser construida con participación regional y alinearse con marcos internacionales vigentes, reposicionando al cobre no solo como activo de exportación, sino como palanca para un modelo de desarrollo sostenible y autónomo al 2030.</w:t>
      </w:r>
    </w:p>
    <w:p w14:paraId="2EF4D14A" w14:textId="77777777" w:rsidR="00AE5B86" w:rsidRPr="000270E6" w:rsidRDefault="00AE5B86" w:rsidP="00AE5B86">
      <w:pPr>
        <w:jc w:val="both"/>
        <w:rPr>
          <w:rFonts w:ascii="Arial" w:hAnsi="Arial" w:cs="Arial"/>
          <w:b/>
          <w:sz w:val="22"/>
          <w:szCs w:val="22"/>
        </w:rPr>
      </w:pPr>
    </w:p>
    <w:p w14:paraId="113109B4" w14:textId="77777777" w:rsidR="00441B34" w:rsidRPr="000270E6" w:rsidRDefault="00F7409F" w:rsidP="00650F70">
      <w:pPr>
        <w:jc w:val="both"/>
        <w:rPr>
          <w:rFonts w:ascii="Arial" w:hAnsi="Arial" w:cs="Arial"/>
          <w:b/>
          <w:sz w:val="22"/>
          <w:szCs w:val="22"/>
        </w:rPr>
      </w:pPr>
      <w:r w:rsidRPr="000270E6">
        <w:rPr>
          <w:rFonts w:ascii="Arial" w:hAnsi="Arial" w:cs="Arial"/>
          <w:b/>
          <w:sz w:val="22"/>
          <w:szCs w:val="22"/>
        </w:rPr>
        <w:t xml:space="preserve">1. </w:t>
      </w:r>
      <w:r w:rsidR="002C3EBB" w:rsidRPr="000270E6">
        <w:rPr>
          <w:rFonts w:ascii="Arial" w:hAnsi="Arial" w:cs="Arial"/>
          <w:b/>
          <w:sz w:val="22"/>
          <w:szCs w:val="22"/>
        </w:rPr>
        <w:t>I</w:t>
      </w:r>
      <w:r w:rsidR="00314F9E" w:rsidRPr="000270E6">
        <w:rPr>
          <w:rFonts w:ascii="Arial" w:hAnsi="Arial" w:cs="Arial"/>
          <w:b/>
          <w:sz w:val="22"/>
          <w:szCs w:val="22"/>
        </w:rPr>
        <w:t xml:space="preserve">ntroducción </w:t>
      </w:r>
    </w:p>
    <w:p w14:paraId="40DBA56F" w14:textId="77777777" w:rsidR="00D10B9F" w:rsidRDefault="00D10B9F" w:rsidP="00D10B9F">
      <w:pPr>
        <w:jc w:val="both"/>
        <w:rPr>
          <w:rFonts w:ascii="Arial" w:hAnsi="Arial" w:cs="Arial"/>
          <w:sz w:val="22"/>
          <w:szCs w:val="22"/>
        </w:rPr>
      </w:pPr>
    </w:p>
    <w:p w14:paraId="7BCA9790" w14:textId="4495C60C" w:rsidR="00D10B9F" w:rsidRPr="00D10B9F" w:rsidRDefault="00D10B9F" w:rsidP="00D10B9F">
      <w:pPr>
        <w:jc w:val="both"/>
        <w:rPr>
          <w:rFonts w:ascii="Arial" w:hAnsi="Arial" w:cs="Arial"/>
          <w:sz w:val="22"/>
          <w:szCs w:val="22"/>
        </w:rPr>
      </w:pPr>
      <w:r w:rsidRPr="00D10B9F">
        <w:rPr>
          <w:rFonts w:ascii="Arial" w:hAnsi="Arial" w:cs="Arial"/>
          <w:sz w:val="22"/>
          <w:szCs w:val="22"/>
        </w:rPr>
        <w:t>En el siglo XXI, el cobre se ha consolidado como un recurso esencial para la transición energética global, siendo indispensable en tecnologías limpias, infraestructura eléctrica, movilidad sostenible e industrialización baja en carbono (IEA, 2021; CEPAL, 2022). En este nuevo orden energético, los minerales críticos se han convertido en activos estratégicos que inciden directamente en la autonomía tecnológica, la seguridad energética y la competitividad de los países.</w:t>
      </w:r>
    </w:p>
    <w:p w14:paraId="262558AA" w14:textId="77777777" w:rsidR="00D10B9F" w:rsidRPr="00D10B9F" w:rsidRDefault="00D10B9F" w:rsidP="00D10B9F">
      <w:pPr>
        <w:ind w:firstLine="142"/>
        <w:jc w:val="both"/>
        <w:rPr>
          <w:rFonts w:ascii="Arial" w:hAnsi="Arial" w:cs="Arial"/>
          <w:sz w:val="22"/>
          <w:szCs w:val="22"/>
        </w:rPr>
      </w:pPr>
    </w:p>
    <w:p w14:paraId="01C73439" w14:textId="77777777" w:rsidR="00D10B9F" w:rsidRPr="00D10B9F" w:rsidRDefault="00D10B9F" w:rsidP="009303AD">
      <w:pPr>
        <w:jc w:val="both"/>
        <w:rPr>
          <w:rFonts w:ascii="Arial" w:hAnsi="Arial" w:cs="Arial"/>
          <w:sz w:val="22"/>
          <w:szCs w:val="22"/>
        </w:rPr>
      </w:pPr>
      <w:r w:rsidRPr="00D10B9F">
        <w:rPr>
          <w:rFonts w:ascii="Arial" w:hAnsi="Arial" w:cs="Arial"/>
          <w:sz w:val="22"/>
          <w:szCs w:val="22"/>
        </w:rPr>
        <w:t xml:space="preserve">Perú, como segundo mayor productor mundial de cobre y con importantes reservas aún por desarrollar, posee una posición geopolítica privilegiada. Sin embargo, esta ventaja estratégica no ha sido plenamente articulada en una política de Estado que reconozca al cobre como recurso crítico para su desarrollo soberano. En contraste, potencias como Estados Unidos, la Unión Europea o Brasil han establecido políticas integrales para garantizar el acceso, control y procesamiento de minerales estratégicos. Ejemplo de ello son la Inflation Reduction Act (EE.UU., 2022), la Ley de </w:t>
      </w:r>
      <w:r w:rsidRPr="00D10B9F">
        <w:rPr>
          <w:rFonts w:ascii="Arial" w:hAnsi="Arial" w:cs="Arial"/>
          <w:sz w:val="22"/>
          <w:szCs w:val="22"/>
        </w:rPr>
        <w:lastRenderedPageBreak/>
        <w:t>Materias Primas Críticas (UE, 2023) y la Agenda de Minerais Estratégicos de Brasil (MME, 2023).</w:t>
      </w:r>
    </w:p>
    <w:p w14:paraId="522B269A" w14:textId="77777777" w:rsidR="00D10B9F" w:rsidRPr="00D10B9F" w:rsidRDefault="00D10B9F" w:rsidP="00D10B9F">
      <w:pPr>
        <w:ind w:firstLine="142"/>
        <w:jc w:val="both"/>
        <w:rPr>
          <w:rFonts w:ascii="Arial" w:hAnsi="Arial" w:cs="Arial"/>
          <w:sz w:val="22"/>
          <w:szCs w:val="22"/>
        </w:rPr>
      </w:pPr>
    </w:p>
    <w:p w14:paraId="5C74CF1E" w14:textId="77777777" w:rsidR="00D10B9F" w:rsidRPr="00D10B9F" w:rsidRDefault="00D10B9F" w:rsidP="009303AD">
      <w:pPr>
        <w:jc w:val="both"/>
        <w:rPr>
          <w:rFonts w:ascii="Arial" w:hAnsi="Arial" w:cs="Arial"/>
          <w:sz w:val="22"/>
          <w:szCs w:val="22"/>
        </w:rPr>
      </w:pPr>
      <w:r w:rsidRPr="00D10B9F">
        <w:rPr>
          <w:rFonts w:ascii="Arial" w:hAnsi="Arial" w:cs="Arial"/>
          <w:sz w:val="22"/>
          <w:szCs w:val="22"/>
        </w:rPr>
        <w:t>En este contexto, cobra especial relevancia el concepto de soberanía mineral, entendido como la capacidad del Estado para decidir, regular y aprovechar sus recursos estratégicos en beneficio del bienestar nacional, asegurando al mismo tiempo el cumplimiento de metas ambientales, climáticas y de justicia social (Acquatella, 2022; Tomi &amp; Giannetti, 2023). La disputa internacional por minerales críticos no solo pone presión sobre el suministro global, sino que también redefine el rol de los países productores y exige marcos normativos sólidos para no quedar relegados a una función meramente extractiva.</w:t>
      </w:r>
    </w:p>
    <w:p w14:paraId="083A9555" w14:textId="77777777" w:rsidR="00D10B9F" w:rsidRPr="00D10B9F" w:rsidRDefault="00D10B9F" w:rsidP="00D10B9F">
      <w:pPr>
        <w:ind w:firstLine="142"/>
        <w:jc w:val="both"/>
        <w:rPr>
          <w:rFonts w:ascii="Arial" w:hAnsi="Arial" w:cs="Arial"/>
          <w:sz w:val="22"/>
          <w:szCs w:val="22"/>
        </w:rPr>
      </w:pPr>
    </w:p>
    <w:p w14:paraId="4A7F92C7" w14:textId="77777777" w:rsidR="00D10B9F" w:rsidRPr="00D10B9F" w:rsidRDefault="00D10B9F" w:rsidP="009303AD">
      <w:pPr>
        <w:jc w:val="both"/>
        <w:rPr>
          <w:rFonts w:ascii="Arial" w:hAnsi="Arial" w:cs="Arial"/>
          <w:sz w:val="22"/>
          <w:szCs w:val="22"/>
        </w:rPr>
      </w:pPr>
      <w:r w:rsidRPr="00D10B9F">
        <w:rPr>
          <w:rFonts w:ascii="Arial" w:hAnsi="Arial" w:cs="Arial"/>
          <w:sz w:val="22"/>
          <w:szCs w:val="22"/>
        </w:rPr>
        <w:t>Perú ha tenido avances relevantes en los últimos años: la adhesión a la Iniciativa para la Transparencia de las Industrias Extractivas (EITI), la formulación de la Visión de la Minería al 2030, y la firma de memorandos de entendimiento con países como EE.UU. o Japón para cooperación en cadenas de suministro responsables. No obstante, aún no cuenta con un marco específico que reconozca al cobre como recurso estratégico ni que articule incentivos, regulación e inversión pública orientados a una transición energética justa y soberana (FMI, 2024; MINEM, 2023).</w:t>
      </w:r>
    </w:p>
    <w:p w14:paraId="1B2EBF47" w14:textId="77777777" w:rsidR="00D10B9F" w:rsidRPr="00D10B9F" w:rsidRDefault="00D10B9F" w:rsidP="00D10B9F">
      <w:pPr>
        <w:ind w:firstLine="142"/>
        <w:jc w:val="both"/>
        <w:rPr>
          <w:rFonts w:ascii="Arial" w:hAnsi="Arial" w:cs="Arial"/>
          <w:sz w:val="22"/>
          <w:szCs w:val="22"/>
        </w:rPr>
      </w:pPr>
    </w:p>
    <w:p w14:paraId="4C9C5BF1" w14:textId="6B6CB83E" w:rsidR="00E70586" w:rsidRDefault="00D10B9F" w:rsidP="009303AD">
      <w:pPr>
        <w:jc w:val="both"/>
        <w:rPr>
          <w:rFonts w:ascii="Arial" w:hAnsi="Arial" w:cs="Arial"/>
          <w:sz w:val="22"/>
          <w:szCs w:val="22"/>
        </w:rPr>
      </w:pPr>
      <w:r w:rsidRPr="00D10B9F">
        <w:rPr>
          <w:rFonts w:ascii="Arial" w:hAnsi="Arial" w:cs="Arial"/>
          <w:sz w:val="22"/>
          <w:szCs w:val="22"/>
        </w:rPr>
        <w:t>Este estudio se propone analizar críticamente las políticas públicas adoptadas en Perú entre 2010 y 2024 vinculadas a la producción de cobre, evaluando si responden a una estrategia de soberanía mineral y transición energética justa, en el contexto global de competencia por minerales críticos. A través de una revisión documental estructurada, se busca identificar las capacidades institucionales, los vacíos regulatorios y las oportunidades para reposicionar al cobre como palanca del desarrollo nacional sostenible, inclusivo y tecnológicamente autónomo.</w:t>
      </w:r>
    </w:p>
    <w:p w14:paraId="4E12DC2F" w14:textId="77777777" w:rsidR="00D10B9F" w:rsidRDefault="00D10B9F" w:rsidP="008278F7">
      <w:pPr>
        <w:jc w:val="both"/>
        <w:rPr>
          <w:rFonts w:ascii="Arial" w:hAnsi="Arial" w:cs="Arial"/>
          <w:bCs/>
          <w:sz w:val="22"/>
          <w:szCs w:val="22"/>
        </w:rPr>
      </w:pPr>
    </w:p>
    <w:p w14:paraId="597C9E3E" w14:textId="77777777" w:rsidR="008278F7" w:rsidRPr="000270E6" w:rsidRDefault="008278F7" w:rsidP="008278F7">
      <w:pPr>
        <w:jc w:val="both"/>
        <w:rPr>
          <w:rFonts w:ascii="Arial" w:hAnsi="Arial" w:cs="Arial"/>
          <w:b/>
          <w:bCs/>
          <w:sz w:val="22"/>
          <w:szCs w:val="22"/>
        </w:rPr>
      </w:pPr>
      <w:r w:rsidRPr="000270E6">
        <w:rPr>
          <w:rFonts w:ascii="Arial" w:hAnsi="Arial" w:cs="Arial"/>
          <w:b/>
          <w:bCs/>
          <w:sz w:val="22"/>
          <w:szCs w:val="22"/>
        </w:rPr>
        <w:t>2. Objetivos</w:t>
      </w:r>
      <w:r w:rsidRPr="000270E6">
        <w:rPr>
          <w:rFonts w:ascii="Arial" w:hAnsi="Arial" w:cs="Arial"/>
          <w:b/>
          <w:bCs/>
          <w:color w:val="808080"/>
          <w:sz w:val="22"/>
          <w:szCs w:val="22"/>
        </w:rPr>
        <w:t xml:space="preserve"> </w:t>
      </w:r>
    </w:p>
    <w:p w14:paraId="1CCF8A5D" w14:textId="77777777" w:rsidR="008278F7" w:rsidRPr="000270E6" w:rsidRDefault="008278F7" w:rsidP="008278F7">
      <w:pPr>
        <w:jc w:val="both"/>
        <w:rPr>
          <w:rFonts w:ascii="Arial" w:hAnsi="Arial" w:cs="Arial"/>
          <w:b/>
          <w:bCs/>
          <w:sz w:val="22"/>
          <w:szCs w:val="22"/>
        </w:rPr>
      </w:pPr>
    </w:p>
    <w:p w14:paraId="73929575" w14:textId="79FF8E68" w:rsidR="008278F7" w:rsidRPr="00F60ACE" w:rsidRDefault="00CE56F9" w:rsidP="008278F7">
      <w:pPr>
        <w:jc w:val="both"/>
        <w:rPr>
          <w:rFonts w:ascii="Arial" w:hAnsi="Arial" w:cs="Arial"/>
          <w:sz w:val="22"/>
          <w:szCs w:val="22"/>
        </w:rPr>
      </w:pPr>
      <w:r w:rsidRPr="00F60ACE">
        <w:rPr>
          <w:rFonts w:ascii="Arial" w:hAnsi="Arial" w:cs="Arial"/>
          <w:sz w:val="22"/>
          <w:szCs w:val="22"/>
        </w:rPr>
        <w:t>Este estudio tiene como objetivo evaluar si el Estado peruano ha implementado leyes, inversiones o incentivos específicos para promover la producción de cobre como recurso estratégico, en función de su contribución a la soberanía nacional y una transición energética justa. El análisis considera el contexto internacional de creciente disputa por minerales críticos y busca identificar avances, vacíos y oportunidades en la política pública, evaluando su coherencia con los principios de sostenibilidad, equidad territorial y la agenda climática.</w:t>
      </w:r>
    </w:p>
    <w:p w14:paraId="72626EF2" w14:textId="77777777" w:rsidR="00CE56F9" w:rsidRPr="000270E6" w:rsidRDefault="00CE56F9" w:rsidP="008278F7">
      <w:pPr>
        <w:jc w:val="both"/>
        <w:rPr>
          <w:rFonts w:ascii="Arial" w:hAnsi="Arial" w:cs="Arial"/>
          <w:bCs/>
          <w:sz w:val="22"/>
          <w:szCs w:val="22"/>
        </w:rPr>
      </w:pPr>
    </w:p>
    <w:p w14:paraId="6B7E657E" w14:textId="6FFF1CD6" w:rsidR="009303AD" w:rsidRPr="00E6670E" w:rsidRDefault="007D2A73" w:rsidP="002D1C36">
      <w:pPr>
        <w:jc w:val="both"/>
        <w:rPr>
          <w:rFonts w:ascii="Arial" w:hAnsi="Arial" w:cs="Arial"/>
          <w:b/>
          <w:bCs/>
          <w:sz w:val="22"/>
          <w:szCs w:val="22"/>
        </w:rPr>
      </w:pPr>
      <w:r w:rsidRPr="000270E6">
        <w:rPr>
          <w:rFonts w:ascii="Arial" w:hAnsi="Arial" w:cs="Arial"/>
          <w:b/>
          <w:bCs/>
          <w:sz w:val="22"/>
          <w:szCs w:val="22"/>
        </w:rPr>
        <w:t xml:space="preserve">3. </w:t>
      </w:r>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 de Datos y Desarrollo del Trabajo</w:t>
      </w:r>
    </w:p>
    <w:p w14:paraId="20504948" w14:textId="77777777" w:rsidR="00E6670E" w:rsidRPr="00E6670E" w:rsidRDefault="00E6670E" w:rsidP="00E6670E">
      <w:pPr>
        <w:spacing w:before="100" w:beforeAutospacing="1" w:after="100" w:afterAutospacing="1"/>
        <w:jc w:val="both"/>
        <w:rPr>
          <w:rFonts w:ascii="Arial" w:eastAsia="MS Mincho" w:hAnsi="Arial" w:cs="Arial"/>
          <w:sz w:val="22"/>
          <w:szCs w:val="22"/>
          <w:lang w:eastAsia="fr-FR"/>
        </w:rPr>
      </w:pPr>
      <w:r w:rsidRPr="00E6670E">
        <w:rPr>
          <w:rFonts w:ascii="Arial" w:eastAsia="MS Mincho" w:hAnsi="Arial" w:cs="Arial"/>
          <w:sz w:val="22"/>
          <w:szCs w:val="22"/>
          <w:lang w:eastAsia="fr-FR"/>
        </w:rPr>
        <w:t xml:space="preserve">El estudio adopta un enfoque cualitativo, documental y analítico, cuyo propósito es examinar las políticas públicas peruanas ligadas al cobre como recurso estratégico, bajo las perspectivas de soberanía nacional y transición energética justa. El periodo abarcado (2010–2024) permite estudiar la evolución normativa y programática del Estado peruano frente a la creciente presión internacional por minerales críticos, con especial atención a su rol en el cambio climático, la descarbonización de la economía global y las oportunidades de desarrollo territorial (IEA, </w:t>
      </w:r>
      <w:r w:rsidRPr="00E6670E">
        <w:rPr>
          <w:rFonts w:ascii="Arial" w:eastAsia="MS Mincho" w:hAnsi="Arial" w:cs="Arial" w:hint="cs"/>
          <w:sz w:val="22"/>
          <w:szCs w:val="22"/>
          <w:lang w:eastAsia="fr-FR"/>
        </w:rPr>
        <w:t>2021; CEPAL, 2022).</w:t>
      </w:r>
    </w:p>
    <w:p w14:paraId="431823D3" w14:textId="77777777" w:rsidR="00E6670E" w:rsidRPr="00E6670E" w:rsidRDefault="00E6670E" w:rsidP="00E6670E">
      <w:pPr>
        <w:spacing w:before="100" w:beforeAutospacing="1" w:after="100" w:afterAutospacing="1"/>
        <w:jc w:val="both"/>
        <w:rPr>
          <w:rFonts w:ascii="Arial" w:hAnsi="Arial" w:cs="Arial"/>
          <w:sz w:val="22"/>
          <w:szCs w:val="22"/>
        </w:rPr>
      </w:pPr>
      <w:r w:rsidRPr="00E6670E">
        <w:rPr>
          <w:rFonts w:ascii="Arial" w:eastAsia="MS Mincho" w:hAnsi="Arial" w:cs="Arial" w:hint="cs"/>
          <w:sz w:val="22"/>
          <w:szCs w:val="22"/>
          <w:lang w:eastAsia="fr-FR"/>
        </w:rPr>
        <w:t>Se revisaron documentos oficiales emitidos por el Estado (leyes, decretos legislativos, reglamentos, planes estratégicos, programas de inversión e iniciativas multisectoriales) obtenidos a partir de portales institucionales del MINEM, PCM, MEF, Congreso, ProInversión, INGEMMET y SNMPE. Además, se incorporaron documentos técnicos de cooperación internacional y multilaterales (CEPAL, BID, OCDE, IEA), y literatura gris</w:t>
      </w:r>
      <w:r w:rsidRPr="00E6670E">
        <w:rPr>
          <w:rFonts w:ascii="Arial" w:hAnsi="Arial" w:cs="Arial" w:hint="cs"/>
          <w:sz w:val="22"/>
          <w:szCs w:val="22"/>
        </w:rPr>
        <w:t xml:space="preserve"> proveniente de centros de investigación y ONG especializadas (CooperAcción, RedGE, DAR).</w:t>
      </w:r>
    </w:p>
    <w:p w14:paraId="1023393C" w14:textId="77777777" w:rsidR="00E6670E" w:rsidRPr="00E6670E" w:rsidRDefault="00E6670E" w:rsidP="00E6670E">
      <w:pPr>
        <w:spacing w:before="100" w:beforeAutospacing="1" w:after="100" w:afterAutospacing="1"/>
        <w:jc w:val="both"/>
        <w:rPr>
          <w:rFonts w:ascii="Arial" w:hAnsi="Arial" w:cs="Arial"/>
          <w:sz w:val="22"/>
          <w:szCs w:val="22"/>
        </w:rPr>
      </w:pPr>
      <w:r w:rsidRPr="00E6670E">
        <w:rPr>
          <w:rFonts w:ascii="Arial" w:hAnsi="Arial" w:cs="Arial" w:hint="cs"/>
          <w:sz w:val="22"/>
          <w:szCs w:val="22"/>
        </w:rPr>
        <w:t>La estrategia de búsqueda documental empleó palabras clave como "cobre Perú", "soberanía mineral", "transición energética", "minerales críticos" e "incentivos mineros". Estas se aplicaron en bases de datos académicas indexadas (Google Scholar, Scielo, Redalyc), así como en fuentes institucionales abiertas.</w:t>
      </w:r>
    </w:p>
    <w:p w14:paraId="325775A2" w14:textId="77777777" w:rsidR="00E6670E" w:rsidRPr="00E6670E" w:rsidRDefault="00E6670E" w:rsidP="00E6670E">
      <w:pPr>
        <w:spacing w:before="100" w:beforeAutospacing="1" w:after="100" w:afterAutospacing="1"/>
        <w:jc w:val="both"/>
        <w:rPr>
          <w:rFonts w:ascii="Arial" w:hAnsi="Arial" w:cs="Arial"/>
          <w:sz w:val="22"/>
          <w:szCs w:val="22"/>
        </w:rPr>
      </w:pPr>
      <w:r w:rsidRPr="00E6670E">
        <w:rPr>
          <w:rFonts w:ascii="Arial" w:hAnsi="Arial" w:cs="Arial" w:hint="cs"/>
          <w:b/>
          <w:bCs/>
          <w:sz w:val="22"/>
          <w:szCs w:val="22"/>
        </w:rPr>
        <w:t>3.1 Selección y sistematización</w:t>
      </w:r>
    </w:p>
    <w:p w14:paraId="6048A297" w14:textId="77777777" w:rsidR="00E6670E" w:rsidRPr="00E6670E" w:rsidRDefault="00E6670E" w:rsidP="00E6670E">
      <w:pPr>
        <w:spacing w:before="100" w:beforeAutospacing="1" w:after="100" w:afterAutospacing="1"/>
        <w:jc w:val="both"/>
        <w:rPr>
          <w:rFonts w:ascii="Arial" w:hAnsi="Arial" w:cs="Arial"/>
          <w:sz w:val="22"/>
          <w:szCs w:val="22"/>
        </w:rPr>
      </w:pPr>
      <w:r w:rsidRPr="00E6670E">
        <w:rPr>
          <w:rFonts w:ascii="Arial" w:hAnsi="Arial" w:cs="Arial" w:hint="cs"/>
          <w:sz w:val="22"/>
          <w:szCs w:val="22"/>
        </w:rPr>
        <w:t>Se establecieron los siguientes criterios de inclusión:</w:t>
      </w:r>
    </w:p>
    <w:p w14:paraId="5D92536B" w14:textId="77777777" w:rsidR="00E6670E" w:rsidRPr="00E6670E" w:rsidRDefault="00E6670E" w:rsidP="00E6670E">
      <w:pPr>
        <w:numPr>
          <w:ilvl w:val="0"/>
          <w:numId w:val="4"/>
        </w:numPr>
        <w:spacing w:before="100" w:beforeAutospacing="1" w:after="100" w:afterAutospacing="1"/>
        <w:jc w:val="both"/>
        <w:rPr>
          <w:rFonts w:ascii="Arial" w:hAnsi="Arial" w:cs="Arial"/>
          <w:sz w:val="22"/>
          <w:szCs w:val="22"/>
        </w:rPr>
      </w:pPr>
      <w:r w:rsidRPr="00E6670E">
        <w:rPr>
          <w:rFonts w:ascii="Arial" w:hAnsi="Arial" w:cs="Arial" w:hint="cs"/>
          <w:sz w:val="22"/>
          <w:szCs w:val="22"/>
        </w:rPr>
        <w:t>Vigencia temporal: 2010 a 2024.</w:t>
      </w:r>
    </w:p>
    <w:p w14:paraId="51972489" w14:textId="77777777" w:rsidR="00E6670E" w:rsidRPr="00E6670E" w:rsidRDefault="00E6670E" w:rsidP="00E6670E">
      <w:pPr>
        <w:numPr>
          <w:ilvl w:val="0"/>
          <w:numId w:val="4"/>
        </w:numPr>
        <w:spacing w:before="100" w:beforeAutospacing="1" w:after="100" w:afterAutospacing="1"/>
        <w:jc w:val="both"/>
        <w:rPr>
          <w:rFonts w:ascii="Arial" w:hAnsi="Arial" w:cs="Arial"/>
          <w:sz w:val="22"/>
          <w:szCs w:val="22"/>
        </w:rPr>
      </w:pPr>
      <w:r w:rsidRPr="00E6670E">
        <w:rPr>
          <w:rFonts w:ascii="Arial" w:hAnsi="Arial" w:cs="Arial" w:hint="cs"/>
          <w:sz w:val="22"/>
          <w:szCs w:val="22"/>
        </w:rPr>
        <w:t>Oficialidad: documentos emitidos por el Estado peruano o agencias de cooperación internacional.</w:t>
      </w:r>
    </w:p>
    <w:p w14:paraId="2E616E7E" w14:textId="77777777" w:rsidR="00E6670E" w:rsidRPr="00E6670E" w:rsidRDefault="00E6670E" w:rsidP="00E6670E">
      <w:pPr>
        <w:numPr>
          <w:ilvl w:val="0"/>
          <w:numId w:val="4"/>
        </w:numPr>
        <w:spacing w:before="100" w:beforeAutospacing="1" w:after="100" w:afterAutospacing="1"/>
        <w:jc w:val="both"/>
        <w:rPr>
          <w:rFonts w:ascii="Arial" w:hAnsi="Arial" w:cs="Arial"/>
          <w:sz w:val="22"/>
          <w:szCs w:val="22"/>
        </w:rPr>
      </w:pPr>
      <w:r w:rsidRPr="00E6670E">
        <w:rPr>
          <w:rFonts w:ascii="Arial" w:hAnsi="Arial" w:cs="Arial" w:hint="cs"/>
          <w:sz w:val="22"/>
          <w:szCs w:val="22"/>
        </w:rPr>
        <w:t>Relevancia temática: articulación directa con la gobernanza, producción, regulación o aprovechamiento del cobre.</w:t>
      </w:r>
    </w:p>
    <w:p w14:paraId="6AD89FA1" w14:textId="77777777" w:rsidR="00E6670E" w:rsidRPr="00E6670E" w:rsidRDefault="00E6670E" w:rsidP="00E6670E">
      <w:pPr>
        <w:spacing w:before="100" w:beforeAutospacing="1" w:after="100" w:afterAutospacing="1"/>
        <w:jc w:val="both"/>
        <w:rPr>
          <w:rFonts w:ascii="Arial" w:hAnsi="Arial" w:cs="Arial"/>
          <w:sz w:val="22"/>
          <w:szCs w:val="22"/>
        </w:rPr>
      </w:pPr>
      <w:r w:rsidRPr="00E6670E">
        <w:rPr>
          <w:rFonts w:ascii="Arial" w:hAnsi="Arial" w:cs="Arial" w:hint="cs"/>
          <w:sz w:val="22"/>
          <w:szCs w:val="22"/>
        </w:rPr>
        <w:t>Con base en ello, se organizó una matriz de extracción y codificación de datos según tres dimensiones clave:</w:t>
      </w:r>
    </w:p>
    <w:p w14:paraId="1370C4C0" w14:textId="77777777" w:rsidR="00E6670E" w:rsidRPr="00E6670E" w:rsidRDefault="00E6670E" w:rsidP="00E6670E">
      <w:pPr>
        <w:numPr>
          <w:ilvl w:val="0"/>
          <w:numId w:val="5"/>
        </w:numPr>
        <w:spacing w:before="100" w:beforeAutospacing="1" w:after="100" w:afterAutospacing="1"/>
        <w:jc w:val="both"/>
        <w:rPr>
          <w:rFonts w:ascii="Arial" w:hAnsi="Arial" w:cs="Arial"/>
          <w:sz w:val="22"/>
          <w:szCs w:val="22"/>
        </w:rPr>
      </w:pPr>
      <w:r w:rsidRPr="00E6670E">
        <w:rPr>
          <w:rFonts w:ascii="Arial" w:hAnsi="Arial" w:cs="Arial" w:hint="cs"/>
          <w:b/>
          <w:bCs/>
          <w:sz w:val="22"/>
          <w:szCs w:val="22"/>
        </w:rPr>
        <w:t>Soberanía mineral</w:t>
      </w:r>
      <w:r w:rsidRPr="00E6670E">
        <w:rPr>
          <w:rFonts w:ascii="Arial" w:hAnsi="Arial" w:cs="Arial" w:hint="cs"/>
          <w:sz w:val="22"/>
          <w:szCs w:val="22"/>
        </w:rPr>
        <w:t>: énfasis estratégico sobre el control estatal, valor agregado y gobernanza territorial del recurso.</w:t>
      </w:r>
    </w:p>
    <w:p w14:paraId="6838A488" w14:textId="77777777" w:rsidR="00E6670E" w:rsidRPr="00E6670E" w:rsidRDefault="00E6670E" w:rsidP="00E6670E">
      <w:pPr>
        <w:numPr>
          <w:ilvl w:val="0"/>
          <w:numId w:val="5"/>
        </w:numPr>
        <w:spacing w:before="100" w:beforeAutospacing="1" w:after="100" w:afterAutospacing="1"/>
        <w:jc w:val="both"/>
        <w:rPr>
          <w:rFonts w:ascii="Arial" w:hAnsi="Arial" w:cs="Arial"/>
          <w:sz w:val="22"/>
          <w:szCs w:val="22"/>
        </w:rPr>
      </w:pPr>
      <w:r w:rsidRPr="00E6670E">
        <w:rPr>
          <w:rFonts w:ascii="Arial" w:hAnsi="Arial" w:cs="Arial" w:hint="cs"/>
          <w:b/>
          <w:bCs/>
          <w:sz w:val="22"/>
          <w:szCs w:val="22"/>
        </w:rPr>
        <w:lastRenderedPageBreak/>
        <w:t>Transición energética justa</w:t>
      </w:r>
      <w:r w:rsidRPr="00E6670E">
        <w:rPr>
          <w:rFonts w:ascii="Arial" w:hAnsi="Arial" w:cs="Arial" w:hint="cs"/>
          <w:sz w:val="22"/>
          <w:szCs w:val="22"/>
        </w:rPr>
        <w:t>: integración del cobre en procesos de descarbonización con enfoque social y territorial.</w:t>
      </w:r>
    </w:p>
    <w:p w14:paraId="600CEABE" w14:textId="77777777" w:rsidR="00E6670E" w:rsidRPr="00E6670E" w:rsidRDefault="00E6670E" w:rsidP="00E6670E">
      <w:pPr>
        <w:numPr>
          <w:ilvl w:val="0"/>
          <w:numId w:val="5"/>
        </w:numPr>
        <w:spacing w:before="100" w:beforeAutospacing="1" w:after="100" w:afterAutospacing="1"/>
        <w:jc w:val="both"/>
        <w:rPr>
          <w:rFonts w:ascii="Arial" w:hAnsi="Arial" w:cs="Arial"/>
          <w:sz w:val="22"/>
          <w:szCs w:val="22"/>
        </w:rPr>
      </w:pPr>
      <w:r w:rsidRPr="00E6670E">
        <w:rPr>
          <w:rFonts w:ascii="Arial" w:hAnsi="Arial" w:cs="Arial" w:hint="cs"/>
          <w:b/>
          <w:bCs/>
          <w:sz w:val="22"/>
          <w:szCs w:val="22"/>
        </w:rPr>
        <w:t>Sostenibilidad</w:t>
      </w:r>
      <w:r w:rsidRPr="00E6670E">
        <w:rPr>
          <w:rFonts w:ascii="Arial" w:hAnsi="Arial" w:cs="Arial" w:hint="cs"/>
          <w:sz w:val="22"/>
          <w:szCs w:val="22"/>
        </w:rPr>
        <w:t>: evaluación ambiental, social y económica de las medidas propuestas.</w:t>
      </w:r>
    </w:p>
    <w:p w14:paraId="6A966618" w14:textId="77777777" w:rsidR="00E6670E" w:rsidRPr="00E6670E" w:rsidRDefault="00E6670E" w:rsidP="00E6670E">
      <w:pPr>
        <w:spacing w:before="100" w:beforeAutospacing="1" w:after="100" w:afterAutospacing="1"/>
        <w:jc w:val="both"/>
        <w:rPr>
          <w:rFonts w:ascii="Arial" w:hAnsi="Arial" w:cs="Arial"/>
          <w:sz w:val="22"/>
          <w:szCs w:val="22"/>
        </w:rPr>
      </w:pPr>
      <w:r w:rsidRPr="00E6670E">
        <w:rPr>
          <w:rFonts w:ascii="Arial" w:hAnsi="Arial" w:cs="Arial" w:hint="cs"/>
          <w:sz w:val="22"/>
          <w:szCs w:val="22"/>
        </w:rPr>
        <w:t>Cada documento fue evaluado en función del grado de integración de estas dimensiones, su nivel de operatividad, profundidad normativa y alcance territorial.</w:t>
      </w:r>
    </w:p>
    <w:p w14:paraId="26D79637" w14:textId="77777777" w:rsidR="00E6670E" w:rsidRPr="00E6670E" w:rsidRDefault="00E6670E" w:rsidP="00E6670E">
      <w:pPr>
        <w:spacing w:before="100" w:beforeAutospacing="1" w:after="100" w:afterAutospacing="1"/>
        <w:jc w:val="both"/>
        <w:rPr>
          <w:rFonts w:ascii="Arial" w:hAnsi="Arial" w:cs="Arial"/>
          <w:sz w:val="22"/>
          <w:szCs w:val="22"/>
        </w:rPr>
      </w:pPr>
      <w:r w:rsidRPr="00E6670E">
        <w:rPr>
          <w:rFonts w:ascii="Arial" w:hAnsi="Arial" w:cs="Arial" w:hint="cs"/>
          <w:b/>
          <w:bCs/>
          <w:sz w:val="22"/>
          <w:szCs w:val="22"/>
        </w:rPr>
        <w:t>Nota</w:t>
      </w:r>
      <w:r w:rsidRPr="00E6670E">
        <w:rPr>
          <w:rFonts w:ascii="Arial" w:hAnsi="Arial" w:cs="Arial" w:hint="cs"/>
          <w:sz w:val="22"/>
          <w:szCs w:val="22"/>
        </w:rPr>
        <w:t xml:space="preserve">: Dada la extensión de la matriz, esta se presenta como </w:t>
      </w:r>
      <w:r w:rsidRPr="00E6670E">
        <w:rPr>
          <w:rFonts w:ascii="Arial" w:hAnsi="Arial" w:cs="Arial" w:hint="cs"/>
          <w:i/>
          <w:iCs/>
          <w:sz w:val="22"/>
          <w:szCs w:val="22"/>
        </w:rPr>
        <w:t>Anexo 1: Matriz de análisis documental 2010–2024</w:t>
      </w:r>
      <w:r w:rsidRPr="00E6670E">
        <w:rPr>
          <w:rFonts w:ascii="Arial" w:hAnsi="Arial" w:cs="Arial" w:hint="cs"/>
          <w:sz w:val="22"/>
          <w:szCs w:val="22"/>
        </w:rPr>
        <w:t>.</w:t>
      </w:r>
    </w:p>
    <w:p w14:paraId="37AA7A3F" w14:textId="77777777" w:rsidR="00E6670E" w:rsidRPr="00E6670E" w:rsidRDefault="00E6670E" w:rsidP="00E6670E">
      <w:pPr>
        <w:spacing w:before="100" w:beforeAutospacing="1" w:after="100" w:afterAutospacing="1"/>
        <w:jc w:val="both"/>
        <w:rPr>
          <w:rFonts w:ascii="Arial" w:hAnsi="Arial" w:cs="Arial"/>
          <w:sz w:val="22"/>
          <w:szCs w:val="22"/>
        </w:rPr>
      </w:pPr>
      <w:r w:rsidRPr="00E6670E">
        <w:rPr>
          <w:rFonts w:ascii="Arial" w:hAnsi="Arial" w:cs="Arial" w:hint="cs"/>
          <w:b/>
          <w:bCs/>
          <w:sz w:val="22"/>
          <w:szCs w:val="22"/>
        </w:rPr>
        <w:t>3.2 Matriz de análisis documental (2010–2024)</w:t>
      </w:r>
    </w:p>
    <w:p w14:paraId="373797FA" w14:textId="7C833A43" w:rsidR="003D072A" w:rsidRPr="003D072A" w:rsidRDefault="003D072A" w:rsidP="003D072A">
      <w:pPr>
        <w:spacing w:before="100" w:beforeAutospacing="1" w:after="100" w:afterAutospacing="1"/>
        <w:jc w:val="both"/>
        <w:rPr>
          <w:rFonts w:ascii="Arial" w:hAnsi="Arial" w:cs="Arial"/>
          <w:sz w:val="22"/>
          <w:szCs w:val="22"/>
        </w:rPr>
      </w:pPr>
      <w:r w:rsidRPr="003D072A">
        <w:rPr>
          <w:rFonts w:ascii="Arial" w:hAnsi="Arial" w:cs="Arial"/>
          <w:sz w:val="22"/>
          <w:szCs w:val="22"/>
        </w:rPr>
        <w:t>La matriz final comprende nueve documentos oficiales emitidos entre 2010 y 2024, los cuales fueron seleccionados según su relevancia para los ejes analíticos del estudio: soberanía mineral, transición energética justa y sostenibilidad. Estos documentos incluyen:</w:t>
      </w:r>
    </w:p>
    <w:p w14:paraId="00291E32" w14:textId="16A61513" w:rsidR="003D072A" w:rsidRPr="003D072A" w:rsidRDefault="003D072A" w:rsidP="003D072A">
      <w:pPr>
        <w:pStyle w:val="Prrafodelista"/>
        <w:numPr>
          <w:ilvl w:val="0"/>
          <w:numId w:val="8"/>
        </w:numPr>
        <w:spacing w:before="100" w:beforeAutospacing="1" w:after="100" w:afterAutospacing="1"/>
        <w:jc w:val="both"/>
        <w:rPr>
          <w:rFonts w:ascii="Arial" w:hAnsi="Arial" w:cs="Arial"/>
          <w:sz w:val="22"/>
          <w:szCs w:val="22"/>
        </w:rPr>
      </w:pPr>
      <w:r w:rsidRPr="003D072A">
        <w:rPr>
          <w:rFonts w:ascii="Arial" w:hAnsi="Arial" w:cs="Arial"/>
          <w:sz w:val="22"/>
          <w:szCs w:val="22"/>
        </w:rPr>
        <w:t>Ley N° 29783 de Seguridad y Salud en el Trabajo (2010) – MTPE</w:t>
      </w:r>
    </w:p>
    <w:p w14:paraId="4C63D4F1" w14:textId="5AAC14C8" w:rsidR="003D072A" w:rsidRPr="003D072A" w:rsidRDefault="003D072A" w:rsidP="003D072A">
      <w:pPr>
        <w:pStyle w:val="Prrafodelista"/>
        <w:numPr>
          <w:ilvl w:val="0"/>
          <w:numId w:val="8"/>
        </w:numPr>
        <w:spacing w:before="100" w:beforeAutospacing="1" w:after="100" w:afterAutospacing="1"/>
        <w:jc w:val="both"/>
        <w:rPr>
          <w:rFonts w:ascii="Arial" w:hAnsi="Arial" w:cs="Arial"/>
          <w:sz w:val="22"/>
          <w:szCs w:val="22"/>
        </w:rPr>
      </w:pPr>
      <w:r w:rsidRPr="003D072A">
        <w:rPr>
          <w:rFonts w:ascii="Arial" w:hAnsi="Arial" w:cs="Arial"/>
          <w:sz w:val="22"/>
          <w:szCs w:val="22"/>
        </w:rPr>
        <w:t>Estrategia Nacional ante el Cambio Climático (2015) – MINAM</w:t>
      </w:r>
    </w:p>
    <w:p w14:paraId="1D9F9888" w14:textId="26D529AA" w:rsidR="003D072A" w:rsidRPr="003D072A" w:rsidRDefault="003D072A" w:rsidP="003D072A">
      <w:pPr>
        <w:pStyle w:val="Prrafodelista"/>
        <w:numPr>
          <w:ilvl w:val="0"/>
          <w:numId w:val="8"/>
        </w:numPr>
        <w:spacing w:before="100" w:beforeAutospacing="1" w:after="100" w:afterAutospacing="1"/>
        <w:jc w:val="both"/>
        <w:rPr>
          <w:rFonts w:ascii="Arial" w:hAnsi="Arial" w:cs="Arial"/>
          <w:sz w:val="22"/>
          <w:szCs w:val="22"/>
        </w:rPr>
      </w:pPr>
      <w:r w:rsidRPr="003D072A">
        <w:rPr>
          <w:rFonts w:ascii="Arial" w:hAnsi="Arial" w:cs="Arial"/>
          <w:sz w:val="22"/>
          <w:szCs w:val="22"/>
        </w:rPr>
        <w:t>Programa FOMIN/BID para la formalización de minería artesanal (2015) – BID/MINEM</w:t>
      </w:r>
    </w:p>
    <w:p w14:paraId="60B09DBB" w14:textId="159C4379" w:rsidR="003D072A" w:rsidRPr="003D072A" w:rsidRDefault="003D072A" w:rsidP="003D072A">
      <w:pPr>
        <w:pStyle w:val="Prrafodelista"/>
        <w:numPr>
          <w:ilvl w:val="0"/>
          <w:numId w:val="8"/>
        </w:numPr>
        <w:spacing w:before="100" w:beforeAutospacing="1" w:after="100" w:afterAutospacing="1"/>
        <w:jc w:val="both"/>
        <w:rPr>
          <w:rFonts w:ascii="Arial" w:hAnsi="Arial" w:cs="Arial"/>
          <w:sz w:val="22"/>
          <w:szCs w:val="22"/>
        </w:rPr>
      </w:pPr>
      <w:r w:rsidRPr="003D072A">
        <w:rPr>
          <w:rFonts w:ascii="Arial" w:hAnsi="Arial" w:cs="Arial"/>
          <w:sz w:val="22"/>
          <w:szCs w:val="22"/>
        </w:rPr>
        <w:t>Ley N° 30732 – FONCOR (2018) – MEF</w:t>
      </w:r>
    </w:p>
    <w:p w14:paraId="7FFBD432" w14:textId="06BCD74C" w:rsidR="003D072A" w:rsidRPr="003D072A" w:rsidRDefault="003D072A" w:rsidP="003D072A">
      <w:pPr>
        <w:pStyle w:val="Prrafodelista"/>
        <w:numPr>
          <w:ilvl w:val="0"/>
          <w:numId w:val="8"/>
        </w:numPr>
        <w:spacing w:before="100" w:beforeAutospacing="1" w:after="100" w:afterAutospacing="1"/>
        <w:jc w:val="both"/>
        <w:rPr>
          <w:rFonts w:ascii="Arial" w:hAnsi="Arial" w:cs="Arial"/>
          <w:sz w:val="22"/>
          <w:szCs w:val="22"/>
        </w:rPr>
      </w:pPr>
      <w:r w:rsidRPr="003D072A">
        <w:rPr>
          <w:rFonts w:ascii="Arial" w:hAnsi="Arial" w:cs="Arial"/>
          <w:sz w:val="22"/>
          <w:szCs w:val="22"/>
        </w:rPr>
        <w:t>Plan Nacional de Competitividad y Productividad (2019) – PCM</w:t>
      </w:r>
    </w:p>
    <w:p w14:paraId="10392501" w14:textId="330CA258" w:rsidR="003D072A" w:rsidRPr="003D072A" w:rsidRDefault="003D072A" w:rsidP="003D072A">
      <w:pPr>
        <w:pStyle w:val="Prrafodelista"/>
        <w:numPr>
          <w:ilvl w:val="0"/>
          <w:numId w:val="8"/>
        </w:numPr>
        <w:spacing w:before="100" w:beforeAutospacing="1" w:after="100" w:afterAutospacing="1"/>
        <w:jc w:val="both"/>
        <w:rPr>
          <w:rFonts w:ascii="Arial" w:hAnsi="Arial" w:cs="Arial"/>
          <w:sz w:val="22"/>
          <w:szCs w:val="22"/>
        </w:rPr>
      </w:pPr>
      <w:r w:rsidRPr="003D072A">
        <w:rPr>
          <w:rFonts w:ascii="Arial" w:hAnsi="Arial" w:cs="Arial"/>
          <w:sz w:val="22"/>
          <w:szCs w:val="22"/>
        </w:rPr>
        <w:t>Política Nacional Multisectorial de Minería (PNMM) (2021) – MINEM</w:t>
      </w:r>
    </w:p>
    <w:p w14:paraId="5DCCFC54" w14:textId="5CC2AA50" w:rsidR="003D072A" w:rsidRPr="003D072A" w:rsidRDefault="003D072A" w:rsidP="003D072A">
      <w:pPr>
        <w:pStyle w:val="Prrafodelista"/>
        <w:numPr>
          <w:ilvl w:val="0"/>
          <w:numId w:val="8"/>
        </w:numPr>
        <w:spacing w:before="100" w:beforeAutospacing="1" w:after="100" w:afterAutospacing="1"/>
        <w:jc w:val="both"/>
        <w:rPr>
          <w:rFonts w:ascii="Arial" w:hAnsi="Arial" w:cs="Arial"/>
          <w:sz w:val="22"/>
          <w:szCs w:val="22"/>
        </w:rPr>
      </w:pPr>
      <w:r w:rsidRPr="003D072A">
        <w:rPr>
          <w:rFonts w:ascii="Arial" w:hAnsi="Arial" w:cs="Arial"/>
          <w:sz w:val="22"/>
          <w:szCs w:val="22"/>
        </w:rPr>
        <w:t>Proyecto de Ley N° 6931/2023 sobre minerales críticos – Congreso</w:t>
      </w:r>
    </w:p>
    <w:p w14:paraId="3E3A4F96" w14:textId="71A8333D" w:rsidR="003D072A" w:rsidRPr="003D072A" w:rsidRDefault="003D072A" w:rsidP="003D072A">
      <w:pPr>
        <w:pStyle w:val="Prrafodelista"/>
        <w:numPr>
          <w:ilvl w:val="0"/>
          <w:numId w:val="8"/>
        </w:numPr>
        <w:spacing w:before="100" w:beforeAutospacing="1" w:after="100" w:afterAutospacing="1"/>
        <w:jc w:val="both"/>
        <w:rPr>
          <w:rFonts w:ascii="Arial" w:hAnsi="Arial" w:cs="Arial"/>
          <w:sz w:val="22"/>
          <w:szCs w:val="22"/>
        </w:rPr>
      </w:pPr>
      <w:r w:rsidRPr="003D072A">
        <w:rPr>
          <w:rFonts w:ascii="Arial" w:hAnsi="Arial" w:cs="Arial"/>
          <w:sz w:val="22"/>
          <w:szCs w:val="22"/>
        </w:rPr>
        <w:t>Visión Minera al 2030 (2023) – MINEM</w:t>
      </w:r>
    </w:p>
    <w:p w14:paraId="0F794E6F" w14:textId="1315DD4C" w:rsidR="003D072A" w:rsidRPr="003D072A" w:rsidRDefault="003D072A" w:rsidP="003D072A">
      <w:pPr>
        <w:pStyle w:val="Prrafodelista"/>
        <w:numPr>
          <w:ilvl w:val="0"/>
          <w:numId w:val="8"/>
        </w:numPr>
        <w:spacing w:before="100" w:beforeAutospacing="1" w:after="100" w:afterAutospacing="1"/>
        <w:jc w:val="both"/>
        <w:rPr>
          <w:rFonts w:ascii="Arial" w:hAnsi="Arial" w:cs="Arial"/>
          <w:sz w:val="22"/>
          <w:szCs w:val="22"/>
        </w:rPr>
      </w:pPr>
      <w:r w:rsidRPr="003D072A">
        <w:rPr>
          <w:rFonts w:ascii="Arial" w:hAnsi="Arial" w:cs="Arial"/>
          <w:sz w:val="22"/>
          <w:szCs w:val="22"/>
        </w:rPr>
        <w:t>Proyecto PE-T1557 sobre minerales críticos (2024) – BID</w:t>
      </w:r>
    </w:p>
    <w:p w14:paraId="67EDCA02" w14:textId="77777777" w:rsidR="003D072A" w:rsidRPr="00E6670E" w:rsidRDefault="003D072A" w:rsidP="003D072A">
      <w:pPr>
        <w:spacing w:before="100" w:beforeAutospacing="1" w:after="100" w:afterAutospacing="1"/>
        <w:jc w:val="both"/>
        <w:rPr>
          <w:rFonts w:ascii="Arial" w:hAnsi="Arial" w:cs="Arial"/>
          <w:sz w:val="22"/>
          <w:szCs w:val="22"/>
        </w:rPr>
      </w:pPr>
      <w:r w:rsidRPr="003D072A">
        <w:rPr>
          <w:rFonts w:ascii="Arial" w:hAnsi="Arial" w:cs="Arial"/>
          <w:sz w:val="22"/>
          <w:szCs w:val="22"/>
        </w:rPr>
        <w:t xml:space="preserve">Cada uno fue analizado y codificado conforme a los criterios de contribución concreta o potencial a los tres ejes temáticos. </w:t>
      </w:r>
      <w:r w:rsidRPr="00E6670E">
        <w:rPr>
          <w:rFonts w:ascii="Arial" w:hAnsi="Arial" w:cs="Arial" w:hint="cs"/>
          <w:sz w:val="22"/>
          <w:szCs w:val="22"/>
        </w:rPr>
        <w:t>Cada uno fue clasificado con base en su contribución concreta o potencial a la soberanía mineral, la transición energética justa y la sostenibilidad, proporcionando una visión integral de los avances y vacíos institucionales en la materia.</w:t>
      </w:r>
    </w:p>
    <w:p w14:paraId="57D600FE" w14:textId="77777777" w:rsidR="00E6670E" w:rsidRPr="00E6670E" w:rsidRDefault="00E6670E" w:rsidP="00E6670E">
      <w:pPr>
        <w:spacing w:before="100" w:beforeAutospacing="1" w:after="100" w:afterAutospacing="1"/>
        <w:jc w:val="both"/>
        <w:rPr>
          <w:rFonts w:ascii="Arial" w:hAnsi="Arial" w:cs="Arial"/>
          <w:sz w:val="22"/>
          <w:szCs w:val="22"/>
        </w:rPr>
      </w:pPr>
      <w:r w:rsidRPr="00E6670E">
        <w:rPr>
          <w:rFonts w:ascii="Arial" w:hAnsi="Arial" w:cs="Arial" w:hint="cs"/>
          <w:b/>
          <w:bCs/>
          <w:sz w:val="22"/>
          <w:szCs w:val="22"/>
        </w:rPr>
        <w:t>3.3 Análisis y comparación</w:t>
      </w:r>
    </w:p>
    <w:p w14:paraId="47F0EE15" w14:textId="77777777" w:rsidR="00E6670E" w:rsidRPr="00E6670E" w:rsidRDefault="00E6670E" w:rsidP="00E6670E">
      <w:pPr>
        <w:spacing w:before="100" w:beforeAutospacing="1" w:after="100" w:afterAutospacing="1"/>
        <w:jc w:val="both"/>
        <w:rPr>
          <w:rFonts w:ascii="Arial" w:hAnsi="Arial" w:cs="Arial"/>
          <w:sz w:val="22"/>
          <w:szCs w:val="22"/>
        </w:rPr>
      </w:pPr>
      <w:r w:rsidRPr="00E6670E">
        <w:rPr>
          <w:rFonts w:ascii="Arial" w:hAnsi="Arial" w:cs="Arial" w:hint="cs"/>
          <w:sz w:val="22"/>
          <w:szCs w:val="22"/>
        </w:rPr>
        <w:t>El análisis evidencia una trayectoria normativo-programática desigual. Las tendencias se agrupan en tres períodos principales:</w:t>
      </w:r>
    </w:p>
    <w:p w14:paraId="350ACAA9" w14:textId="42EF794A" w:rsidR="003673E7" w:rsidRPr="00E6670E" w:rsidRDefault="00E6670E" w:rsidP="003673E7">
      <w:pPr>
        <w:numPr>
          <w:ilvl w:val="0"/>
          <w:numId w:val="6"/>
        </w:numPr>
        <w:spacing w:before="100" w:beforeAutospacing="1" w:after="100" w:afterAutospacing="1"/>
        <w:jc w:val="both"/>
        <w:rPr>
          <w:rFonts w:ascii="Arial" w:hAnsi="Arial" w:cs="Arial"/>
          <w:sz w:val="22"/>
          <w:szCs w:val="22"/>
        </w:rPr>
      </w:pPr>
      <w:r w:rsidRPr="00E6670E">
        <w:rPr>
          <w:rFonts w:ascii="Arial" w:hAnsi="Arial" w:cs="Arial" w:hint="cs"/>
          <w:b/>
          <w:bCs/>
          <w:sz w:val="22"/>
          <w:szCs w:val="22"/>
        </w:rPr>
        <w:t>2010–2015: Enfoques parciales y sectoriales.</w:t>
      </w:r>
      <w:r w:rsidRPr="00E6670E">
        <w:rPr>
          <w:rFonts w:ascii="Arial" w:hAnsi="Arial" w:cs="Arial" w:hint="cs"/>
          <w:sz w:val="22"/>
          <w:szCs w:val="22"/>
        </w:rPr>
        <w:t xml:space="preserve"> Documentos como la </w:t>
      </w:r>
      <w:r w:rsidRPr="00E6670E">
        <w:rPr>
          <w:rFonts w:ascii="Arial" w:hAnsi="Arial" w:cs="Arial" w:hint="cs"/>
          <w:b/>
          <w:bCs/>
          <w:sz w:val="22"/>
          <w:szCs w:val="22"/>
        </w:rPr>
        <w:t>Ley N° 29783</w:t>
      </w:r>
      <w:r w:rsidRPr="00E6670E">
        <w:rPr>
          <w:rFonts w:ascii="Arial" w:hAnsi="Arial" w:cs="Arial" w:hint="cs"/>
          <w:sz w:val="22"/>
          <w:szCs w:val="22"/>
        </w:rPr>
        <w:t xml:space="preserve"> o la </w:t>
      </w:r>
      <w:r w:rsidRPr="00E6670E">
        <w:rPr>
          <w:rFonts w:ascii="Arial" w:hAnsi="Arial" w:cs="Arial" w:hint="cs"/>
          <w:b/>
          <w:bCs/>
          <w:sz w:val="22"/>
          <w:szCs w:val="22"/>
        </w:rPr>
        <w:t>Estrategia Climática (2015)</w:t>
      </w:r>
      <w:r w:rsidRPr="00E6670E">
        <w:rPr>
          <w:rFonts w:ascii="Arial" w:hAnsi="Arial" w:cs="Arial" w:hint="cs"/>
          <w:sz w:val="22"/>
          <w:szCs w:val="22"/>
        </w:rPr>
        <w:t xml:space="preserve"> reflejan una escasa articulación con el cobre como recurso estratégico. La transición energética no figura como prioridad, y la inclusión social se limita a criterios generales de sostenibilidad.</w:t>
      </w:r>
      <w:r w:rsidR="003673E7">
        <w:rPr>
          <w:rFonts w:ascii="Arial" w:hAnsi="Arial" w:cs="Arial"/>
          <w:sz w:val="22"/>
          <w:szCs w:val="22"/>
        </w:rPr>
        <w:br/>
      </w:r>
    </w:p>
    <w:p w14:paraId="400AB2D9" w14:textId="780CDB3B" w:rsidR="00E6670E" w:rsidRPr="00E6670E" w:rsidRDefault="00E6670E" w:rsidP="00E6670E">
      <w:pPr>
        <w:numPr>
          <w:ilvl w:val="0"/>
          <w:numId w:val="6"/>
        </w:numPr>
        <w:spacing w:before="100" w:beforeAutospacing="1" w:after="100" w:afterAutospacing="1"/>
        <w:jc w:val="both"/>
        <w:rPr>
          <w:rFonts w:ascii="Arial" w:hAnsi="Arial" w:cs="Arial"/>
          <w:sz w:val="22"/>
          <w:szCs w:val="22"/>
        </w:rPr>
      </w:pPr>
      <w:r w:rsidRPr="00E6670E">
        <w:rPr>
          <w:rFonts w:ascii="Arial" w:hAnsi="Arial" w:cs="Arial" w:hint="cs"/>
          <w:b/>
          <w:bCs/>
          <w:sz w:val="22"/>
          <w:szCs w:val="22"/>
        </w:rPr>
        <w:t>2016–2021: Emergencia de discursos inclusivos.</w:t>
      </w:r>
      <w:r w:rsidRPr="00E6670E">
        <w:rPr>
          <w:rFonts w:ascii="Arial" w:hAnsi="Arial" w:cs="Arial" w:hint="cs"/>
          <w:sz w:val="22"/>
          <w:szCs w:val="22"/>
        </w:rPr>
        <w:t xml:space="preserve"> El </w:t>
      </w:r>
      <w:r w:rsidRPr="00E6670E">
        <w:rPr>
          <w:rFonts w:ascii="Arial" w:hAnsi="Arial" w:cs="Arial" w:hint="cs"/>
          <w:b/>
          <w:bCs/>
          <w:sz w:val="22"/>
          <w:szCs w:val="22"/>
        </w:rPr>
        <w:t>Programa FOMIN/BID (2015)</w:t>
      </w:r>
      <w:r w:rsidRPr="00E6670E">
        <w:rPr>
          <w:rFonts w:ascii="Arial" w:hAnsi="Arial" w:cs="Arial" w:hint="cs"/>
          <w:sz w:val="22"/>
          <w:szCs w:val="22"/>
        </w:rPr>
        <w:t xml:space="preserve"> y la </w:t>
      </w:r>
      <w:r w:rsidRPr="00E6670E">
        <w:rPr>
          <w:rFonts w:ascii="Arial" w:hAnsi="Arial" w:cs="Arial" w:hint="cs"/>
          <w:b/>
          <w:bCs/>
          <w:sz w:val="22"/>
          <w:szCs w:val="22"/>
        </w:rPr>
        <w:t>PNMM (2021)</w:t>
      </w:r>
      <w:r w:rsidRPr="00E6670E">
        <w:rPr>
          <w:rFonts w:ascii="Arial" w:hAnsi="Arial" w:cs="Arial" w:hint="cs"/>
          <w:sz w:val="22"/>
          <w:szCs w:val="22"/>
        </w:rPr>
        <w:t xml:space="preserve"> muestran reconocimiento parcial del cobre, pero sin mecanismos de gobernanza integral ni articulación con agendas climáticas. La transición energética es mencionada superficialmente o se vincula indirectamente mediante infraestructuras energéticas rurales.</w:t>
      </w:r>
      <w:r w:rsidR="003673E7">
        <w:rPr>
          <w:rFonts w:ascii="Arial" w:hAnsi="Arial" w:cs="Arial"/>
          <w:sz w:val="22"/>
          <w:szCs w:val="22"/>
        </w:rPr>
        <w:br/>
      </w:r>
    </w:p>
    <w:p w14:paraId="56C3F342" w14:textId="24E4DA30" w:rsidR="00A57850" w:rsidRPr="00A57850" w:rsidRDefault="00E6670E" w:rsidP="00A57850">
      <w:pPr>
        <w:numPr>
          <w:ilvl w:val="0"/>
          <w:numId w:val="6"/>
        </w:numPr>
        <w:spacing w:before="100" w:beforeAutospacing="1" w:after="100" w:afterAutospacing="1"/>
        <w:jc w:val="both"/>
        <w:rPr>
          <w:rFonts w:ascii="Arial" w:hAnsi="Arial" w:cs="Arial"/>
          <w:sz w:val="22"/>
          <w:szCs w:val="22"/>
        </w:rPr>
      </w:pPr>
      <w:r w:rsidRPr="00E6670E">
        <w:rPr>
          <w:rFonts w:ascii="Arial" w:hAnsi="Arial" w:cs="Arial" w:hint="cs"/>
          <w:b/>
          <w:bCs/>
          <w:sz w:val="22"/>
          <w:szCs w:val="22"/>
        </w:rPr>
        <w:t>2023–2024: Reconocimiento de minerales críticos.</w:t>
      </w:r>
      <w:r w:rsidRPr="00E6670E">
        <w:rPr>
          <w:rFonts w:ascii="Arial" w:hAnsi="Arial" w:cs="Arial" w:hint="cs"/>
          <w:sz w:val="22"/>
          <w:szCs w:val="22"/>
        </w:rPr>
        <w:t xml:space="preserve"> El </w:t>
      </w:r>
      <w:r w:rsidRPr="00E6670E">
        <w:rPr>
          <w:rFonts w:ascii="Arial" w:hAnsi="Arial" w:cs="Arial" w:hint="cs"/>
          <w:b/>
          <w:bCs/>
          <w:sz w:val="22"/>
          <w:szCs w:val="22"/>
        </w:rPr>
        <w:t>Proyecto de Ley N° 6931/2023</w:t>
      </w:r>
      <w:r w:rsidRPr="00E6670E">
        <w:rPr>
          <w:rFonts w:ascii="Arial" w:hAnsi="Arial" w:cs="Arial" w:hint="cs"/>
          <w:sz w:val="22"/>
          <w:szCs w:val="22"/>
        </w:rPr>
        <w:t xml:space="preserve"> marca un hito al visibilizar al cobre como mineral crítico. El </w:t>
      </w:r>
      <w:r w:rsidRPr="00E6670E">
        <w:rPr>
          <w:rFonts w:ascii="Arial" w:hAnsi="Arial" w:cs="Arial" w:hint="cs"/>
          <w:b/>
          <w:bCs/>
          <w:sz w:val="22"/>
          <w:szCs w:val="22"/>
        </w:rPr>
        <w:t>Proyecto PE-T1557 (2024)</w:t>
      </w:r>
      <w:r w:rsidRPr="00E6670E">
        <w:rPr>
          <w:rFonts w:ascii="Arial" w:hAnsi="Arial" w:cs="Arial" w:hint="cs"/>
          <w:sz w:val="22"/>
          <w:szCs w:val="22"/>
        </w:rPr>
        <w:t xml:space="preserve"> introduce componentes de valor agregado, control territorial y transición baja en carbono con justicia social. Si bien ambos documentos representan un avance, requieren institucionalización y financiamiento para concretarse.</w:t>
      </w:r>
    </w:p>
    <w:p w14:paraId="5AE49CB4" w14:textId="37A0B8B0" w:rsidR="00A57850" w:rsidRPr="00A57850" w:rsidRDefault="00A57850" w:rsidP="00A57850">
      <w:pPr>
        <w:spacing w:before="100" w:beforeAutospacing="1" w:after="100" w:afterAutospacing="1"/>
        <w:ind w:left="720"/>
        <w:jc w:val="both"/>
        <w:rPr>
          <w:rFonts w:ascii="Arial" w:hAnsi="Arial" w:cs="Arial"/>
          <w:sz w:val="22"/>
          <w:szCs w:val="22"/>
        </w:rPr>
      </w:pPr>
      <w:r w:rsidRPr="00A57850">
        <w:rPr>
          <w:rFonts w:ascii="Arial" w:hAnsi="Arial" w:cs="Arial"/>
        </w:rPr>
        <w:t xml:space="preserve">La comparación entre los tres periodos revela una creciente articulación entre minería del cobre y transición energética, aunque aún limitada (ver </w:t>
      </w:r>
      <w:r w:rsidRPr="00A57850">
        <w:rPr>
          <w:rStyle w:val="Textoennegrita"/>
          <w:rFonts w:ascii="Arial" w:hAnsi="Arial" w:cs="Arial"/>
        </w:rPr>
        <w:t>Tabla 1</w:t>
      </w:r>
      <w:r w:rsidRPr="00A57850">
        <w:rPr>
          <w:rFonts w:ascii="Arial" w:hAnsi="Arial" w:cs="Arial"/>
        </w:rPr>
        <w:t>).</w:t>
      </w:r>
    </w:p>
    <w:p w14:paraId="33A1BD65" w14:textId="77777777" w:rsidR="00E6670E" w:rsidRPr="00E6670E" w:rsidRDefault="00E6670E" w:rsidP="00E6670E">
      <w:pPr>
        <w:spacing w:before="100" w:beforeAutospacing="1" w:after="100" w:afterAutospacing="1"/>
        <w:jc w:val="both"/>
        <w:rPr>
          <w:rFonts w:ascii="Arial" w:hAnsi="Arial" w:cs="Arial"/>
          <w:sz w:val="22"/>
          <w:szCs w:val="22"/>
        </w:rPr>
      </w:pPr>
      <w:r w:rsidRPr="00E6670E">
        <w:rPr>
          <w:rFonts w:ascii="Arial" w:hAnsi="Arial" w:cs="Arial" w:hint="cs"/>
          <w:b/>
          <w:bCs/>
          <w:sz w:val="22"/>
          <w:szCs w:val="22"/>
        </w:rPr>
        <w:t>Hallazgos clave por dimensión:</w:t>
      </w:r>
    </w:p>
    <w:p w14:paraId="5EEBA42E" w14:textId="20434DFD" w:rsidR="00E6670E" w:rsidRPr="00E6670E" w:rsidRDefault="00E6670E" w:rsidP="00E6670E">
      <w:pPr>
        <w:numPr>
          <w:ilvl w:val="0"/>
          <w:numId w:val="7"/>
        </w:numPr>
        <w:spacing w:before="100" w:beforeAutospacing="1" w:after="100" w:afterAutospacing="1"/>
        <w:jc w:val="both"/>
        <w:rPr>
          <w:rFonts w:ascii="Arial" w:hAnsi="Arial" w:cs="Arial"/>
          <w:sz w:val="22"/>
          <w:szCs w:val="22"/>
        </w:rPr>
      </w:pPr>
      <w:r w:rsidRPr="00E6670E">
        <w:rPr>
          <w:rFonts w:ascii="Arial" w:hAnsi="Arial" w:cs="Arial" w:hint="cs"/>
          <w:b/>
          <w:bCs/>
          <w:sz w:val="22"/>
          <w:szCs w:val="22"/>
        </w:rPr>
        <w:t>Soberanía mineral:</w:t>
      </w:r>
      <w:r w:rsidRPr="00E6670E">
        <w:rPr>
          <w:rFonts w:ascii="Arial" w:hAnsi="Arial" w:cs="Arial" w:hint="cs"/>
          <w:sz w:val="22"/>
          <w:szCs w:val="22"/>
        </w:rPr>
        <w:t xml:space="preserve"> Pese a mejoras recientes, predominan enfoques fragmentados sin estrategias de valor agregado. Solo el 22% de los documentos considera de manera clara al cobre como activo crítico (2023–2024).</w:t>
      </w:r>
      <w:r w:rsidR="003673E7">
        <w:rPr>
          <w:rFonts w:ascii="Arial" w:hAnsi="Arial" w:cs="Arial"/>
          <w:sz w:val="22"/>
          <w:szCs w:val="22"/>
        </w:rPr>
        <w:br/>
      </w:r>
    </w:p>
    <w:p w14:paraId="11066669" w14:textId="51139796" w:rsidR="00E6670E" w:rsidRPr="00E6670E" w:rsidRDefault="00E6670E" w:rsidP="00E6670E">
      <w:pPr>
        <w:numPr>
          <w:ilvl w:val="0"/>
          <w:numId w:val="7"/>
        </w:numPr>
        <w:spacing w:before="100" w:beforeAutospacing="1" w:after="100" w:afterAutospacing="1"/>
        <w:jc w:val="both"/>
        <w:rPr>
          <w:rFonts w:ascii="Arial" w:hAnsi="Arial" w:cs="Arial"/>
          <w:sz w:val="22"/>
          <w:szCs w:val="22"/>
        </w:rPr>
      </w:pPr>
      <w:r w:rsidRPr="00E6670E">
        <w:rPr>
          <w:rFonts w:ascii="Arial" w:hAnsi="Arial" w:cs="Arial" w:hint="cs"/>
          <w:b/>
          <w:bCs/>
          <w:sz w:val="22"/>
          <w:szCs w:val="22"/>
        </w:rPr>
        <w:t>Transición energética justa:</w:t>
      </w:r>
      <w:r w:rsidRPr="00E6670E">
        <w:rPr>
          <w:rFonts w:ascii="Arial" w:hAnsi="Arial" w:cs="Arial" w:hint="cs"/>
          <w:sz w:val="22"/>
          <w:szCs w:val="22"/>
        </w:rPr>
        <w:t xml:space="preserve"> La mayoría de las propuestas carecen de rutas claras que vinculen el cobre con la descarbonización energética o la equidad territorial. Se identifican intentos recientes de articulación, pero aún incipientes.</w:t>
      </w:r>
      <w:r w:rsidR="003673E7">
        <w:rPr>
          <w:rFonts w:ascii="Arial" w:hAnsi="Arial" w:cs="Arial"/>
          <w:sz w:val="22"/>
          <w:szCs w:val="22"/>
        </w:rPr>
        <w:br/>
      </w:r>
    </w:p>
    <w:p w14:paraId="3D937AA0" w14:textId="77777777" w:rsidR="00E6670E" w:rsidRPr="00E6670E" w:rsidRDefault="00E6670E" w:rsidP="00E6670E">
      <w:pPr>
        <w:numPr>
          <w:ilvl w:val="0"/>
          <w:numId w:val="7"/>
        </w:numPr>
        <w:spacing w:before="100" w:beforeAutospacing="1" w:after="100" w:afterAutospacing="1"/>
        <w:jc w:val="both"/>
        <w:rPr>
          <w:rFonts w:ascii="Arial" w:hAnsi="Arial" w:cs="Arial"/>
          <w:sz w:val="22"/>
          <w:szCs w:val="22"/>
        </w:rPr>
      </w:pPr>
      <w:r w:rsidRPr="00E6670E">
        <w:rPr>
          <w:rFonts w:ascii="Arial" w:hAnsi="Arial" w:cs="Arial" w:hint="cs"/>
          <w:b/>
          <w:bCs/>
          <w:sz w:val="22"/>
          <w:szCs w:val="22"/>
        </w:rPr>
        <w:t>Sostenibilidad:</w:t>
      </w:r>
      <w:r w:rsidRPr="00E6670E">
        <w:rPr>
          <w:rFonts w:ascii="Arial" w:hAnsi="Arial" w:cs="Arial" w:hint="cs"/>
          <w:sz w:val="22"/>
          <w:szCs w:val="22"/>
        </w:rPr>
        <w:t xml:space="preserve"> Esta dimensión aparece transversalmente, pero con debilidades en cuanto a la condicionalidad ambiental y la inclusión social operativa.</w:t>
      </w:r>
    </w:p>
    <w:p w14:paraId="5DD4139B" w14:textId="7CC5436B" w:rsidR="00E6670E" w:rsidRPr="00E6670E" w:rsidRDefault="003673E7" w:rsidP="003673E7">
      <w:pPr>
        <w:spacing w:before="100" w:beforeAutospacing="1" w:after="100" w:afterAutospacing="1"/>
        <w:jc w:val="center"/>
        <w:rPr>
          <w:rFonts w:ascii="Arial" w:hAnsi="Arial" w:cs="Arial"/>
          <w:sz w:val="22"/>
          <w:szCs w:val="22"/>
        </w:rPr>
      </w:pPr>
      <w:r>
        <w:rPr>
          <w:rFonts w:ascii="Arial" w:hAnsi="Arial" w:cs="Arial"/>
          <w:sz w:val="22"/>
          <w:szCs w:val="22"/>
        </w:rPr>
        <w:lastRenderedPageBreak/>
        <w:br/>
      </w:r>
      <w:r>
        <w:rPr>
          <w:rFonts w:ascii="Arial" w:hAnsi="Arial" w:cs="Arial"/>
          <w:sz w:val="22"/>
          <w:szCs w:val="22"/>
        </w:rPr>
        <w:br/>
      </w:r>
      <w:r>
        <w:rPr>
          <w:rFonts w:ascii="Arial" w:hAnsi="Arial" w:cs="Arial"/>
          <w:sz w:val="22"/>
          <w:szCs w:val="22"/>
        </w:rPr>
        <w:br/>
      </w:r>
      <w:r>
        <w:rPr>
          <w:rFonts w:ascii="Arial" w:hAnsi="Arial" w:cs="Arial"/>
          <w:sz w:val="22"/>
          <w:szCs w:val="22"/>
        </w:rPr>
        <w:br/>
      </w:r>
      <w:r>
        <w:rPr>
          <w:rFonts w:ascii="Arial" w:hAnsi="Arial" w:cs="Arial"/>
          <w:sz w:val="22"/>
          <w:szCs w:val="22"/>
        </w:rPr>
        <w:br/>
      </w:r>
      <w:r>
        <w:rPr>
          <w:rFonts w:ascii="Arial" w:hAnsi="Arial" w:cs="Arial"/>
          <w:b/>
          <w:bCs/>
          <w:sz w:val="22"/>
          <w:szCs w:val="22"/>
        </w:rPr>
        <w:t xml:space="preserve">Tabla 1. </w:t>
      </w:r>
      <w:r w:rsidR="00A57850" w:rsidRPr="00A57850">
        <w:rPr>
          <w:rFonts w:ascii="Arial" w:hAnsi="Arial" w:cs="Arial"/>
          <w:b/>
          <w:bCs/>
          <w:sz w:val="22"/>
          <w:szCs w:val="22"/>
        </w:rPr>
        <w:t>Síntesis comparativa de tendencias normativas y brechas en torno al cobre en Perú (2010–2024)</w:t>
      </w:r>
    </w:p>
    <w:tbl>
      <w:tblPr>
        <w:tblStyle w:val="Tablaconcuadrcula"/>
        <w:tblW w:w="0" w:type="auto"/>
        <w:tblLook w:val="04A0" w:firstRow="1" w:lastRow="0" w:firstColumn="1" w:lastColumn="0" w:noHBand="0" w:noVBand="1"/>
      </w:tblPr>
      <w:tblGrid>
        <w:gridCol w:w="1046"/>
        <w:gridCol w:w="1993"/>
        <w:gridCol w:w="1937"/>
      </w:tblGrid>
      <w:tr w:rsidR="00E6670E" w:rsidRPr="00E6670E" w14:paraId="203F90F3" w14:textId="77777777" w:rsidTr="003673E7">
        <w:tc>
          <w:tcPr>
            <w:tcW w:w="0" w:type="auto"/>
            <w:hideMark/>
          </w:tcPr>
          <w:p w14:paraId="2C010617" w14:textId="77777777" w:rsidR="00E6670E" w:rsidRPr="00E6670E" w:rsidRDefault="00E6670E" w:rsidP="00E6670E">
            <w:pPr>
              <w:jc w:val="both"/>
              <w:rPr>
                <w:rFonts w:ascii="Arial" w:hAnsi="Arial" w:cs="Arial"/>
                <w:b/>
                <w:bCs/>
                <w:sz w:val="22"/>
                <w:szCs w:val="22"/>
              </w:rPr>
            </w:pPr>
            <w:r w:rsidRPr="00E6670E">
              <w:rPr>
                <w:rFonts w:ascii="Arial" w:hAnsi="Arial" w:cs="Arial" w:hint="cs"/>
                <w:b/>
                <w:bCs/>
                <w:sz w:val="22"/>
                <w:szCs w:val="22"/>
              </w:rPr>
              <w:t>Periodo</w:t>
            </w:r>
          </w:p>
        </w:tc>
        <w:tc>
          <w:tcPr>
            <w:tcW w:w="0" w:type="auto"/>
            <w:hideMark/>
          </w:tcPr>
          <w:p w14:paraId="3E535F98" w14:textId="77777777" w:rsidR="00E6670E" w:rsidRPr="00E6670E" w:rsidRDefault="00E6670E" w:rsidP="00E6670E">
            <w:pPr>
              <w:jc w:val="both"/>
              <w:rPr>
                <w:rFonts w:ascii="Arial" w:hAnsi="Arial" w:cs="Arial"/>
                <w:b/>
                <w:bCs/>
                <w:sz w:val="22"/>
                <w:szCs w:val="22"/>
              </w:rPr>
            </w:pPr>
            <w:r w:rsidRPr="00E6670E">
              <w:rPr>
                <w:rFonts w:ascii="Arial" w:hAnsi="Arial" w:cs="Arial" w:hint="cs"/>
                <w:b/>
                <w:bCs/>
                <w:sz w:val="22"/>
                <w:szCs w:val="22"/>
              </w:rPr>
              <w:t>Tendencia dominante</w:t>
            </w:r>
          </w:p>
        </w:tc>
        <w:tc>
          <w:tcPr>
            <w:tcW w:w="0" w:type="auto"/>
            <w:hideMark/>
          </w:tcPr>
          <w:p w14:paraId="1F872FC0" w14:textId="77777777" w:rsidR="00E6670E" w:rsidRPr="00E6670E" w:rsidRDefault="00E6670E" w:rsidP="00E6670E">
            <w:pPr>
              <w:jc w:val="both"/>
              <w:rPr>
                <w:rFonts w:ascii="Arial" w:hAnsi="Arial" w:cs="Arial"/>
                <w:b/>
                <w:bCs/>
                <w:sz w:val="22"/>
                <w:szCs w:val="22"/>
              </w:rPr>
            </w:pPr>
            <w:r w:rsidRPr="00E6670E">
              <w:rPr>
                <w:rFonts w:ascii="Arial" w:hAnsi="Arial" w:cs="Arial" w:hint="cs"/>
                <w:b/>
                <w:bCs/>
                <w:sz w:val="22"/>
                <w:szCs w:val="22"/>
              </w:rPr>
              <w:t>Brechas observadas</w:t>
            </w:r>
          </w:p>
        </w:tc>
      </w:tr>
      <w:tr w:rsidR="00E6670E" w:rsidRPr="00E6670E" w14:paraId="3B76205F" w14:textId="77777777" w:rsidTr="003673E7">
        <w:tc>
          <w:tcPr>
            <w:tcW w:w="0" w:type="auto"/>
            <w:hideMark/>
          </w:tcPr>
          <w:p w14:paraId="41A87698" w14:textId="77777777" w:rsidR="00E6670E" w:rsidRPr="00E6670E" w:rsidRDefault="00E6670E" w:rsidP="00E6670E">
            <w:pPr>
              <w:jc w:val="both"/>
              <w:rPr>
                <w:rFonts w:ascii="Arial" w:hAnsi="Arial" w:cs="Arial"/>
                <w:sz w:val="22"/>
                <w:szCs w:val="22"/>
              </w:rPr>
            </w:pPr>
            <w:r w:rsidRPr="00E6670E">
              <w:rPr>
                <w:rFonts w:ascii="Arial" w:hAnsi="Arial" w:cs="Arial" w:hint="cs"/>
                <w:sz w:val="22"/>
                <w:szCs w:val="22"/>
              </w:rPr>
              <w:t>2010–2015</w:t>
            </w:r>
          </w:p>
        </w:tc>
        <w:tc>
          <w:tcPr>
            <w:tcW w:w="0" w:type="auto"/>
            <w:hideMark/>
          </w:tcPr>
          <w:p w14:paraId="76DA8786" w14:textId="77777777" w:rsidR="00E6670E" w:rsidRPr="00E6670E" w:rsidRDefault="00E6670E" w:rsidP="00E6670E">
            <w:pPr>
              <w:jc w:val="both"/>
              <w:rPr>
                <w:rFonts w:ascii="Arial" w:hAnsi="Arial" w:cs="Arial"/>
                <w:sz w:val="22"/>
                <w:szCs w:val="22"/>
              </w:rPr>
            </w:pPr>
            <w:r w:rsidRPr="00E6670E">
              <w:rPr>
                <w:rFonts w:ascii="Arial" w:hAnsi="Arial" w:cs="Arial" w:hint="cs"/>
                <w:sz w:val="22"/>
                <w:szCs w:val="22"/>
              </w:rPr>
              <w:t>Enfoque técnico sin visión estratégica</w:t>
            </w:r>
          </w:p>
        </w:tc>
        <w:tc>
          <w:tcPr>
            <w:tcW w:w="0" w:type="auto"/>
            <w:hideMark/>
          </w:tcPr>
          <w:p w14:paraId="388E0582" w14:textId="77777777" w:rsidR="00E6670E" w:rsidRPr="00E6670E" w:rsidRDefault="00E6670E" w:rsidP="00E6670E">
            <w:pPr>
              <w:jc w:val="both"/>
              <w:rPr>
                <w:rFonts w:ascii="Arial" w:hAnsi="Arial" w:cs="Arial"/>
                <w:sz w:val="22"/>
                <w:szCs w:val="22"/>
              </w:rPr>
            </w:pPr>
            <w:r w:rsidRPr="00E6670E">
              <w:rPr>
                <w:rFonts w:ascii="Arial" w:hAnsi="Arial" w:cs="Arial" w:hint="cs"/>
                <w:sz w:val="22"/>
                <w:szCs w:val="22"/>
              </w:rPr>
              <w:t>Ausencia de vínculos con soberanía ni transición energética</w:t>
            </w:r>
          </w:p>
        </w:tc>
      </w:tr>
      <w:tr w:rsidR="00E6670E" w:rsidRPr="00E6670E" w14:paraId="1FFA4989" w14:textId="77777777" w:rsidTr="003673E7">
        <w:tc>
          <w:tcPr>
            <w:tcW w:w="0" w:type="auto"/>
            <w:hideMark/>
          </w:tcPr>
          <w:p w14:paraId="3DC4B5AD" w14:textId="77777777" w:rsidR="00E6670E" w:rsidRPr="00E6670E" w:rsidRDefault="00E6670E" w:rsidP="00E6670E">
            <w:pPr>
              <w:jc w:val="both"/>
              <w:rPr>
                <w:rFonts w:ascii="Arial" w:hAnsi="Arial" w:cs="Arial"/>
                <w:sz w:val="22"/>
                <w:szCs w:val="22"/>
              </w:rPr>
            </w:pPr>
            <w:r w:rsidRPr="00E6670E">
              <w:rPr>
                <w:rFonts w:ascii="Arial" w:hAnsi="Arial" w:cs="Arial" w:hint="cs"/>
                <w:sz w:val="22"/>
                <w:szCs w:val="22"/>
              </w:rPr>
              <w:t>2016–2021</w:t>
            </w:r>
          </w:p>
        </w:tc>
        <w:tc>
          <w:tcPr>
            <w:tcW w:w="0" w:type="auto"/>
            <w:hideMark/>
          </w:tcPr>
          <w:p w14:paraId="3E7A8D88" w14:textId="77777777" w:rsidR="00E6670E" w:rsidRPr="00E6670E" w:rsidRDefault="00E6670E" w:rsidP="00E6670E">
            <w:pPr>
              <w:jc w:val="both"/>
              <w:rPr>
                <w:rFonts w:ascii="Arial" w:hAnsi="Arial" w:cs="Arial"/>
                <w:sz w:val="22"/>
                <w:szCs w:val="22"/>
              </w:rPr>
            </w:pPr>
            <w:r w:rsidRPr="00E6670E">
              <w:rPr>
                <w:rFonts w:ascii="Arial" w:hAnsi="Arial" w:cs="Arial" w:hint="cs"/>
                <w:sz w:val="22"/>
                <w:szCs w:val="22"/>
              </w:rPr>
              <w:t>Reconocimiento parcial del cobre como activo de desarrollo</w:t>
            </w:r>
          </w:p>
        </w:tc>
        <w:tc>
          <w:tcPr>
            <w:tcW w:w="0" w:type="auto"/>
            <w:hideMark/>
          </w:tcPr>
          <w:p w14:paraId="7E947285" w14:textId="77777777" w:rsidR="00E6670E" w:rsidRPr="00E6670E" w:rsidRDefault="00E6670E" w:rsidP="00E6670E">
            <w:pPr>
              <w:jc w:val="both"/>
              <w:rPr>
                <w:rFonts w:ascii="Arial" w:hAnsi="Arial" w:cs="Arial"/>
                <w:sz w:val="22"/>
                <w:szCs w:val="22"/>
              </w:rPr>
            </w:pPr>
            <w:r w:rsidRPr="00E6670E">
              <w:rPr>
                <w:rFonts w:ascii="Arial" w:hAnsi="Arial" w:cs="Arial" w:hint="cs"/>
                <w:sz w:val="22"/>
                <w:szCs w:val="22"/>
              </w:rPr>
              <w:t>Debilidad institucional y limitada operatividad de las propuestas</w:t>
            </w:r>
          </w:p>
        </w:tc>
      </w:tr>
      <w:tr w:rsidR="00E6670E" w:rsidRPr="00E6670E" w14:paraId="161824B0" w14:textId="77777777" w:rsidTr="003673E7">
        <w:tc>
          <w:tcPr>
            <w:tcW w:w="0" w:type="auto"/>
            <w:hideMark/>
          </w:tcPr>
          <w:p w14:paraId="5FE3D1ED" w14:textId="77777777" w:rsidR="00E6670E" w:rsidRPr="00E6670E" w:rsidRDefault="00E6670E" w:rsidP="00106D35">
            <w:pPr>
              <w:jc w:val="both"/>
              <w:rPr>
                <w:rFonts w:ascii="Arial" w:hAnsi="Arial" w:cs="Arial"/>
                <w:sz w:val="22"/>
                <w:szCs w:val="22"/>
              </w:rPr>
            </w:pPr>
            <w:r w:rsidRPr="00E6670E">
              <w:rPr>
                <w:rFonts w:ascii="Arial" w:hAnsi="Arial" w:cs="Arial" w:hint="cs"/>
                <w:sz w:val="22"/>
                <w:szCs w:val="22"/>
              </w:rPr>
              <w:t>2023–2024</w:t>
            </w:r>
          </w:p>
        </w:tc>
        <w:tc>
          <w:tcPr>
            <w:tcW w:w="0" w:type="auto"/>
            <w:hideMark/>
          </w:tcPr>
          <w:p w14:paraId="41F9640A" w14:textId="77777777" w:rsidR="00E6670E" w:rsidRPr="00E6670E" w:rsidRDefault="00E6670E" w:rsidP="00106D35">
            <w:pPr>
              <w:jc w:val="both"/>
              <w:rPr>
                <w:rFonts w:ascii="Arial" w:hAnsi="Arial" w:cs="Arial"/>
                <w:sz w:val="22"/>
                <w:szCs w:val="22"/>
              </w:rPr>
            </w:pPr>
            <w:r w:rsidRPr="00E6670E">
              <w:rPr>
                <w:rFonts w:ascii="Arial" w:hAnsi="Arial" w:cs="Arial" w:hint="cs"/>
                <w:sz w:val="22"/>
                <w:szCs w:val="22"/>
              </w:rPr>
              <w:t>Avances hacia integración soberana y transición energética inclusiva</w:t>
            </w:r>
          </w:p>
        </w:tc>
        <w:tc>
          <w:tcPr>
            <w:tcW w:w="0" w:type="auto"/>
            <w:hideMark/>
          </w:tcPr>
          <w:p w14:paraId="177F9F8A" w14:textId="77777777" w:rsidR="00E6670E" w:rsidRPr="00E6670E" w:rsidRDefault="00E6670E" w:rsidP="00106D35">
            <w:pPr>
              <w:jc w:val="both"/>
              <w:rPr>
                <w:rFonts w:ascii="Arial" w:hAnsi="Arial" w:cs="Arial"/>
                <w:sz w:val="22"/>
                <w:szCs w:val="22"/>
              </w:rPr>
            </w:pPr>
            <w:r w:rsidRPr="00E6670E">
              <w:rPr>
                <w:rFonts w:ascii="Arial" w:hAnsi="Arial" w:cs="Arial" w:hint="cs"/>
                <w:sz w:val="22"/>
                <w:szCs w:val="22"/>
              </w:rPr>
              <w:t>Requieren consolidación normativa e implementación efectiva</w:t>
            </w:r>
          </w:p>
        </w:tc>
      </w:tr>
    </w:tbl>
    <w:p w14:paraId="29CB35A0" w14:textId="4C885AFE" w:rsidR="003673E7" w:rsidRPr="00106D35" w:rsidRDefault="003673E7" w:rsidP="00106D35">
      <w:pPr>
        <w:spacing w:before="100" w:beforeAutospacing="1" w:after="100" w:afterAutospacing="1"/>
        <w:jc w:val="center"/>
        <w:rPr>
          <w:rFonts w:ascii="Arial" w:hAnsi="Arial" w:cs="Arial"/>
          <w:b/>
          <w:bCs/>
          <w:sz w:val="22"/>
          <w:szCs w:val="22"/>
        </w:rPr>
      </w:pPr>
      <w:r w:rsidRPr="00106D35">
        <w:rPr>
          <w:rFonts w:ascii="Arial" w:hAnsi="Arial" w:cs="Arial"/>
          <w:b/>
          <w:bCs/>
          <w:sz w:val="22"/>
          <w:szCs w:val="22"/>
        </w:rPr>
        <w:t>Fuente: Elaboracion Propia</w:t>
      </w:r>
    </w:p>
    <w:p w14:paraId="22C97F2D" w14:textId="77777777" w:rsidR="003673E7" w:rsidRPr="003673E7" w:rsidRDefault="003673E7" w:rsidP="003673E7">
      <w:pPr>
        <w:spacing w:before="100" w:beforeAutospacing="1" w:after="100" w:afterAutospacing="1"/>
        <w:jc w:val="center"/>
        <w:rPr>
          <w:rFonts w:ascii="Arial" w:hAnsi="Arial" w:cs="Arial"/>
          <w:i/>
          <w:iCs/>
          <w:sz w:val="22"/>
          <w:szCs w:val="22"/>
        </w:rPr>
      </w:pPr>
    </w:p>
    <w:p w14:paraId="656F1500" w14:textId="0EC4AA70" w:rsidR="007D2A73" w:rsidRPr="003D072A" w:rsidRDefault="00E6670E" w:rsidP="003D072A">
      <w:pPr>
        <w:spacing w:before="100" w:beforeAutospacing="1" w:after="100" w:afterAutospacing="1"/>
        <w:jc w:val="both"/>
        <w:rPr>
          <w:rFonts w:ascii="Arial" w:hAnsi="Arial" w:cs="Arial"/>
          <w:sz w:val="22"/>
          <w:szCs w:val="22"/>
        </w:rPr>
      </w:pPr>
      <w:r w:rsidRPr="00E6670E">
        <w:rPr>
          <w:rFonts w:ascii="Arial" w:hAnsi="Arial" w:cs="Arial" w:hint="cs"/>
          <w:sz w:val="22"/>
          <w:szCs w:val="22"/>
        </w:rPr>
        <w:t xml:space="preserve">La metodología empleada permitió identificar patrones, vacíos y potenciales institucionales mediante una codificación analítica inspirada en Fereday &amp; Muir-Cochrane (2006), y contrastes con marcos internacionales como la </w:t>
      </w:r>
      <w:r w:rsidRPr="00E6670E">
        <w:rPr>
          <w:rFonts w:ascii="Arial" w:hAnsi="Arial" w:cs="Arial" w:hint="cs"/>
          <w:b/>
          <w:bCs/>
          <w:sz w:val="22"/>
          <w:szCs w:val="22"/>
        </w:rPr>
        <w:t>IRA (EE.UU.)</w:t>
      </w:r>
      <w:r w:rsidRPr="00E6670E">
        <w:rPr>
          <w:rFonts w:ascii="Arial" w:hAnsi="Arial" w:cs="Arial" w:hint="cs"/>
          <w:sz w:val="22"/>
          <w:szCs w:val="22"/>
        </w:rPr>
        <w:t xml:space="preserve">, el </w:t>
      </w:r>
      <w:r w:rsidRPr="00E6670E">
        <w:rPr>
          <w:rFonts w:ascii="Arial" w:hAnsi="Arial" w:cs="Arial" w:hint="cs"/>
          <w:b/>
          <w:bCs/>
          <w:sz w:val="22"/>
          <w:szCs w:val="22"/>
        </w:rPr>
        <w:t>Green Deal europeo</w:t>
      </w:r>
      <w:r w:rsidRPr="00E6670E">
        <w:rPr>
          <w:rFonts w:ascii="Arial" w:hAnsi="Arial" w:cs="Arial" w:hint="cs"/>
          <w:sz w:val="22"/>
          <w:szCs w:val="22"/>
        </w:rPr>
        <w:t xml:space="preserve">, y la </w:t>
      </w:r>
      <w:r w:rsidRPr="00E6670E">
        <w:rPr>
          <w:rFonts w:ascii="Arial" w:hAnsi="Arial" w:cs="Arial" w:hint="cs"/>
          <w:b/>
          <w:bCs/>
          <w:sz w:val="22"/>
          <w:szCs w:val="22"/>
        </w:rPr>
        <w:t>Estrategia de minerales críticos de Brasil</w:t>
      </w:r>
      <w:r w:rsidRPr="00E6670E">
        <w:rPr>
          <w:rFonts w:ascii="Arial" w:hAnsi="Arial" w:cs="Arial" w:hint="cs"/>
          <w:sz w:val="22"/>
          <w:szCs w:val="22"/>
        </w:rPr>
        <w:t xml:space="preserve"> (OECD, 2021; World Bank, 2020). Esto otorga solidez analítica al estudio, garantizando coherencia con los objetivos y base empírica sólida para las propuestas formuladas.</w:t>
      </w:r>
    </w:p>
    <w:p w14:paraId="71857D75" w14:textId="271D6741" w:rsidR="00E77D13" w:rsidRPr="00B12FF9" w:rsidRDefault="00E77D13" w:rsidP="00E77D13">
      <w:pPr>
        <w:jc w:val="both"/>
        <w:rPr>
          <w:rFonts w:ascii="Arial" w:hAnsi="Arial" w:cs="Arial"/>
          <w:b/>
          <w:bCs/>
          <w:color w:val="808080"/>
          <w:sz w:val="22"/>
          <w:szCs w:val="22"/>
        </w:rPr>
      </w:pPr>
      <w:r w:rsidRPr="00B12FF9">
        <w:rPr>
          <w:rFonts w:ascii="Arial" w:hAnsi="Arial" w:cs="Arial" w:hint="cs"/>
          <w:b/>
          <w:bCs/>
          <w:sz w:val="22"/>
          <w:szCs w:val="22"/>
        </w:rPr>
        <w:t xml:space="preserve">4. </w:t>
      </w:r>
      <w:r w:rsidR="00EC5D28" w:rsidRPr="00B12FF9">
        <w:rPr>
          <w:rFonts w:ascii="Arial" w:hAnsi="Arial" w:cs="Arial" w:hint="cs"/>
          <w:b/>
          <w:bCs/>
          <w:sz w:val="22"/>
          <w:szCs w:val="22"/>
        </w:rPr>
        <w:t>Presentación y discusión de resultados</w:t>
      </w:r>
      <w:r w:rsidR="005A352B" w:rsidRPr="00B12FF9">
        <w:rPr>
          <w:rFonts w:ascii="Arial" w:hAnsi="Arial" w:cs="Arial" w:hint="cs"/>
          <w:b/>
          <w:bCs/>
          <w:color w:val="808080"/>
          <w:sz w:val="22"/>
          <w:szCs w:val="22"/>
        </w:rPr>
        <w:t xml:space="preserve"> </w:t>
      </w:r>
    </w:p>
    <w:p w14:paraId="1951E0BE" w14:textId="77777777" w:rsidR="00B12FF9" w:rsidRPr="00B12FF9" w:rsidRDefault="00B12FF9" w:rsidP="00B12FF9">
      <w:pPr>
        <w:pStyle w:val="NormalWeb"/>
        <w:jc w:val="both"/>
        <w:rPr>
          <w:rFonts w:ascii="Arial" w:hAnsi="Arial" w:cs="Arial"/>
          <w:sz w:val="22"/>
          <w:szCs w:val="22"/>
        </w:rPr>
      </w:pPr>
      <w:r w:rsidRPr="00B12FF9">
        <w:rPr>
          <w:rFonts w:ascii="Arial" w:hAnsi="Arial" w:cs="Arial" w:hint="cs"/>
          <w:sz w:val="22"/>
          <w:szCs w:val="22"/>
        </w:rPr>
        <w:t xml:space="preserve">El análisis documental de nueve instrumentos de política pública peruanos, emitidos entre 2010 y 2024, revela avances progresivos pero fragmentados respecto a las dimensiones de </w:t>
      </w:r>
      <w:r w:rsidRPr="00B12FF9">
        <w:rPr>
          <w:rStyle w:val="Textoennegrita"/>
          <w:rFonts w:ascii="Arial" w:hAnsi="Arial" w:cs="Arial" w:hint="cs"/>
          <w:b w:val="0"/>
          <w:bCs w:val="0"/>
          <w:sz w:val="22"/>
          <w:szCs w:val="22"/>
        </w:rPr>
        <w:t>soberanía mineral</w:t>
      </w:r>
      <w:r w:rsidRPr="00B12FF9">
        <w:rPr>
          <w:rFonts w:ascii="Arial" w:hAnsi="Arial" w:cs="Arial" w:hint="cs"/>
          <w:b/>
          <w:bCs/>
          <w:sz w:val="22"/>
          <w:szCs w:val="22"/>
        </w:rPr>
        <w:t xml:space="preserve">, </w:t>
      </w:r>
      <w:r w:rsidRPr="00B12FF9">
        <w:rPr>
          <w:rStyle w:val="Textoennegrita"/>
          <w:rFonts w:ascii="Arial" w:hAnsi="Arial" w:cs="Arial" w:hint="cs"/>
          <w:b w:val="0"/>
          <w:bCs w:val="0"/>
          <w:sz w:val="22"/>
          <w:szCs w:val="22"/>
        </w:rPr>
        <w:t>transición energética justa</w:t>
      </w:r>
      <w:r w:rsidRPr="00B12FF9">
        <w:rPr>
          <w:rFonts w:ascii="Arial" w:hAnsi="Arial" w:cs="Arial" w:hint="cs"/>
          <w:b/>
          <w:bCs/>
          <w:sz w:val="22"/>
          <w:szCs w:val="22"/>
        </w:rPr>
        <w:t xml:space="preserve"> y </w:t>
      </w:r>
      <w:r w:rsidRPr="00B12FF9">
        <w:rPr>
          <w:rStyle w:val="Textoennegrita"/>
          <w:rFonts w:ascii="Arial" w:hAnsi="Arial" w:cs="Arial" w:hint="cs"/>
          <w:b w:val="0"/>
          <w:bCs w:val="0"/>
          <w:sz w:val="22"/>
          <w:szCs w:val="22"/>
        </w:rPr>
        <w:t>sostenibilidad territorial</w:t>
      </w:r>
      <w:r w:rsidRPr="00B12FF9">
        <w:rPr>
          <w:rFonts w:ascii="Arial" w:hAnsi="Arial" w:cs="Arial" w:hint="cs"/>
          <w:b/>
          <w:bCs/>
          <w:sz w:val="22"/>
          <w:szCs w:val="22"/>
        </w:rPr>
        <w:t>.</w:t>
      </w:r>
      <w:r w:rsidRPr="00B12FF9">
        <w:rPr>
          <w:rFonts w:ascii="Arial" w:hAnsi="Arial" w:cs="Arial" w:hint="cs"/>
          <w:sz w:val="22"/>
          <w:szCs w:val="22"/>
        </w:rPr>
        <w:t xml:space="preserve"> A continuación, se presentan los principales hallazgos estructurados por eje analítico.</w:t>
      </w:r>
    </w:p>
    <w:p w14:paraId="7527A646" w14:textId="77777777" w:rsidR="00B12FF9" w:rsidRPr="00B12FF9" w:rsidRDefault="00B12FF9" w:rsidP="00B12FF9">
      <w:pPr>
        <w:pStyle w:val="Ttulo3"/>
        <w:jc w:val="both"/>
        <w:rPr>
          <w:rFonts w:ascii="Arial" w:hAnsi="Arial" w:cs="Arial"/>
          <w:sz w:val="22"/>
          <w:szCs w:val="22"/>
        </w:rPr>
      </w:pPr>
      <w:r w:rsidRPr="00B12FF9">
        <w:rPr>
          <w:rFonts w:ascii="Arial" w:hAnsi="Arial" w:cs="Arial" w:hint="cs"/>
          <w:sz w:val="22"/>
          <w:szCs w:val="22"/>
        </w:rPr>
        <w:t>4.1. Enfoque sobre soberanía mineral</w:t>
      </w:r>
    </w:p>
    <w:p w14:paraId="0D22AFB0" w14:textId="77777777" w:rsidR="00B12FF9" w:rsidRPr="00B12FF9" w:rsidRDefault="00B12FF9" w:rsidP="00B12FF9">
      <w:pPr>
        <w:pStyle w:val="NormalWeb"/>
        <w:numPr>
          <w:ilvl w:val="0"/>
          <w:numId w:val="13"/>
        </w:numPr>
        <w:jc w:val="both"/>
        <w:rPr>
          <w:rFonts w:ascii="Arial" w:hAnsi="Arial" w:cs="Arial"/>
          <w:sz w:val="22"/>
          <w:szCs w:val="22"/>
        </w:rPr>
      </w:pPr>
      <w:r w:rsidRPr="00B12FF9">
        <w:rPr>
          <w:rFonts w:ascii="Arial" w:hAnsi="Arial" w:cs="Arial" w:hint="cs"/>
          <w:sz w:val="22"/>
          <w:szCs w:val="22"/>
        </w:rPr>
        <w:t xml:space="preserve">Solo tres documentos –el Proyecto de Ley N.º 6931/2023, la Visión Minera 2030 y el Proyecto PE-T1557 del BID (2024)– abordan explícita o implícitamente el </w:t>
      </w:r>
      <w:r w:rsidRPr="00B12FF9">
        <w:rPr>
          <w:rStyle w:val="Textoennegrita"/>
          <w:rFonts w:ascii="Arial" w:hAnsi="Arial" w:cs="Arial" w:hint="cs"/>
          <w:sz w:val="22"/>
          <w:szCs w:val="22"/>
        </w:rPr>
        <w:t>cobre como mineral estratégico</w:t>
      </w:r>
      <w:r w:rsidRPr="00B12FF9">
        <w:rPr>
          <w:rFonts w:ascii="Arial" w:hAnsi="Arial" w:cs="Arial" w:hint="cs"/>
          <w:sz w:val="22"/>
          <w:szCs w:val="22"/>
        </w:rPr>
        <w:t>.</w:t>
      </w:r>
    </w:p>
    <w:p w14:paraId="06BAA7EA" w14:textId="77777777" w:rsidR="00B12FF9" w:rsidRPr="00B12FF9" w:rsidRDefault="00B12FF9" w:rsidP="00B12FF9">
      <w:pPr>
        <w:pStyle w:val="NormalWeb"/>
        <w:numPr>
          <w:ilvl w:val="0"/>
          <w:numId w:val="13"/>
        </w:numPr>
        <w:jc w:val="both"/>
        <w:rPr>
          <w:rFonts w:ascii="Arial" w:hAnsi="Arial" w:cs="Arial"/>
          <w:sz w:val="22"/>
          <w:szCs w:val="22"/>
        </w:rPr>
      </w:pPr>
      <w:r w:rsidRPr="00B12FF9">
        <w:rPr>
          <w:rFonts w:ascii="Arial" w:hAnsi="Arial" w:cs="Arial" w:hint="cs"/>
          <w:sz w:val="22"/>
          <w:szCs w:val="22"/>
        </w:rPr>
        <w:t xml:space="preserve">Entre ellos, solo dos proponen mecanismos para </w:t>
      </w:r>
      <w:r w:rsidRPr="00B12FF9">
        <w:rPr>
          <w:rStyle w:val="Textoennegrita"/>
          <w:rFonts w:ascii="Arial" w:hAnsi="Arial" w:cs="Arial" w:hint="cs"/>
          <w:sz w:val="22"/>
          <w:szCs w:val="22"/>
        </w:rPr>
        <w:t>fortalecer el control estatal, el valor agregado y las capacidades regionales</w:t>
      </w:r>
      <w:r w:rsidRPr="00B12FF9">
        <w:rPr>
          <w:rFonts w:ascii="Arial" w:hAnsi="Arial" w:cs="Arial" w:hint="cs"/>
          <w:sz w:val="22"/>
          <w:szCs w:val="22"/>
        </w:rPr>
        <w:t>: el PL 6931/2023 al establecer un marco regulador para minerales críticos, y el PE-T1557 al vincular gobernanza territorial con cadenas de valor sostenibles.</w:t>
      </w:r>
    </w:p>
    <w:p w14:paraId="41C87F98" w14:textId="77777777" w:rsidR="00B12FF9" w:rsidRPr="00B12FF9" w:rsidRDefault="00B12FF9" w:rsidP="00B12FF9">
      <w:pPr>
        <w:pStyle w:val="NormalWeb"/>
        <w:numPr>
          <w:ilvl w:val="0"/>
          <w:numId w:val="13"/>
        </w:numPr>
        <w:jc w:val="both"/>
        <w:rPr>
          <w:rFonts w:ascii="Arial" w:hAnsi="Arial" w:cs="Arial"/>
          <w:sz w:val="22"/>
          <w:szCs w:val="22"/>
        </w:rPr>
      </w:pPr>
      <w:r w:rsidRPr="00B12FF9">
        <w:rPr>
          <w:rFonts w:ascii="Arial" w:hAnsi="Arial" w:cs="Arial" w:hint="cs"/>
          <w:sz w:val="22"/>
          <w:szCs w:val="22"/>
        </w:rPr>
        <w:t xml:space="preserve">Los marcos normativos entre 2010 y 2018 (como la Ley N.º 29783 o el Plan Nacional de Competitividad) </w:t>
      </w:r>
      <w:r w:rsidRPr="00B12FF9">
        <w:rPr>
          <w:rStyle w:val="Textoennegrita"/>
          <w:rFonts w:ascii="Arial" w:hAnsi="Arial" w:cs="Arial" w:hint="cs"/>
          <w:sz w:val="22"/>
          <w:szCs w:val="22"/>
        </w:rPr>
        <w:t>ignoran el carácter estratégico del cobre</w:t>
      </w:r>
      <w:r w:rsidRPr="00B12FF9">
        <w:rPr>
          <w:rFonts w:ascii="Arial" w:hAnsi="Arial" w:cs="Arial" w:hint="cs"/>
          <w:sz w:val="22"/>
          <w:szCs w:val="22"/>
        </w:rPr>
        <w:t>, limitándose a enfoques laborales, ambientales o genéricos.</w:t>
      </w:r>
    </w:p>
    <w:p w14:paraId="43D3BDEA" w14:textId="77777777" w:rsidR="00B12FF9" w:rsidRPr="00B12FF9" w:rsidRDefault="00B12FF9" w:rsidP="00B12FF9">
      <w:pPr>
        <w:pStyle w:val="Ttulo3"/>
        <w:jc w:val="both"/>
        <w:rPr>
          <w:rFonts w:ascii="Arial" w:hAnsi="Arial" w:cs="Arial"/>
          <w:sz w:val="22"/>
          <w:szCs w:val="22"/>
        </w:rPr>
      </w:pPr>
      <w:r w:rsidRPr="00B12FF9">
        <w:rPr>
          <w:rFonts w:ascii="Arial" w:hAnsi="Arial" w:cs="Arial" w:hint="cs"/>
          <w:sz w:val="22"/>
          <w:szCs w:val="22"/>
        </w:rPr>
        <w:t>4.2. Consideraciones sobre transición energética justa</w:t>
      </w:r>
    </w:p>
    <w:p w14:paraId="2D298FBA" w14:textId="77777777" w:rsidR="00B12FF9" w:rsidRPr="00B12FF9" w:rsidRDefault="00B12FF9" w:rsidP="00B12FF9">
      <w:pPr>
        <w:pStyle w:val="NormalWeb"/>
        <w:numPr>
          <w:ilvl w:val="0"/>
          <w:numId w:val="14"/>
        </w:numPr>
        <w:jc w:val="both"/>
        <w:rPr>
          <w:rFonts w:ascii="Arial" w:hAnsi="Arial" w:cs="Arial"/>
          <w:sz w:val="22"/>
          <w:szCs w:val="22"/>
        </w:rPr>
      </w:pPr>
      <w:r w:rsidRPr="00B12FF9">
        <w:rPr>
          <w:rFonts w:ascii="Arial" w:hAnsi="Arial" w:cs="Arial" w:hint="cs"/>
          <w:sz w:val="22"/>
          <w:szCs w:val="22"/>
        </w:rPr>
        <w:t xml:space="preserve">Si bien varios instrumentos (como la Estrategia Nacional de Cambio Climático o el Plan de Electrificación Rural) incluyen referencias a la </w:t>
      </w:r>
      <w:r w:rsidRPr="00B12FF9">
        <w:rPr>
          <w:rStyle w:val="Textoennegrita"/>
          <w:rFonts w:ascii="Arial" w:hAnsi="Arial" w:cs="Arial" w:hint="cs"/>
          <w:sz w:val="22"/>
          <w:szCs w:val="22"/>
        </w:rPr>
        <w:t>transición energética</w:t>
      </w:r>
      <w:r w:rsidRPr="00B12FF9">
        <w:rPr>
          <w:rFonts w:ascii="Arial" w:hAnsi="Arial" w:cs="Arial" w:hint="cs"/>
          <w:sz w:val="22"/>
          <w:szCs w:val="22"/>
        </w:rPr>
        <w:t xml:space="preserve">, </w:t>
      </w:r>
      <w:r w:rsidRPr="00B12FF9">
        <w:rPr>
          <w:rStyle w:val="Textoennegrita"/>
          <w:rFonts w:ascii="Arial" w:hAnsi="Arial" w:cs="Arial" w:hint="cs"/>
          <w:sz w:val="22"/>
          <w:szCs w:val="22"/>
        </w:rPr>
        <w:t>ninguno establece vínculos claros con el papel del cobre en dicho proceso</w:t>
      </w:r>
      <w:r w:rsidRPr="00B12FF9">
        <w:rPr>
          <w:rFonts w:ascii="Arial" w:hAnsi="Arial" w:cs="Arial" w:hint="cs"/>
          <w:sz w:val="22"/>
          <w:szCs w:val="22"/>
        </w:rPr>
        <w:t>.</w:t>
      </w:r>
    </w:p>
    <w:p w14:paraId="2E7BA49E" w14:textId="77777777" w:rsidR="00B12FF9" w:rsidRPr="00B12FF9" w:rsidRDefault="00B12FF9" w:rsidP="00B12FF9">
      <w:pPr>
        <w:pStyle w:val="NormalWeb"/>
        <w:numPr>
          <w:ilvl w:val="0"/>
          <w:numId w:val="14"/>
        </w:numPr>
        <w:jc w:val="both"/>
        <w:rPr>
          <w:rFonts w:ascii="Arial" w:hAnsi="Arial" w:cs="Arial"/>
          <w:sz w:val="22"/>
          <w:szCs w:val="22"/>
        </w:rPr>
      </w:pPr>
      <w:r w:rsidRPr="00B12FF9">
        <w:rPr>
          <w:rFonts w:ascii="Arial" w:hAnsi="Arial" w:cs="Arial" w:hint="cs"/>
          <w:sz w:val="22"/>
          <w:szCs w:val="22"/>
        </w:rPr>
        <w:t>Solo el Proyecto PE-T1557 (2024) reconoce la intersección entre transición energética y minería del cobre, incorporando enfoques territoriales, de equidad y de fortalecimiento institucional.</w:t>
      </w:r>
    </w:p>
    <w:p w14:paraId="58671744" w14:textId="77777777" w:rsidR="00B12FF9" w:rsidRPr="00B12FF9" w:rsidRDefault="00B12FF9" w:rsidP="00B12FF9">
      <w:pPr>
        <w:pStyle w:val="Ttulo3"/>
        <w:jc w:val="both"/>
        <w:rPr>
          <w:rFonts w:ascii="Arial" w:hAnsi="Arial" w:cs="Arial"/>
          <w:sz w:val="22"/>
          <w:szCs w:val="22"/>
        </w:rPr>
      </w:pPr>
      <w:r w:rsidRPr="00B12FF9">
        <w:rPr>
          <w:rFonts w:ascii="Arial" w:hAnsi="Arial" w:cs="Arial" w:hint="cs"/>
          <w:sz w:val="22"/>
          <w:szCs w:val="22"/>
        </w:rPr>
        <w:t>4.3. Inclusión de sostenibilidad e inclusión social</w:t>
      </w:r>
    </w:p>
    <w:p w14:paraId="05F46BB1" w14:textId="77777777" w:rsidR="00B12FF9" w:rsidRPr="00B12FF9" w:rsidRDefault="00B12FF9" w:rsidP="00B12FF9">
      <w:pPr>
        <w:pStyle w:val="NormalWeb"/>
        <w:numPr>
          <w:ilvl w:val="0"/>
          <w:numId w:val="15"/>
        </w:numPr>
        <w:jc w:val="both"/>
        <w:rPr>
          <w:rFonts w:ascii="Arial" w:hAnsi="Arial" w:cs="Arial"/>
          <w:sz w:val="22"/>
          <w:szCs w:val="22"/>
        </w:rPr>
      </w:pPr>
      <w:r w:rsidRPr="00B12FF9">
        <w:rPr>
          <w:rFonts w:ascii="Arial" w:hAnsi="Arial" w:cs="Arial" w:hint="cs"/>
          <w:sz w:val="22"/>
          <w:szCs w:val="22"/>
        </w:rPr>
        <w:t xml:space="preserve">A partir de 2015, todos los documentos revisados integran criterios de </w:t>
      </w:r>
      <w:r w:rsidRPr="00B12FF9">
        <w:rPr>
          <w:rStyle w:val="Textoennegrita"/>
          <w:rFonts w:ascii="Arial" w:hAnsi="Arial" w:cs="Arial" w:hint="cs"/>
          <w:sz w:val="22"/>
          <w:szCs w:val="22"/>
        </w:rPr>
        <w:t>sostenibilidad ambiental</w:t>
      </w:r>
      <w:r w:rsidRPr="00B12FF9">
        <w:rPr>
          <w:rFonts w:ascii="Arial" w:hAnsi="Arial" w:cs="Arial" w:hint="cs"/>
          <w:sz w:val="22"/>
          <w:szCs w:val="22"/>
        </w:rPr>
        <w:t xml:space="preserve"> y </w:t>
      </w:r>
      <w:r w:rsidRPr="00B12FF9">
        <w:rPr>
          <w:rStyle w:val="Textoennegrita"/>
          <w:rFonts w:ascii="Arial" w:hAnsi="Arial" w:cs="Arial" w:hint="cs"/>
          <w:sz w:val="22"/>
          <w:szCs w:val="22"/>
        </w:rPr>
        <w:t>participación social</w:t>
      </w:r>
      <w:r w:rsidRPr="00B12FF9">
        <w:rPr>
          <w:rFonts w:ascii="Arial" w:hAnsi="Arial" w:cs="Arial" w:hint="cs"/>
          <w:sz w:val="22"/>
          <w:szCs w:val="22"/>
        </w:rPr>
        <w:t xml:space="preserve"> en distintos grados.</w:t>
      </w:r>
    </w:p>
    <w:p w14:paraId="0CD40C91" w14:textId="77777777" w:rsidR="00B12FF9" w:rsidRDefault="00B12FF9" w:rsidP="00B12FF9">
      <w:pPr>
        <w:pStyle w:val="NormalWeb"/>
        <w:numPr>
          <w:ilvl w:val="0"/>
          <w:numId w:val="15"/>
        </w:numPr>
        <w:jc w:val="both"/>
        <w:rPr>
          <w:rFonts w:ascii="Arial" w:hAnsi="Arial" w:cs="Arial"/>
          <w:sz w:val="22"/>
          <w:szCs w:val="22"/>
        </w:rPr>
      </w:pPr>
      <w:r w:rsidRPr="00B12FF9">
        <w:rPr>
          <w:rFonts w:ascii="Arial" w:hAnsi="Arial" w:cs="Arial" w:hint="cs"/>
          <w:sz w:val="22"/>
          <w:szCs w:val="22"/>
        </w:rPr>
        <w:t xml:space="preserve">Iniciativas como el Programa FOMIN/BID y el Plan de Cierre de Brechas en el Corredor Minero aportan instrumentos de </w:t>
      </w:r>
      <w:r w:rsidRPr="00B12FF9">
        <w:rPr>
          <w:rStyle w:val="Textoennegrita"/>
          <w:rFonts w:ascii="Arial" w:hAnsi="Arial" w:cs="Arial" w:hint="cs"/>
          <w:sz w:val="22"/>
          <w:szCs w:val="22"/>
        </w:rPr>
        <w:t>desarrollo local</w:t>
      </w:r>
      <w:r w:rsidRPr="00B12FF9">
        <w:rPr>
          <w:rFonts w:ascii="Arial" w:hAnsi="Arial" w:cs="Arial" w:hint="cs"/>
          <w:sz w:val="22"/>
          <w:szCs w:val="22"/>
        </w:rPr>
        <w:t xml:space="preserve">, </w:t>
      </w:r>
      <w:r w:rsidRPr="00B12FF9">
        <w:rPr>
          <w:rStyle w:val="Textoennegrita"/>
          <w:rFonts w:ascii="Arial" w:hAnsi="Arial" w:cs="Arial" w:hint="cs"/>
          <w:sz w:val="22"/>
          <w:szCs w:val="22"/>
        </w:rPr>
        <w:t>formalización inclusiva</w:t>
      </w:r>
      <w:r w:rsidRPr="00B12FF9">
        <w:rPr>
          <w:rFonts w:ascii="Arial" w:hAnsi="Arial" w:cs="Arial" w:hint="cs"/>
          <w:sz w:val="22"/>
          <w:szCs w:val="22"/>
        </w:rPr>
        <w:t xml:space="preserve"> y </w:t>
      </w:r>
      <w:r w:rsidRPr="00B12FF9">
        <w:rPr>
          <w:rStyle w:val="Textoennegrita"/>
          <w:rFonts w:ascii="Arial" w:hAnsi="Arial" w:cs="Arial" w:hint="cs"/>
          <w:sz w:val="22"/>
          <w:szCs w:val="22"/>
        </w:rPr>
        <w:t>mejoras en la gobernanza ambiental</w:t>
      </w:r>
      <w:r w:rsidRPr="00B12FF9">
        <w:rPr>
          <w:rFonts w:ascii="Arial" w:hAnsi="Arial" w:cs="Arial" w:hint="cs"/>
          <w:sz w:val="22"/>
          <w:szCs w:val="22"/>
        </w:rPr>
        <w:t>.</w:t>
      </w:r>
    </w:p>
    <w:p w14:paraId="274A7FF2" w14:textId="2A171C4F" w:rsidR="00B12FF9" w:rsidRPr="003154EB" w:rsidRDefault="00B12FF9" w:rsidP="003154EB">
      <w:pPr>
        <w:pStyle w:val="NormalWeb"/>
        <w:numPr>
          <w:ilvl w:val="0"/>
          <w:numId w:val="15"/>
        </w:numPr>
        <w:jc w:val="both"/>
        <w:rPr>
          <w:rFonts w:ascii="Arial" w:hAnsi="Arial" w:cs="Arial"/>
          <w:sz w:val="22"/>
          <w:szCs w:val="22"/>
        </w:rPr>
      </w:pPr>
      <w:r w:rsidRPr="003154EB">
        <w:rPr>
          <w:rFonts w:ascii="Arial" w:hAnsi="Arial" w:cs="Arial" w:hint="cs"/>
          <w:sz w:val="22"/>
          <w:szCs w:val="22"/>
        </w:rPr>
        <w:t xml:space="preserve">Sin embargo, estas acciones </w:t>
      </w:r>
      <w:r w:rsidRPr="003154EB">
        <w:rPr>
          <w:rStyle w:val="Textoennegrita"/>
          <w:rFonts w:ascii="Arial" w:hAnsi="Arial" w:cs="Arial" w:hint="cs"/>
          <w:sz w:val="22"/>
          <w:szCs w:val="22"/>
        </w:rPr>
        <w:t>no se articulan de forma sistémica con la cadena de valor del cobre</w:t>
      </w:r>
      <w:r w:rsidRPr="003154EB">
        <w:rPr>
          <w:rFonts w:ascii="Arial" w:hAnsi="Arial" w:cs="Arial" w:hint="cs"/>
          <w:sz w:val="22"/>
          <w:szCs w:val="22"/>
        </w:rPr>
        <w:t>, lo que diluye</w:t>
      </w:r>
      <w:r w:rsidRPr="003154EB">
        <w:rPr>
          <w:rFonts w:ascii="Arial" w:hAnsi="Arial" w:cs="Arial"/>
          <w:sz w:val="22"/>
          <w:szCs w:val="22"/>
        </w:rPr>
        <w:t xml:space="preserve"> </w:t>
      </w:r>
      <w:r w:rsidRPr="003154EB">
        <w:rPr>
          <w:rFonts w:ascii="Arial" w:hAnsi="Arial" w:cs="Arial" w:hint="cs"/>
          <w:sz w:val="22"/>
          <w:szCs w:val="22"/>
        </w:rPr>
        <w:t>su impacto estructural en las regiones mineras.</w:t>
      </w:r>
    </w:p>
    <w:p w14:paraId="701B1E6F" w14:textId="77777777" w:rsidR="00B12FF9" w:rsidRPr="00B12FF9" w:rsidRDefault="00B12FF9" w:rsidP="00B12FF9">
      <w:pPr>
        <w:pStyle w:val="Ttulo3"/>
        <w:jc w:val="both"/>
        <w:rPr>
          <w:rFonts w:ascii="Arial" w:hAnsi="Arial" w:cs="Arial"/>
          <w:sz w:val="22"/>
          <w:szCs w:val="22"/>
        </w:rPr>
      </w:pPr>
      <w:r w:rsidRPr="00B12FF9">
        <w:rPr>
          <w:rFonts w:ascii="Arial" w:hAnsi="Arial" w:cs="Arial" w:hint="cs"/>
          <w:sz w:val="22"/>
          <w:szCs w:val="22"/>
        </w:rPr>
        <w:t>4.4. Discusión de hallazgos</w:t>
      </w:r>
    </w:p>
    <w:p w14:paraId="5B6B7904" w14:textId="77777777" w:rsidR="00B12FF9" w:rsidRPr="00B12FF9" w:rsidRDefault="00B12FF9" w:rsidP="00B12FF9">
      <w:pPr>
        <w:pStyle w:val="NormalWeb"/>
        <w:jc w:val="both"/>
        <w:rPr>
          <w:rFonts w:ascii="Arial" w:hAnsi="Arial" w:cs="Arial"/>
          <w:sz w:val="22"/>
          <w:szCs w:val="22"/>
        </w:rPr>
      </w:pPr>
      <w:r w:rsidRPr="00B12FF9">
        <w:rPr>
          <w:rFonts w:ascii="Arial" w:hAnsi="Arial" w:cs="Arial" w:hint="cs"/>
          <w:sz w:val="22"/>
          <w:szCs w:val="22"/>
        </w:rPr>
        <w:t xml:space="preserve">Los resultados obtenidos evidencian una evolución normativa parcial, con señales incipientes de transformación, pero aún sin consolidación de una estrategia intersectorial coherente. A continuación, </w:t>
      </w:r>
      <w:r w:rsidRPr="00B12FF9">
        <w:rPr>
          <w:rFonts w:ascii="Arial" w:hAnsi="Arial" w:cs="Arial" w:hint="cs"/>
          <w:sz w:val="22"/>
          <w:szCs w:val="22"/>
        </w:rPr>
        <w:lastRenderedPageBreak/>
        <w:t>se analizan los principales nudos críticos y oportunidades estratégicas:</w:t>
      </w:r>
    </w:p>
    <w:p w14:paraId="450E6F7C" w14:textId="77777777" w:rsidR="00B12FF9" w:rsidRPr="00B12FF9" w:rsidRDefault="00B12FF9" w:rsidP="00B12FF9">
      <w:pPr>
        <w:pStyle w:val="Ttulo3"/>
        <w:jc w:val="both"/>
        <w:rPr>
          <w:rFonts w:ascii="Arial" w:hAnsi="Arial" w:cs="Arial"/>
          <w:sz w:val="22"/>
          <w:szCs w:val="22"/>
        </w:rPr>
      </w:pPr>
      <w:r w:rsidRPr="00B12FF9">
        <w:rPr>
          <w:rFonts w:ascii="Arial" w:hAnsi="Arial" w:cs="Arial" w:hint="cs"/>
          <w:sz w:val="22"/>
          <w:szCs w:val="22"/>
        </w:rPr>
        <w:t>a) Fragmentación institucional y falta de visión soberana</w:t>
      </w:r>
    </w:p>
    <w:p w14:paraId="55D7CA80" w14:textId="77777777" w:rsidR="00B12FF9" w:rsidRPr="00B12FF9" w:rsidRDefault="00B12FF9" w:rsidP="00B12FF9">
      <w:pPr>
        <w:pStyle w:val="NormalWeb"/>
        <w:jc w:val="both"/>
        <w:rPr>
          <w:rFonts w:ascii="Arial" w:hAnsi="Arial" w:cs="Arial"/>
          <w:sz w:val="22"/>
          <w:szCs w:val="22"/>
        </w:rPr>
      </w:pPr>
      <w:r w:rsidRPr="00B12FF9">
        <w:rPr>
          <w:rFonts w:ascii="Arial" w:hAnsi="Arial" w:cs="Arial" w:hint="cs"/>
          <w:sz w:val="22"/>
          <w:szCs w:val="22"/>
        </w:rPr>
        <w:t xml:space="preserve">Pese a que el Perú es el segundo productor mundial de cobre, </w:t>
      </w:r>
      <w:r w:rsidRPr="00B12FF9">
        <w:rPr>
          <w:rStyle w:val="Textoennegrita"/>
          <w:rFonts w:ascii="Arial" w:hAnsi="Arial" w:cs="Arial" w:hint="cs"/>
          <w:sz w:val="22"/>
          <w:szCs w:val="22"/>
        </w:rPr>
        <w:t>no cuenta con una política nacional de soberanía mineral</w:t>
      </w:r>
      <w:r w:rsidRPr="00B12FF9">
        <w:rPr>
          <w:rFonts w:ascii="Arial" w:hAnsi="Arial" w:cs="Arial" w:hint="cs"/>
          <w:sz w:val="22"/>
          <w:szCs w:val="22"/>
        </w:rPr>
        <w:t>. El tratamiento del cobre como mineral crítico recién emerge en 2023, contrastando con marcos estratégicos ya consolidados en países como EE.UU., la Unión Europea y Brasil (OECD, 2021; World Bank, 2020). Esta omisión limita la capacidad del Estado para:</w:t>
      </w:r>
    </w:p>
    <w:p w14:paraId="52808443" w14:textId="77777777" w:rsidR="00B12FF9" w:rsidRPr="00B12FF9" w:rsidRDefault="00B12FF9" w:rsidP="00B12FF9">
      <w:pPr>
        <w:pStyle w:val="NormalWeb"/>
        <w:numPr>
          <w:ilvl w:val="0"/>
          <w:numId w:val="16"/>
        </w:numPr>
        <w:jc w:val="both"/>
        <w:rPr>
          <w:rFonts w:ascii="Arial" w:hAnsi="Arial" w:cs="Arial"/>
          <w:sz w:val="22"/>
          <w:szCs w:val="22"/>
        </w:rPr>
      </w:pPr>
      <w:r w:rsidRPr="00B12FF9">
        <w:rPr>
          <w:rFonts w:ascii="Arial" w:hAnsi="Arial" w:cs="Arial" w:hint="cs"/>
          <w:sz w:val="22"/>
          <w:szCs w:val="22"/>
        </w:rPr>
        <w:t>Capturar rentas y valor agregado.</w:t>
      </w:r>
    </w:p>
    <w:p w14:paraId="275EF088" w14:textId="77777777" w:rsidR="00B12FF9" w:rsidRPr="00B12FF9" w:rsidRDefault="00B12FF9" w:rsidP="00B12FF9">
      <w:pPr>
        <w:pStyle w:val="NormalWeb"/>
        <w:numPr>
          <w:ilvl w:val="0"/>
          <w:numId w:val="16"/>
        </w:numPr>
        <w:jc w:val="both"/>
        <w:rPr>
          <w:rFonts w:ascii="Arial" w:hAnsi="Arial" w:cs="Arial"/>
          <w:sz w:val="22"/>
          <w:szCs w:val="22"/>
        </w:rPr>
      </w:pPr>
      <w:r w:rsidRPr="00B12FF9">
        <w:rPr>
          <w:rFonts w:ascii="Arial" w:hAnsi="Arial" w:cs="Arial" w:hint="cs"/>
          <w:sz w:val="22"/>
          <w:szCs w:val="22"/>
        </w:rPr>
        <w:t>Impulsar encadenamientos productivos.</w:t>
      </w:r>
    </w:p>
    <w:p w14:paraId="003E645B" w14:textId="77777777" w:rsidR="00B12FF9" w:rsidRPr="00B12FF9" w:rsidRDefault="00B12FF9" w:rsidP="00B12FF9">
      <w:pPr>
        <w:pStyle w:val="NormalWeb"/>
        <w:numPr>
          <w:ilvl w:val="0"/>
          <w:numId w:val="16"/>
        </w:numPr>
        <w:jc w:val="both"/>
        <w:rPr>
          <w:rFonts w:ascii="Arial" w:hAnsi="Arial" w:cs="Arial"/>
          <w:sz w:val="22"/>
          <w:szCs w:val="22"/>
        </w:rPr>
      </w:pPr>
      <w:r w:rsidRPr="00B12FF9">
        <w:rPr>
          <w:rFonts w:ascii="Arial" w:hAnsi="Arial" w:cs="Arial" w:hint="cs"/>
          <w:sz w:val="22"/>
          <w:szCs w:val="22"/>
        </w:rPr>
        <w:t>Orientar el recurso hacia metas de desarrollo nacional y transición energética.</w:t>
      </w:r>
    </w:p>
    <w:p w14:paraId="749CAD74" w14:textId="77777777" w:rsidR="00B12FF9" w:rsidRPr="00B12FF9" w:rsidRDefault="00B12FF9" w:rsidP="00B12FF9">
      <w:pPr>
        <w:pStyle w:val="Ttulo3"/>
        <w:jc w:val="both"/>
        <w:rPr>
          <w:rFonts w:ascii="Arial" w:hAnsi="Arial" w:cs="Arial"/>
          <w:sz w:val="22"/>
          <w:szCs w:val="22"/>
        </w:rPr>
      </w:pPr>
      <w:r w:rsidRPr="00B12FF9">
        <w:rPr>
          <w:rFonts w:ascii="Arial" w:hAnsi="Arial" w:cs="Arial" w:hint="cs"/>
          <w:sz w:val="22"/>
          <w:szCs w:val="22"/>
        </w:rPr>
        <w:t>b) Transición energética sin justicia territorial</w:t>
      </w:r>
    </w:p>
    <w:p w14:paraId="39B73666" w14:textId="77777777" w:rsidR="00B12FF9" w:rsidRPr="00B12FF9" w:rsidRDefault="00B12FF9" w:rsidP="00B12FF9">
      <w:pPr>
        <w:pStyle w:val="NormalWeb"/>
        <w:jc w:val="both"/>
        <w:rPr>
          <w:rFonts w:ascii="Arial" w:hAnsi="Arial" w:cs="Arial"/>
          <w:sz w:val="22"/>
          <w:szCs w:val="22"/>
        </w:rPr>
      </w:pPr>
      <w:r w:rsidRPr="00B12FF9">
        <w:rPr>
          <w:rFonts w:ascii="Arial" w:hAnsi="Arial" w:cs="Arial" w:hint="cs"/>
          <w:sz w:val="22"/>
          <w:szCs w:val="22"/>
        </w:rPr>
        <w:t xml:space="preserve">La transición energética ha sido abordada desde una perspectiva </w:t>
      </w:r>
      <w:r w:rsidRPr="00B12FF9">
        <w:rPr>
          <w:rStyle w:val="Textoennegrita"/>
          <w:rFonts w:ascii="Arial" w:hAnsi="Arial" w:cs="Arial" w:hint="cs"/>
          <w:sz w:val="22"/>
          <w:szCs w:val="22"/>
        </w:rPr>
        <w:t>ambiental y tecnológica</w:t>
      </w:r>
      <w:r w:rsidRPr="00B12FF9">
        <w:rPr>
          <w:rFonts w:ascii="Arial" w:hAnsi="Arial" w:cs="Arial" w:hint="cs"/>
          <w:sz w:val="22"/>
          <w:szCs w:val="22"/>
        </w:rPr>
        <w:t xml:space="preserve">, pero </w:t>
      </w:r>
      <w:r w:rsidRPr="00B12FF9">
        <w:rPr>
          <w:rStyle w:val="Textoennegrita"/>
          <w:rFonts w:ascii="Arial" w:hAnsi="Arial" w:cs="Arial" w:hint="cs"/>
          <w:sz w:val="22"/>
          <w:szCs w:val="22"/>
        </w:rPr>
        <w:t>no social ni redistributiva</w:t>
      </w:r>
      <w:r w:rsidRPr="00B12FF9">
        <w:rPr>
          <w:rFonts w:ascii="Arial" w:hAnsi="Arial" w:cs="Arial" w:hint="cs"/>
          <w:sz w:val="22"/>
          <w:szCs w:val="22"/>
        </w:rPr>
        <w:t xml:space="preserve">. Las comunidades del corredor minero andino, principales proveedoras del cobre necesario para tecnologías limpias, </w:t>
      </w:r>
      <w:r w:rsidRPr="00B12FF9">
        <w:rPr>
          <w:rStyle w:val="Textoennegrita"/>
          <w:rFonts w:ascii="Arial" w:hAnsi="Arial" w:cs="Arial" w:hint="cs"/>
          <w:sz w:val="22"/>
          <w:szCs w:val="22"/>
        </w:rPr>
        <w:t>no han sido incluidas como sujetos activos del proceso</w:t>
      </w:r>
      <w:r w:rsidRPr="00B12FF9">
        <w:rPr>
          <w:rFonts w:ascii="Arial" w:hAnsi="Arial" w:cs="Arial" w:hint="cs"/>
          <w:sz w:val="22"/>
          <w:szCs w:val="22"/>
        </w:rPr>
        <w:t>. Esto contradice principios de justicia climática y limita la legitimidad social del modelo extractivo.</w:t>
      </w:r>
    </w:p>
    <w:p w14:paraId="44AEC7A3" w14:textId="77777777" w:rsidR="00B12FF9" w:rsidRPr="00B12FF9" w:rsidRDefault="00B12FF9" w:rsidP="00B12FF9">
      <w:pPr>
        <w:pStyle w:val="Ttulo3"/>
        <w:jc w:val="both"/>
        <w:rPr>
          <w:rFonts w:ascii="Arial" w:hAnsi="Arial" w:cs="Arial"/>
          <w:sz w:val="22"/>
          <w:szCs w:val="22"/>
        </w:rPr>
      </w:pPr>
      <w:r w:rsidRPr="00B12FF9">
        <w:rPr>
          <w:rFonts w:ascii="Arial" w:hAnsi="Arial" w:cs="Arial" w:hint="cs"/>
          <w:sz w:val="22"/>
          <w:szCs w:val="22"/>
        </w:rPr>
        <w:t>c) Ventanas de oportunidad para una reconfiguración estratégica</w:t>
      </w:r>
    </w:p>
    <w:p w14:paraId="002D973A" w14:textId="77777777" w:rsidR="00B12FF9" w:rsidRPr="00B12FF9" w:rsidRDefault="00B12FF9" w:rsidP="00B12FF9">
      <w:pPr>
        <w:pStyle w:val="NormalWeb"/>
        <w:jc w:val="both"/>
        <w:rPr>
          <w:rFonts w:ascii="Arial" w:hAnsi="Arial" w:cs="Arial"/>
          <w:sz w:val="22"/>
          <w:szCs w:val="22"/>
        </w:rPr>
      </w:pPr>
      <w:r w:rsidRPr="00B12FF9">
        <w:rPr>
          <w:rFonts w:ascii="Arial" w:hAnsi="Arial" w:cs="Arial" w:hint="cs"/>
          <w:sz w:val="22"/>
          <w:szCs w:val="22"/>
        </w:rPr>
        <w:t xml:space="preserve">Los documentos más recientes –el Proyecto de Ley 6931/2023 y el Proyecto PE-T1557 del BID– abren un espacio inédito para la formulación de una </w:t>
      </w:r>
      <w:r w:rsidRPr="00B12FF9">
        <w:rPr>
          <w:rStyle w:val="Textoennegrita"/>
          <w:rFonts w:ascii="Arial" w:hAnsi="Arial" w:cs="Arial" w:hint="cs"/>
          <w:sz w:val="22"/>
          <w:szCs w:val="22"/>
        </w:rPr>
        <w:t>política nacional de minerales estratégicos con enfoque de transición justa</w:t>
      </w:r>
      <w:r w:rsidRPr="00B12FF9">
        <w:rPr>
          <w:rFonts w:ascii="Arial" w:hAnsi="Arial" w:cs="Arial" w:hint="cs"/>
          <w:sz w:val="22"/>
          <w:szCs w:val="22"/>
        </w:rPr>
        <w:t>. Su implementación requerirá:</w:t>
      </w:r>
    </w:p>
    <w:p w14:paraId="700F4BD5" w14:textId="77777777" w:rsidR="00B12FF9" w:rsidRPr="00B12FF9" w:rsidRDefault="00B12FF9" w:rsidP="00B12FF9">
      <w:pPr>
        <w:pStyle w:val="NormalWeb"/>
        <w:numPr>
          <w:ilvl w:val="0"/>
          <w:numId w:val="17"/>
        </w:numPr>
        <w:jc w:val="both"/>
        <w:rPr>
          <w:rFonts w:ascii="Arial" w:hAnsi="Arial" w:cs="Arial"/>
          <w:sz w:val="22"/>
          <w:szCs w:val="22"/>
        </w:rPr>
      </w:pPr>
      <w:r w:rsidRPr="00B12FF9">
        <w:rPr>
          <w:rFonts w:ascii="Arial" w:hAnsi="Arial" w:cs="Arial" w:hint="cs"/>
          <w:sz w:val="22"/>
          <w:szCs w:val="22"/>
        </w:rPr>
        <w:t>Gobernanza intersectorial e intergubernamental.</w:t>
      </w:r>
    </w:p>
    <w:p w14:paraId="15DD1A53" w14:textId="77777777" w:rsidR="00B12FF9" w:rsidRPr="00B12FF9" w:rsidRDefault="00B12FF9" w:rsidP="00B12FF9">
      <w:pPr>
        <w:pStyle w:val="NormalWeb"/>
        <w:numPr>
          <w:ilvl w:val="0"/>
          <w:numId w:val="17"/>
        </w:numPr>
        <w:jc w:val="both"/>
        <w:rPr>
          <w:rFonts w:ascii="Arial" w:hAnsi="Arial" w:cs="Arial"/>
          <w:sz w:val="22"/>
          <w:szCs w:val="22"/>
        </w:rPr>
      </w:pPr>
      <w:r w:rsidRPr="00B12FF9">
        <w:rPr>
          <w:rFonts w:ascii="Arial" w:hAnsi="Arial" w:cs="Arial" w:hint="cs"/>
          <w:sz w:val="22"/>
          <w:szCs w:val="22"/>
        </w:rPr>
        <w:t>Participación efectiva de regiones y comunidades.</w:t>
      </w:r>
    </w:p>
    <w:p w14:paraId="2F510041" w14:textId="7CD9ECA5" w:rsidR="003154EB" w:rsidRPr="003673E7" w:rsidRDefault="00B12FF9" w:rsidP="003673E7">
      <w:pPr>
        <w:pStyle w:val="NormalWeb"/>
        <w:numPr>
          <w:ilvl w:val="0"/>
          <w:numId w:val="17"/>
        </w:numPr>
        <w:jc w:val="both"/>
        <w:rPr>
          <w:rFonts w:ascii="Arial" w:hAnsi="Arial" w:cs="Arial"/>
          <w:sz w:val="22"/>
          <w:szCs w:val="22"/>
        </w:rPr>
      </w:pPr>
      <w:r w:rsidRPr="00B12FF9">
        <w:rPr>
          <w:rFonts w:ascii="Arial" w:hAnsi="Arial" w:cs="Arial" w:hint="cs"/>
          <w:sz w:val="22"/>
          <w:szCs w:val="22"/>
        </w:rPr>
        <w:t>Articulación de instrumentos fiscales, tecnológicos y ambientales.</w:t>
      </w:r>
    </w:p>
    <w:p w14:paraId="451B031C" w14:textId="203F0F70" w:rsidR="008C3927" w:rsidRPr="000270E6" w:rsidRDefault="00F857C3" w:rsidP="008C3927">
      <w:pPr>
        <w:jc w:val="both"/>
        <w:rPr>
          <w:rFonts w:ascii="Arial" w:hAnsi="Arial" w:cs="Arial"/>
          <w:b/>
          <w:bCs/>
          <w:sz w:val="22"/>
          <w:szCs w:val="22"/>
        </w:rPr>
      </w:pPr>
      <w:r w:rsidRPr="000270E6">
        <w:rPr>
          <w:rFonts w:ascii="Arial" w:hAnsi="Arial" w:cs="Arial"/>
          <w:b/>
          <w:bCs/>
          <w:sz w:val="22"/>
          <w:szCs w:val="22"/>
        </w:rPr>
        <w:t xml:space="preserve">5. </w:t>
      </w:r>
      <w:r w:rsidR="00EC5D28" w:rsidRPr="000270E6">
        <w:rPr>
          <w:rFonts w:ascii="Arial" w:hAnsi="Arial" w:cs="Arial"/>
          <w:b/>
          <w:bCs/>
          <w:sz w:val="22"/>
          <w:szCs w:val="22"/>
        </w:rPr>
        <w:t>Conclusiones</w:t>
      </w:r>
    </w:p>
    <w:p w14:paraId="3853233D" w14:textId="77777777" w:rsidR="008C3927" w:rsidRPr="000270E6" w:rsidRDefault="008C3927" w:rsidP="008C3927">
      <w:pPr>
        <w:jc w:val="both"/>
        <w:rPr>
          <w:rFonts w:ascii="Arial" w:hAnsi="Arial" w:cs="Arial"/>
          <w:b/>
          <w:bCs/>
          <w:sz w:val="22"/>
          <w:szCs w:val="22"/>
        </w:rPr>
      </w:pPr>
    </w:p>
    <w:p w14:paraId="23E7C2ED" w14:textId="30CB9F49" w:rsidR="003673E7" w:rsidRPr="003673E7" w:rsidRDefault="00B738C3" w:rsidP="003673E7">
      <w:pPr>
        <w:pStyle w:val="NormalWeb"/>
        <w:numPr>
          <w:ilvl w:val="0"/>
          <w:numId w:val="22"/>
        </w:numPr>
        <w:jc w:val="both"/>
        <w:rPr>
          <w:rFonts w:ascii="Arial" w:hAnsi="Arial" w:cs="Arial"/>
          <w:sz w:val="22"/>
          <w:szCs w:val="22"/>
        </w:rPr>
      </w:pPr>
      <w:r w:rsidRPr="00B738C3">
        <w:rPr>
          <w:rStyle w:val="Textoennegrita"/>
          <w:rFonts w:ascii="Arial" w:hAnsi="Arial" w:cs="Arial" w:hint="cs"/>
          <w:sz w:val="22"/>
          <w:szCs w:val="22"/>
        </w:rPr>
        <w:t>El Perú carece de una política integral de soberanía mineral orientada al cobre</w:t>
      </w:r>
      <w:r w:rsidRPr="00B738C3">
        <w:rPr>
          <w:rFonts w:ascii="Arial" w:hAnsi="Arial" w:cs="Arial" w:hint="cs"/>
          <w:sz w:val="22"/>
          <w:szCs w:val="22"/>
        </w:rPr>
        <w:br/>
        <w:t xml:space="preserve">Aunque es el segundo productor mundial de cobre, el país no cuenta con un marco normativo que articule el aprovechamiento </w:t>
      </w:r>
      <w:r w:rsidRPr="00B738C3">
        <w:rPr>
          <w:rFonts w:ascii="Arial" w:hAnsi="Arial" w:cs="Arial" w:hint="cs"/>
          <w:sz w:val="22"/>
          <w:szCs w:val="22"/>
        </w:rPr>
        <w:t>estratégico del recurso con valor agregado, control estatal ni gobernanza descentralizada. Solo documentos recientes como el PL 6931/2023 o el PE</w:t>
      </w:r>
      <w:r w:rsidRPr="00B738C3">
        <w:rPr>
          <w:rFonts w:ascii="Arial" w:hAnsi="Arial" w:cs="Arial" w:hint="cs"/>
          <w:sz w:val="22"/>
          <w:szCs w:val="22"/>
        </w:rPr>
        <w:noBreakHyphen/>
        <w:t>T1557 (2024) visibilizan el cobre como mineral crítico, aunque aún sin implementación.</w:t>
      </w:r>
      <w:r w:rsidR="003673E7">
        <w:rPr>
          <w:rFonts w:ascii="Arial" w:hAnsi="Arial" w:cs="Arial"/>
          <w:sz w:val="22"/>
          <w:szCs w:val="22"/>
        </w:rPr>
        <w:br/>
      </w:r>
    </w:p>
    <w:p w14:paraId="1A2EF4EC" w14:textId="21838ECA" w:rsidR="003673E7" w:rsidRPr="003673E7" w:rsidRDefault="00B738C3" w:rsidP="003673E7">
      <w:pPr>
        <w:pStyle w:val="NormalWeb"/>
        <w:numPr>
          <w:ilvl w:val="0"/>
          <w:numId w:val="22"/>
        </w:numPr>
        <w:jc w:val="both"/>
        <w:rPr>
          <w:rFonts w:ascii="Arial" w:hAnsi="Arial" w:cs="Arial"/>
          <w:sz w:val="22"/>
          <w:szCs w:val="22"/>
        </w:rPr>
      </w:pPr>
      <w:r w:rsidRPr="00B738C3">
        <w:rPr>
          <w:rStyle w:val="Textoennegrita"/>
          <w:rFonts w:ascii="Arial" w:hAnsi="Arial" w:cs="Arial" w:hint="cs"/>
          <w:sz w:val="22"/>
          <w:szCs w:val="22"/>
        </w:rPr>
        <w:t>La transición energética es abordada sin una perspectiva de justicia minera ni territorial</w:t>
      </w:r>
      <w:r w:rsidRPr="00B738C3">
        <w:rPr>
          <w:rFonts w:ascii="Arial" w:hAnsi="Arial" w:cs="Arial" w:hint="cs"/>
          <w:sz w:val="22"/>
          <w:szCs w:val="22"/>
        </w:rPr>
        <w:br/>
        <w:t>Si bien algunas estrategias mencionan la transición energética, ninguna establece vínculos explícitos entre esta y la cadena de valor del cobre, ni contempla mecanismos redistributivos o de equidad territorial. La desconexión entre minería, energía y desarrollo local limita la legitimidad y sostenibilidad de dicha transición.</w:t>
      </w:r>
      <w:r w:rsidR="003673E7">
        <w:rPr>
          <w:rFonts w:ascii="Arial" w:hAnsi="Arial" w:cs="Arial"/>
          <w:sz w:val="22"/>
          <w:szCs w:val="22"/>
        </w:rPr>
        <w:br/>
      </w:r>
    </w:p>
    <w:p w14:paraId="7B92045B" w14:textId="77777777" w:rsidR="003673E7" w:rsidRDefault="00B738C3" w:rsidP="003673E7">
      <w:pPr>
        <w:pStyle w:val="NormalWeb"/>
        <w:numPr>
          <w:ilvl w:val="0"/>
          <w:numId w:val="22"/>
        </w:numPr>
        <w:jc w:val="both"/>
        <w:rPr>
          <w:rFonts w:ascii="Arial" w:hAnsi="Arial" w:cs="Arial"/>
          <w:sz w:val="22"/>
          <w:szCs w:val="22"/>
        </w:rPr>
      </w:pPr>
      <w:r w:rsidRPr="003673E7">
        <w:rPr>
          <w:rStyle w:val="Textoennegrita"/>
          <w:rFonts w:ascii="Arial" w:hAnsi="Arial" w:cs="Arial" w:hint="cs"/>
          <w:sz w:val="22"/>
          <w:szCs w:val="22"/>
        </w:rPr>
        <w:t>La sostenibilidad se incorpora de forma creciente, pero desarticulada del enfoque productivo minero</w:t>
      </w:r>
      <w:r w:rsidRPr="003673E7">
        <w:rPr>
          <w:rFonts w:ascii="Arial" w:hAnsi="Arial" w:cs="Arial" w:hint="cs"/>
          <w:sz w:val="22"/>
          <w:szCs w:val="22"/>
        </w:rPr>
        <w:br/>
        <w:t>Desde 2015 se observa una mayor inclusión de objetivos ambientales, sociales y de participación ciudadana. Sin embargo, estas dimensiones se aplican de forma genérica, sin conexión clara con el ciclo del cobre, lo que reduce su impacto en zonas de extracción.</w:t>
      </w:r>
      <w:r w:rsidR="003673E7">
        <w:rPr>
          <w:rFonts w:ascii="Arial" w:hAnsi="Arial" w:cs="Arial"/>
          <w:sz w:val="22"/>
          <w:szCs w:val="22"/>
        </w:rPr>
        <w:br/>
      </w:r>
    </w:p>
    <w:p w14:paraId="25C5EBD4" w14:textId="637D35C8" w:rsidR="003673E7" w:rsidRPr="003673E7" w:rsidRDefault="00B738C3" w:rsidP="003673E7">
      <w:pPr>
        <w:pStyle w:val="NormalWeb"/>
        <w:numPr>
          <w:ilvl w:val="0"/>
          <w:numId w:val="22"/>
        </w:numPr>
        <w:jc w:val="both"/>
        <w:rPr>
          <w:rFonts w:ascii="Arial" w:hAnsi="Arial" w:cs="Arial"/>
          <w:sz w:val="22"/>
          <w:szCs w:val="22"/>
        </w:rPr>
      </w:pPr>
      <w:r w:rsidRPr="003673E7">
        <w:rPr>
          <w:rStyle w:val="Textoennegrita"/>
          <w:rFonts w:ascii="Arial" w:hAnsi="Arial" w:cs="Arial" w:hint="cs"/>
          <w:sz w:val="22"/>
          <w:szCs w:val="22"/>
        </w:rPr>
        <w:t>Existen oportunidades normativas emergentes para una política coherente y transformadora</w:t>
      </w:r>
      <w:r w:rsidRPr="003673E7">
        <w:rPr>
          <w:rFonts w:ascii="Arial" w:hAnsi="Arial" w:cs="Arial" w:hint="cs"/>
          <w:sz w:val="22"/>
          <w:szCs w:val="22"/>
        </w:rPr>
        <w:br/>
        <w:t>Documentos como el PL 6931/2023 y PE</w:t>
      </w:r>
      <w:r w:rsidRPr="003673E7">
        <w:rPr>
          <w:rFonts w:ascii="Arial" w:hAnsi="Arial" w:cs="Arial" w:hint="cs"/>
          <w:sz w:val="22"/>
          <w:szCs w:val="22"/>
        </w:rPr>
        <w:noBreakHyphen/>
        <w:t>T1557 ofrecen puntos de partida concretos para una agenda estratégica. Ambos plantean trazabilidad, gobernanza local y transición energética baja en carbono, pero requieren articulación interministerial y voluntad política para superar enfoques sectoriales aislados.</w:t>
      </w:r>
    </w:p>
    <w:p w14:paraId="2FF7697E" w14:textId="38A820DB" w:rsidR="004A6D22" w:rsidRPr="00EB0DEC" w:rsidRDefault="00B738C3" w:rsidP="00EB0DEC">
      <w:pPr>
        <w:pStyle w:val="NormalWeb"/>
        <w:numPr>
          <w:ilvl w:val="0"/>
          <w:numId w:val="22"/>
        </w:numPr>
        <w:jc w:val="both"/>
        <w:rPr>
          <w:rFonts w:ascii="Arial" w:hAnsi="Arial" w:cs="Arial"/>
          <w:sz w:val="22"/>
          <w:szCs w:val="22"/>
        </w:rPr>
      </w:pPr>
      <w:r w:rsidRPr="003673E7">
        <w:rPr>
          <w:rStyle w:val="Textoennegrita"/>
          <w:rFonts w:ascii="Arial" w:hAnsi="Arial" w:cs="Arial" w:hint="cs"/>
          <w:sz w:val="22"/>
          <w:szCs w:val="22"/>
        </w:rPr>
        <w:t>Es urgente una política nacional de minerales estratégicos con enfoque de soberanía climática y justicia territorial</w:t>
      </w:r>
      <w:r w:rsidRPr="003673E7">
        <w:rPr>
          <w:rFonts w:ascii="Arial" w:hAnsi="Arial" w:cs="Arial" w:hint="cs"/>
          <w:sz w:val="22"/>
          <w:szCs w:val="22"/>
        </w:rPr>
        <w:br/>
        <w:t>Para enfrentar los desafíos globales de la transición energética, el Perú debe formular una política pública que integre la minería del cobre con metas de desarrollo sostenible, equidad territorial y posicionamiento geoestratégico. Esta política debe ser construida con participación activa de regiones productoras y alineada a marcos internacionales como la IRA (EE.UU.) y el reglamento europeo de minerales críticos.</w:t>
      </w:r>
    </w:p>
    <w:p w14:paraId="4196D79F" w14:textId="77777777" w:rsidR="004A6D22" w:rsidRDefault="004A6D22" w:rsidP="00975533">
      <w:pPr>
        <w:widowControl w:val="0"/>
        <w:autoSpaceDE w:val="0"/>
        <w:autoSpaceDN w:val="0"/>
        <w:adjustRightInd w:val="0"/>
        <w:rPr>
          <w:rFonts w:ascii="Arial" w:hAnsi="Arial" w:cs="Arial"/>
          <w:b/>
          <w:bCs/>
          <w:sz w:val="22"/>
          <w:szCs w:val="22"/>
        </w:rPr>
      </w:pPr>
    </w:p>
    <w:p w14:paraId="5807D2A5" w14:textId="77777777" w:rsidR="003673E7" w:rsidRDefault="003673E7" w:rsidP="003673E7">
      <w:pPr>
        <w:rPr>
          <w:rFonts w:ascii="Arial" w:hAnsi="Arial" w:cs="Arial"/>
          <w:b/>
          <w:bCs/>
          <w:sz w:val="22"/>
          <w:szCs w:val="22"/>
        </w:rPr>
        <w:sectPr w:rsidR="003673E7" w:rsidSect="00D34811">
          <w:type w:val="continuous"/>
          <w:pgSz w:w="11900" w:h="16840"/>
          <w:pgMar w:top="1134" w:right="680" w:bottom="964" w:left="851" w:header="680" w:footer="567" w:gutter="0"/>
          <w:cols w:num="2" w:space="397"/>
          <w:docGrid w:linePitch="360"/>
        </w:sectPr>
      </w:pPr>
    </w:p>
    <w:p w14:paraId="774A69FC" w14:textId="7955A55D" w:rsidR="00A534CB" w:rsidRPr="00106D35" w:rsidRDefault="00EC5D28" w:rsidP="00106D35">
      <w:pPr>
        <w:rPr>
          <w:rFonts w:ascii="Arial" w:hAnsi="Arial" w:cs="Arial"/>
          <w:b/>
          <w:bCs/>
          <w:sz w:val="22"/>
          <w:szCs w:val="22"/>
        </w:rPr>
      </w:pPr>
      <w:r w:rsidRPr="000270E6">
        <w:rPr>
          <w:rFonts w:ascii="Arial" w:hAnsi="Arial" w:cs="Arial"/>
          <w:b/>
          <w:bCs/>
          <w:sz w:val="22"/>
          <w:szCs w:val="22"/>
        </w:rPr>
        <w:lastRenderedPageBreak/>
        <w:t>6</w:t>
      </w:r>
      <w:r w:rsidR="00AF2A3B" w:rsidRPr="000270E6">
        <w:rPr>
          <w:rFonts w:ascii="Arial" w:hAnsi="Arial" w:cs="Arial"/>
          <w:b/>
          <w:bCs/>
          <w:sz w:val="22"/>
          <w:szCs w:val="22"/>
        </w:rPr>
        <w:t xml:space="preserve">. </w:t>
      </w:r>
      <w:r w:rsidR="00180629" w:rsidRPr="000270E6">
        <w:rPr>
          <w:rFonts w:ascii="Arial" w:hAnsi="Arial" w:cs="Arial"/>
          <w:b/>
          <w:bCs/>
          <w:sz w:val="22"/>
          <w:szCs w:val="22"/>
        </w:rPr>
        <w:t>Anexos</w:t>
      </w:r>
    </w:p>
    <w:p w14:paraId="19A8BC89" w14:textId="77777777" w:rsidR="00106D35" w:rsidRPr="00E6670E" w:rsidRDefault="00106D35" w:rsidP="00106D35">
      <w:pPr>
        <w:spacing w:before="100" w:beforeAutospacing="1" w:after="100" w:afterAutospacing="1"/>
        <w:jc w:val="center"/>
        <w:rPr>
          <w:rFonts w:ascii="Arial" w:hAnsi="Arial" w:cs="Arial"/>
          <w:b/>
          <w:bCs/>
          <w:sz w:val="22"/>
          <w:szCs w:val="22"/>
        </w:rPr>
      </w:pPr>
      <w:r w:rsidRPr="00E6670E">
        <w:rPr>
          <w:rFonts w:ascii="Arial" w:hAnsi="Arial" w:cs="Arial" w:hint="cs"/>
          <w:b/>
          <w:bCs/>
          <w:sz w:val="22"/>
          <w:szCs w:val="22"/>
        </w:rPr>
        <w:t>Anexo 1: Matriz de análisis documental 2010–2024.</w:t>
      </w:r>
    </w:p>
    <w:p w14:paraId="556E3B47" w14:textId="042885D2" w:rsidR="003673E7" w:rsidRDefault="00106D35" w:rsidP="00106D35">
      <w:pPr>
        <w:jc w:val="center"/>
        <w:rPr>
          <w:rFonts w:ascii="Arial" w:hAnsi="Arial" w:cs="Arial"/>
          <w:b/>
          <w:bCs/>
          <w:sz w:val="22"/>
          <w:szCs w:val="22"/>
        </w:rPr>
        <w:sectPr w:rsidR="003673E7" w:rsidSect="000551D8">
          <w:pgSz w:w="16840" w:h="11900" w:orient="landscape"/>
          <w:pgMar w:top="680" w:right="964" w:bottom="851" w:left="1134" w:header="680" w:footer="567" w:gutter="0"/>
          <w:cols w:space="397"/>
          <w:docGrid w:linePitch="360"/>
        </w:sectPr>
      </w:pPr>
      <w:r w:rsidRPr="00106D35">
        <w:rPr>
          <w:rFonts w:ascii="Arial" w:hAnsi="Arial" w:cs="Arial"/>
          <w:b/>
          <w:bCs/>
          <w:noProof/>
          <w:sz w:val="22"/>
          <w:szCs w:val="22"/>
        </w:rPr>
        <w:drawing>
          <wp:inline distT="0" distB="0" distL="0" distR="0" wp14:anchorId="2DB2BF95" wp14:editId="622A89A9">
            <wp:extent cx="9143008" cy="5520267"/>
            <wp:effectExtent l="0" t="0" r="1270" b="4445"/>
            <wp:docPr id="1357251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51927" name=""/>
                    <pic:cNvPicPr/>
                  </pic:nvPicPr>
                  <pic:blipFill>
                    <a:blip r:embed="rId12"/>
                    <a:stretch>
                      <a:fillRect/>
                    </a:stretch>
                  </pic:blipFill>
                  <pic:spPr>
                    <a:xfrm>
                      <a:off x="0" y="0"/>
                      <a:ext cx="9171113" cy="5537236"/>
                    </a:xfrm>
                    <a:prstGeom prst="rect">
                      <a:avLst/>
                    </a:prstGeom>
                  </pic:spPr>
                </pic:pic>
              </a:graphicData>
            </a:graphic>
          </wp:inline>
        </w:drawing>
      </w:r>
      <w:r>
        <w:rPr>
          <w:rFonts w:ascii="Arial" w:hAnsi="Arial" w:cs="Arial"/>
          <w:b/>
          <w:bCs/>
          <w:sz w:val="22"/>
          <w:szCs w:val="22"/>
        </w:rPr>
        <w:br/>
        <w:t>Fuente: Elaboración propia.</w:t>
      </w:r>
    </w:p>
    <w:p w14:paraId="0346E950" w14:textId="1E948A89" w:rsidR="006178C0" w:rsidRPr="000270E6" w:rsidRDefault="00EC5D28" w:rsidP="006178C0">
      <w:pPr>
        <w:jc w:val="both"/>
        <w:rPr>
          <w:rFonts w:ascii="Arial" w:hAnsi="Arial" w:cs="Arial"/>
          <w:b/>
          <w:bCs/>
          <w:sz w:val="22"/>
          <w:szCs w:val="22"/>
        </w:rPr>
      </w:pPr>
      <w:r w:rsidRPr="000270E6">
        <w:rPr>
          <w:rFonts w:ascii="Arial" w:hAnsi="Arial" w:cs="Arial"/>
          <w:b/>
          <w:bCs/>
          <w:sz w:val="22"/>
          <w:szCs w:val="22"/>
        </w:rPr>
        <w:lastRenderedPageBreak/>
        <w:t xml:space="preserve">7. </w:t>
      </w:r>
      <w:r w:rsidR="00180629" w:rsidRPr="000270E6">
        <w:rPr>
          <w:rFonts w:ascii="Arial" w:hAnsi="Arial" w:cs="Arial"/>
          <w:b/>
          <w:bCs/>
          <w:sz w:val="22"/>
          <w:szCs w:val="22"/>
        </w:rPr>
        <w:t>Referencias bibliográficas</w:t>
      </w:r>
    </w:p>
    <w:p w14:paraId="205F6621" w14:textId="77777777" w:rsidR="000D7C47" w:rsidRDefault="000D7C47" w:rsidP="000D7C47">
      <w:pPr>
        <w:pStyle w:val="NormalWeb"/>
        <w:ind w:firstLine="360"/>
        <w:rPr>
          <w:rFonts w:ascii="Arial" w:hAnsi="Arial" w:cs="Arial"/>
          <w:sz w:val="22"/>
          <w:szCs w:val="22"/>
        </w:rPr>
      </w:pPr>
      <w:r w:rsidRPr="003609EF">
        <w:rPr>
          <w:rStyle w:val="Textoennegrita"/>
          <w:rFonts w:ascii="Arial" w:hAnsi="Arial" w:cs="Arial" w:hint="cs"/>
          <w:sz w:val="22"/>
          <w:szCs w:val="22"/>
        </w:rPr>
        <w:t>Acquatella, J.</w:t>
      </w:r>
      <w:r w:rsidRPr="003609EF">
        <w:rPr>
          <w:rFonts w:ascii="Arial" w:hAnsi="Arial" w:cs="Arial" w:hint="cs"/>
          <w:sz w:val="22"/>
          <w:szCs w:val="22"/>
        </w:rPr>
        <w:t xml:space="preserve"> 2022. Soberanía de los recursos en la transición energética. </w:t>
      </w:r>
      <w:r w:rsidRPr="003609EF">
        <w:rPr>
          <w:rStyle w:val="nfasis"/>
          <w:rFonts w:ascii="Arial" w:hAnsi="Arial" w:cs="Arial" w:hint="cs"/>
          <w:sz w:val="22"/>
          <w:szCs w:val="22"/>
        </w:rPr>
        <w:t>Revista CEPAL</w:t>
      </w:r>
      <w:r w:rsidRPr="003609EF">
        <w:rPr>
          <w:rFonts w:ascii="Arial" w:hAnsi="Arial" w:cs="Arial" w:hint="cs"/>
          <w:sz w:val="22"/>
          <w:szCs w:val="22"/>
        </w:rPr>
        <w:t>, v. 138, p. 1–17.</w:t>
      </w:r>
    </w:p>
    <w:p w14:paraId="06DDBEB5" w14:textId="77777777" w:rsidR="000D7C47" w:rsidRPr="003609EF" w:rsidRDefault="000D7C47" w:rsidP="000D7C47">
      <w:pPr>
        <w:pStyle w:val="NormalWeb"/>
        <w:ind w:firstLine="360"/>
        <w:rPr>
          <w:rFonts w:ascii="Arial" w:hAnsi="Arial" w:cs="Arial"/>
          <w:sz w:val="22"/>
          <w:szCs w:val="22"/>
        </w:rPr>
      </w:pPr>
      <w:r w:rsidRPr="003609EF">
        <w:rPr>
          <w:rStyle w:val="Textoennegrita"/>
          <w:rFonts w:ascii="Arial" w:hAnsi="Arial" w:cs="Arial" w:hint="cs"/>
          <w:sz w:val="22"/>
          <w:szCs w:val="22"/>
        </w:rPr>
        <w:t>Banco Interamericano de Desarrollo (BID), Ministerio de Energía y Minas (MINEM).</w:t>
      </w:r>
      <w:r w:rsidRPr="003609EF">
        <w:rPr>
          <w:rFonts w:ascii="Arial" w:hAnsi="Arial" w:cs="Arial" w:hint="cs"/>
          <w:sz w:val="22"/>
          <w:szCs w:val="22"/>
        </w:rPr>
        <w:t xml:space="preserve"> 2015. </w:t>
      </w:r>
      <w:r w:rsidRPr="003609EF">
        <w:rPr>
          <w:rStyle w:val="nfasis"/>
          <w:rFonts w:ascii="Arial" w:hAnsi="Arial" w:cs="Arial" w:hint="cs"/>
          <w:sz w:val="22"/>
          <w:szCs w:val="22"/>
        </w:rPr>
        <w:t>Programa FOMIN/BID para la formalización minera</w:t>
      </w:r>
      <w:r w:rsidRPr="003609EF">
        <w:rPr>
          <w:rFonts w:ascii="Arial" w:hAnsi="Arial" w:cs="Arial" w:hint="cs"/>
          <w:sz w:val="22"/>
          <w:szCs w:val="22"/>
        </w:rPr>
        <w:t xml:space="preserve">. Disponible en: </w:t>
      </w:r>
      <w:r>
        <w:fldChar w:fldCharType="begin"/>
      </w:r>
      <w:r>
        <w:instrText>HYPERLINK "https://www.iadb.org" \t "_new"</w:instrText>
      </w:r>
      <w:r>
        <w:fldChar w:fldCharType="separate"/>
      </w:r>
      <w:r w:rsidRPr="003609EF">
        <w:rPr>
          <w:rStyle w:val="Hipervnculo"/>
          <w:rFonts w:ascii="Arial" w:hAnsi="Arial" w:cs="Arial" w:hint="cs"/>
          <w:sz w:val="22"/>
          <w:szCs w:val="22"/>
        </w:rPr>
        <w:t>https://www.iadb.org</w:t>
      </w:r>
      <w:r>
        <w:rPr>
          <w:rStyle w:val="Hipervnculo"/>
          <w:rFonts w:ascii="Arial" w:hAnsi="Arial" w:cs="Arial"/>
          <w:sz w:val="22"/>
          <w:szCs w:val="22"/>
        </w:rPr>
        <w:fldChar w:fldCharType="end"/>
      </w:r>
    </w:p>
    <w:p w14:paraId="03E9DA82" w14:textId="5BB912EF" w:rsidR="000D7C47" w:rsidRDefault="000D7C47" w:rsidP="000D7C47">
      <w:pPr>
        <w:pStyle w:val="NormalWeb"/>
        <w:ind w:firstLine="360"/>
        <w:rPr>
          <w:rFonts w:ascii="Arial" w:hAnsi="Arial" w:cs="Arial"/>
          <w:sz w:val="22"/>
          <w:szCs w:val="22"/>
        </w:rPr>
      </w:pPr>
      <w:r w:rsidRPr="003609EF">
        <w:rPr>
          <w:rStyle w:val="Textoennegrita"/>
          <w:rFonts w:ascii="Arial" w:hAnsi="Arial" w:cs="Arial" w:hint="cs"/>
          <w:sz w:val="22"/>
          <w:szCs w:val="22"/>
        </w:rPr>
        <w:t>Banco Interamericano de Desarrollo (BID).</w:t>
      </w:r>
      <w:r w:rsidRPr="003609EF">
        <w:rPr>
          <w:rFonts w:ascii="Arial" w:hAnsi="Arial" w:cs="Arial" w:hint="cs"/>
          <w:sz w:val="22"/>
          <w:szCs w:val="22"/>
        </w:rPr>
        <w:t xml:space="preserve"> 2024. </w:t>
      </w:r>
      <w:r w:rsidRPr="003609EF">
        <w:rPr>
          <w:rStyle w:val="nfasis"/>
          <w:rFonts w:ascii="Arial" w:hAnsi="Arial" w:cs="Arial" w:hint="cs"/>
          <w:sz w:val="22"/>
          <w:szCs w:val="22"/>
        </w:rPr>
        <w:t>Proyecto PE-T1557: Gobernanza de minerales críticos en Perú</w:t>
      </w:r>
      <w:r w:rsidRPr="003609EF">
        <w:rPr>
          <w:rFonts w:ascii="Arial" w:hAnsi="Arial" w:cs="Arial" w:hint="cs"/>
          <w:sz w:val="22"/>
          <w:szCs w:val="22"/>
        </w:rPr>
        <w:t>. Disponible en:</w:t>
      </w:r>
      <w:r>
        <w:rPr>
          <w:rFonts w:ascii="Arial" w:hAnsi="Arial" w:cs="Arial"/>
          <w:sz w:val="22"/>
          <w:szCs w:val="22"/>
        </w:rPr>
        <w:t xml:space="preserve"> </w:t>
      </w:r>
      <w:r>
        <w:rPr>
          <w:rFonts w:ascii="Arial" w:hAnsi="Arial" w:cs="Arial"/>
          <w:sz w:val="22"/>
          <w:szCs w:val="22"/>
        </w:rPr>
        <w:fldChar w:fldCharType="begin"/>
      </w:r>
      <w:r>
        <w:rPr>
          <w:rFonts w:ascii="Arial" w:hAnsi="Arial" w:cs="Arial" w:hint="cs"/>
          <w:sz w:val="22"/>
          <w:szCs w:val="22"/>
        </w:rPr>
        <w:instrText>HYPERLINK "</w:instrText>
      </w:r>
      <w:r w:rsidRPr="000D7C47">
        <w:rPr>
          <w:rFonts w:ascii="Arial" w:hAnsi="Arial" w:cs="Arial" w:hint="cs"/>
          <w:sz w:val="22"/>
          <w:szCs w:val="22"/>
        </w:rPr>
        <w:instrText>https://www.iadb.org</w:instrText>
      </w:r>
      <w:r>
        <w:rPr>
          <w:rFonts w:ascii="Arial" w:hAnsi="Arial" w:cs="Arial" w:hint="cs"/>
          <w:sz w:val="22"/>
          <w:szCs w:val="22"/>
        </w:rPr>
        <w:instrText>"</w:instrText>
      </w:r>
      <w:r>
        <w:rPr>
          <w:rFonts w:ascii="Arial" w:hAnsi="Arial" w:cs="Arial"/>
          <w:sz w:val="22"/>
          <w:szCs w:val="22"/>
        </w:rPr>
        <w:fldChar w:fldCharType="separate"/>
      </w:r>
      <w:r w:rsidRPr="00AB0038">
        <w:rPr>
          <w:rStyle w:val="Hipervnculo"/>
          <w:rFonts w:ascii="Arial" w:hAnsi="Arial" w:cs="Arial" w:hint="cs"/>
          <w:sz w:val="22"/>
          <w:szCs w:val="22"/>
        </w:rPr>
        <w:t>https://www.iadb.org</w:t>
      </w:r>
      <w:r>
        <w:rPr>
          <w:rFonts w:ascii="Arial" w:hAnsi="Arial" w:cs="Arial"/>
          <w:sz w:val="22"/>
          <w:szCs w:val="22"/>
        </w:rPr>
        <w:fldChar w:fldCharType="end"/>
      </w:r>
    </w:p>
    <w:p w14:paraId="1A82B358" w14:textId="36636CF0" w:rsidR="000D7C47" w:rsidRPr="003609EF" w:rsidRDefault="000D7C47" w:rsidP="000D7C47">
      <w:pPr>
        <w:pStyle w:val="NormalWeb"/>
        <w:ind w:firstLine="360"/>
        <w:rPr>
          <w:rFonts w:ascii="Arial" w:hAnsi="Arial" w:cs="Arial"/>
          <w:sz w:val="22"/>
          <w:szCs w:val="22"/>
        </w:rPr>
      </w:pPr>
      <w:r w:rsidRPr="003609EF">
        <w:rPr>
          <w:rStyle w:val="Textoennegrita"/>
          <w:rFonts w:ascii="Arial" w:hAnsi="Arial" w:cs="Arial" w:hint="cs"/>
          <w:sz w:val="22"/>
          <w:szCs w:val="22"/>
        </w:rPr>
        <w:t>Comisión Económica para América Latina y el Caribe (CEPAL).</w:t>
      </w:r>
      <w:r w:rsidRPr="003609EF">
        <w:rPr>
          <w:rFonts w:ascii="Arial" w:hAnsi="Arial" w:cs="Arial" w:hint="cs"/>
          <w:sz w:val="22"/>
          <w:szCs w:val="22"/>
        </w:rPr>
        <w:t xml:space="preserve"> 2022. </w:t>
      </w:r>
      <w:r w:rsidRPr="003609EF">
        <w:rPr>
          <w:rStyle w:val="nfasis"/>
          <w:rFonts w:ascii="Arial" w:hAnsi="Arial" w:cs="Arial" w:hint="cs"/>
          <w:sz w:val="22"/>
          <w:szCs w:val="22"/>
        </w:rPr>
        <w:t>Minería y desarrollo sostenible en América Latina y el Caribe</w:t>
      </w:r>
      <w:r w:rsidRPr="003609EF">
        <w:rPr>
          <w:rFonts w:ascii="Arial" w:hAnsi="Arial" w:cs="Arial" w:hint="cs"/>
          <w:sz w:val="22"/>
          <w:szCs w:val="22"/>
        </w:rPr>
        <w:t xml:space="preserve">. </w:t>
      </w:r>
      <w:r w:rsidRPr="000D7C47">
        <w:rPr>
          <w:rFonts w:ascii="Arial" w:hAnsi="Arial" w:cs="Arial" w:hint="cs"/>
          <w:sz w:val="22"/>
          <w:szCs w:val="22"/>
        </w:rPr>
        <w:t>CEPAL, v. 1, p. 1–100.</w:t>
      </w:r>
      <w:r w:rsidRPr="003609EF">
        <w:rPr>
          <w:rFonts w:ascii="Arial" w:hAnsi="Arial" w:cs="Arial"/>
          <w:sz w:val="22"/>
          <w:szCs w:val="22"/>
        </w:rPr>
        <w:t xml:space="preserve"> </w:t>
      </w:r>
    </w:p>
    <w:p w14:paraId="2326E534" w14:textId="77777777" w:rsidR="000D7C47" w:rsidRPr="003609EF" w:rsidRDefault="000D7C47" w:rsidP="000D7C47">
      <w:pPr>
        <w:pStyle w:val="NormalWeb"/>
        <w:ind w:firstLine="360"/>
        <w:rPr>
          <w:rFonts w:ascii="Arial" w:hAnsi="Arial" w:cs="Arial"/>
          <w:sz w:val="22"/>
          <w:szCs w:val="22"/>
        </w:rPr>
      </w:pPr>
      <w:r w:rsidRPr="003609EF">
        <w:rPr>
          <w:rStyle w:val="Textoennegrita"/>
          <w:rFonts w:ascii="Arial" w:hAnsi="Arial" w:cs="Arial" w:hint="cs"/>
          <w:sz w:val="22"/>
          <w:szCs w:val="22"/>
        </w:rPr>
        <w:t>Congreso de la República del Perú.</w:t>
      </w:r>
      <w:r w:rsidRPr="003609EF">
        <w:rPr>
          <w:rFonts w:ascii="Arial" w:hAnsi="Arial" w:cs="Arial" w:hint="cs"/>
          <w:sz w:val="22"/>
          <w:szCs w:val="22"/>
        </w:rPr>
        <w:t xml:space="preserve"> 2023. </w:t>
      </w:r>
      <w:r w:rsidRPr="003609EF">
        <w:rPr>
          <w:rStyle w:val="nfasis"/>
          <w:rFonts w:ascii="Arial" w:hAnsi="Arial" w:cs="Arial" w:hint="cs"/>
          <w:sz w:val="22"/>
          <w:szCs w:val="22"/>
        </w:rPr>
        <w:t>Proyecto de Ley N.º 6931/2023: Ley de promoción de minerales críticos</w:t>
      </w:r>
      <w:r w:rsidRPr="003609EF">
        <w:rPr>
          <w:rFonts w:ascii="Arial" w:hAnsi="Arial" w:cs="Arial" w:hint="cs"/>
          <w:sz w:val="22"/>
          <w:szCs w:val="22"/>
        </w:rPr>
        <w:t xml:space="preserve">. Disponible en: </w:t>
      </w:r>
      <w:r>
        <w:fldChar w:fldCharType="begin"/>
      </w:r>
      <w:r>
        <w:instrText>HYPERLINK "https://www.congreso.gob.pe" \t "_new"</w:instrText>
      </w:r>
      <w:r>
        <w:fldChar w:fldCharType="separate"/>
      </w:r>
      <w:r w:rsidRPr="003609EF">
        <w:rPr>
          <w:rStyle w:val="Hipervnculo"/>
          <w:rFonts w:ascii="Arial" w:hAnsi="Arial" w:cs="Arial" w:hint="cs"/>
          <w:sz w:val="22"/>
          <w:szCs w:val="22"/>
        </w:rPr>
        <w:t>https://www.congreso.gob.pe</w:t>
      </w:r>
      <w:r>
        <w:rPr>
          <w:rStyle w:val="Hipervnculo"/>
          <w:rFonts w:ascii="Arial" w:hAnsi="Arial" w:cs="Arial"/>
          <w:sz w:val="22"/>
          <w:szCs w:val="22"/>
        </w:rPr>
        <w:fldChar w:fldCharType="end"/>
      </w:r>
    </w:p>
    <w:p w14:paraId="6972E7C7" w14:textId="4925F912" w:rsidR="000D7C47" w:rsidRDefault="000D7C47" w:rsidP="000D7C47">
      <w:pPr>
        <w:pStyle w:val="NormalWeb"/>
        <w:ind w:firstLine="426"/>
        <w:rPr>
          <w:rStyle w:val="Hipervnculo"/>
          <w:rFonts w:ascii="Arial" w:hAnsi="Arial" w:cs="Arial"/>
          <w:sz w:val="22"/>
          <w:szCs w:val="22"/>
        </w:rPr>
      </w:pPr>
      <w:r w:rsidRPr="003609EF">
        <w:rPr>
          <w:rStyle w:val="Textoennegrita"/>
          <w:rFonts w:ascii="Arial" w:hAnsi="Arial" w:cs="Arial" w:hint="cs"/>
          <w:sz w:val="22"/>
          <w:szCs w:val="22"/>
        </w:rPr>
        <w:t>CooperAcción.</w:t>
      </w:r>
      <w:r w:rsidRPr="003609EF">
        <w:rPr>
          <w:rFonts w:ascii="Arial" w:hAnsi="Arial" w:cs="Arial" w:hint="cs"/>
          <w:sz w:val="22"/>
          <w:szCs w:val="22"/>
        </w:rPr>
        <w:t xml:space="preserve"> 2024. </w:t>
      </w:r>
      <w:r w:rsidRPr="003609EF">
        <w:rPr>
          <w:rStyle w:val="nfasis"/>
          <w:rFonts w:ascii="Arial" w:hAnsi="Arial" w:cs="Arial" w:hint="cs"/>
          <w:sz w:val="22"/>
          <w:szCs w:val="22"/>
        </w:rPr>
        <w:t>El cobre para la transición energética y el corredor del sur andino</w:t>
      </w:r>
      <w:r w:rsidRPr="003609EF">
        <w:rPr>
          <w:rFonts w:ascii="Arial" w:hAnsi="Arial" w:cs="Arial" w:hint="cs"/>
          <w:sz w:val="22"/>
          <w:szCs w:val="22"/>
        </w:rPr>
        <w:t xml:space="preserve">. Disponible en: </w:t>
      </w:r>
      <w:r>
        <w:fldChar w:fldCharType="begin"/>
      </w:r>
      <w:r>
        <w:instrText>HYPERLINK "https://cooperaccion.org.pe" \t "_new"</w:instrText>
      </w:r>
      <w:r>
        <w:fldChar w:fldCharType="separate"/>
      </w:r>
      <w:r w:rsidRPr="003609EF">
        <w:rPr>
          <w:rStyle w:val="Hipervnculo"/>
          <w:rFonts w:ascii="Arial" w:hAnsi="Arial" w:cs="Arial" w:hint="cs"/>
          <w:sz w:val="22"/>
          <w:szCs w:val="22"/>
        </w:rPr>
        <w:t>https://cooperaccion.org.pe</w:t>
      </w:r>
      <w:r>
        <w:rPr>
          <w:rStyle w:val="Hipervnculo"/>
          <w:rFonts w:ascii="Arial" w:hAnsi="Arial" w:cs="Arial"/>
          <w:sz w:val="22"/>
          <w:szCs w:val="22"/>
        </w:rPr>
        <w:fldChar w:fldCharType="end"/>
      </w:r>
    </w:p>
    <w:p w14:paraId="11F59917" w14:textId="77777777" w:rsidR="000D7C47" w:rsidRDefault="000D7C47" w:rsidP="000D7C47">
      <w:pPr>
        <w:pStyle w:val="NormalWeb"/>
        <w:ind w:firstLine="360"/>
        <w:rPr>
          <w:rFonts w:ascii="Arial" w:hAnsi="Arial" w:cs="Arial"/>
          <w:sz w:val="22"/>
          <w:szCs w:val="22"/>
          <w:lang w:val="en-US"/>
        </w:rPr>
      </w:pPr>
      <w:r w:rsidRPr="003609EF">
        <w:rPr>
          <w:rStyle w:val="Textoennegrita"/>
          <w:rFonts w:ascii="Arial" w:hAnsi="Arial" w:cs="Arial" w:hint="cs"/>
          <w:sz w:val="22"/>
          <w:szCs w:val="22"/>
          <w:lang w:val="en-US"/>
        </w:rPr>
        <w:t>European Commission.</w:t>
      </w:r>
      <w:r w:rsidRPr="003609EF">
        <w:rPr>
          <w:rFonts w:ascii="Arial" w:hAnsi="Arial" w:cs="Arial" w:hint="cs"/>
          <w:sz w:val="22"/>
          <w:szCs w:val="22"/>
          <w:lang w:val="en-US"/>
        </w:rPr>
        <w:t xml:space="preserve"> 2023. </w:t>
      </w:r>
      <w:r w:rsidRPr="003609EF">
        <w:rPr>
          <w:rStyle w:val="nfasis"/>
          <w:rFonts w:ascii="Arial" w:hAnsi="Arial" w:cs="Arial" w:hint="cs"/>
          <w:sz w:val="22"/>
          <w:szCs w:val="22"/>
          <w:lang w:val="en-US"/>
        </w:rPr>
        <w:t>Proposal for a Regulation establishing a framework for ensuring a secure and sustainable supply of critical raw materials</w:t>
      </w:r>
      <w:r w:rsidRPr="003609EF">
        <w:rPr>
          <w:rFonts w:ascii="Arial" w:hAnsi="Arial" w:cs="Arial" w:hint="cs"/>
          <w:sz w:val="22"/>
          <w:szCs w:val="22"/>
          <w:lang w:val="en-US"/>
        </w:rPr>
        <w:t xml:space="preserve">. </w:t>
      </w:r>
      <w:r w:rsidRPr="000D7C47">
        <w:rPr>
          <w:rStyle w:val="nfasis"/>
          <w:rFonts w:ascii="Arial" w:hAnsi="Arial" w:cs="Arial" w:hint="cs"/>
          <w:sz w:val="22"/>
          <w:szCs w:val="22"/>
          <w:lang w:val="en-US"/>
        </w:rPr>
        <w:t>Official Journal of the European Union</w:t>
      </w:r>
      <w:r w:rsidRPr="000D7C47">
        <w:rPr>
          <w:rFonts w:ascii="Arial" w:hAnsi="Arial" w:cs="Arial" w:hint="cs"/>
          <w:sz w:val="22"/>
          <w:szCs w:val="22"/>
          <w:lang w:val="en-US"/>
        </w:rPr>
        <w:t>, v. 1, p. 1–64.</w:t>
      </w:r>
    </w:p>
    <w:p w14:paraId="000F0870" w14:textId="51F01817" w:rsidR="000D7C47" w:rsidRPr="003609EF" w:rsidRDefault="000D7C47" w:rsidP="000D7C47">
      <w:pPr>
        <w:pStyle w:val="NormalWeb"/>
        <w:ind w:firstLine="360"/>
        <w:rPr>
          <w:rFonts w:ascii="Arial" w:hAnsi="Arial" w:cs="Arial"/>
          <w:sz w:val="22"/>
          <w:szCs w:val="22"/>
        </w:rPr>
      </w:pPr>
      <w:r w:rsidRPr="000D7C47">
        <w:rPr>
          <w:rStyle w:val="Textoennegrita"/>
          <w:rFonts w:ascii="Arial" w:hAnsi="Arial" w:cs="Arial" w:hint="cs"/>
          <w:sz w:val="22"/>
          <w:szCs w:val="22"/>
          <w:lang w:val="en-US"/>
        </w:rPr>
        <w:t>International Energy Agency (IEA).</w:t>
      </w:r>
      <w:r w:rsidRPr="000D7C47">
        <w:rPr>
          <w:rFonts w:ascii="Arial" w:hAnsi="Arial" w:cs="Arial" w:hint="cs"/>
          <w:sz w:val="22"/>
          <w:szCs w:val="22"/>
          <w:lang w:val="en-US"/>
        </w:rPr>
        <w:t xml:space="preserve"> 2021. </w:t>
      </w:r>
      <w:r w:rsidRPr="003609EF">
        <w:rPr>
          <w:rStyle w:val="nfasis"/>
          <w:rFonts w:ascii="Arial" w:hAnsi="Arial" w:cs="Arial" w:hint="cs"/>
          <w:sz w:val="22"/>
          <w:szCs w:val="22"/>
          <w:lang w:val="en-US"/>
        </w:rPr>
        <w:t>The Role of Critical Minerals in Clean Energy Transitions</w:t>
      </w:r>
      <w:r w:rsidRPr="003609EF">
        <w:rPr>
          <w:rFonts w:ascii="Arial" w:hAnsi="Arial" w:cs="Arial" w:hint="cs"/>
          <w:sz w:val="22"/>
          <w:szCs w:val="22"/>
          <w:lang w:val="en-US"/>
        </w:rPr>
        <w:t xml:space="preserve">. </w:t>
      </w:r>
      <w:r w:rsidRPr="003609EF">
        <w:rPr>
          <w:rFonts w:ascii="Arial" w:hAnsi="Arial" w:cs="Arial" w:hint="cs"/>
          <w:sz w:val="22"/>
          <w:szCs w:val="22"/>
        </w:rPr>
        <w:t>International Energy Agency, v. 1, p. 1–287.</w:t>
      </w:r>
    </w:p>
    <w:p w14:paraId="63B541AF" w14:textId="77777777" w:rsidR="003609EF" w:rsidRPr="003609EF" w:rsidRDefault="003609EF" w:rsidP="00106D35">
      <w:pPr>
        <w:pStyle w:val="NormalWeb"/>
        <w:ind w:firstLine="360"/>
        <w:rPr>
          <w:rFonts w:ascii="Arial" w:hAnsi="Arial" w:cs="Arial"/>
          <w:sz w:val="22"/>
          <w:szCs w:val="22"/>
        </w:rPr>
      </w:pPr>
      <w:r w:rsidRPr="003609EF">
        <w:rPr>
          <w:rStyle w:val="Textoennegrita"/>
          <w:rFonts w:ascii="Arial" w:hAnsi="Arial" w:cs="Arial" w:hint="cs"/>
          <w:sz w:val="22"/>
          <w:szCs w:val="22"/>
        </w:rPr>
        <w:t>Ministerio de Energía y Minas (MINEM).</w:t>
      </w:r>
      <w:r w:rsidRPr="003609EF">
        <w:rPr>
          <w:rFonts w:ascii="Arial" w:hAnsi="Arial" w:cs="Arial" w:hint="cs"/>
          <w:sz w:val="22"/>
          <w:szCs w:val="22"/>
        </w:rPr>
        <w:t xml:space="preserve"> 2023. </w:t>
      </w:r>
      <w:r w:rsidRPr="003609EF">
        <w:rPr>
          <w:rStyle w:val="nfasis"/>
          <w:rFonts w:ascii="Arial" w:hAnsi="Arial" w:cs="Arial" w:hint="cs"/>
          <w:sz w:val="22"/>
          <w:szCs w:val="22"/>
        </w:rPr>
        <w:t>Visión de la Minería al 2030</w:t>
      </w:r>
      <w:r w:rsidRPr="003609EF">
        <w:rPr>
          <w:rFonts w:ascii="Arial" w:hAnsi="Arial" w:cs="Arial" w:hint="cs"/>
          <w:sz w:val="22"/>
          <w:szCs w:val="22"/>
        </w:rPr>
        <w:t>. Gobierno del Perú, v. 1, p. 1–90.</w:t>
      </w:r>
    </w:p>
    <w:p w14:paraId="3BA5BCA1" w14:textId="77777777" w:rsidR="003609EF" w:rsidRPr="003609EF" w:rsidRDefault="003609EF" w:rsidP="00106D35">
      <w:pPr>
        <w:pStyle w:val="NormalWeb"/>
        <w:ind w:firstLine="360"/>
        <w:rPr>
          <w:rFonts w:ascii="Arial" w:hAnsi="Arial" w:cs="Arial"/>
          <w:sz w:val="22"/>
          <w:szCs w:val="22"/>
        </w:rPr>
      </w:pPr>
      <w:r w:rsidRPr="003609EF">
        <w:rPr>
          <w:rStyle w:val="Textoennegrita"/>
          <w:rFonts w:ascii="Arial" w:hAnsi="Arial" w:cs="Arial" w:hint="cs"/>
          <w:sz w:val="22"/>
          <w:szCs w:val="22"/>
        </w:rPr>
        <w:t>Ministerio de Minas e Energia (MME).</w:t>
      </w:r>
      <w:r w:rsidRPr="003609EF">
        <w:rPr>
          <w:rFonts w:ascii="Arial" w:hAnsi="Arial" w:cs="Arial" w:hint="cs"/>
          <w:sz w:val="22"/>
          <w:szCs w:val="22"/>
        </w:rPr>
        <w:t xml:space="preserve"> 2023. </w:t>
      </w:r>
      <w:r w:rsidRPr="003609EF">
        <w:rPr>
          <w:rStyle w:val="nfasis"/>
          <w:rFonts w:ascii="Arial" w:hAnsi="Arial" w:cs="Arial" w:hint="cs"/>
          <w:sz w:val="22"/>
          <w:szCs w:val="22"/>
        </w:rPr>
        <w:t>Agenda dos Minerais Estratégicos</w:t>
      </w:r>
      <w:r w:rsidRPr="003609EF">
        <w:rPr>
          <w:rFonts w:ascii="Arial" w:hAnsi="Arial" w:cs="Arial" w:hint="cs"/>
          <w:sz w:val="22"/>
          <w:szCs w:val="22"/>
        </w:rPr>
        <w:t>. Governo Federal do Brasil, v. 1, p. 1–58.</w:t>
      </w:r>
    </w:p>
    <w:p w14:paraId="60422F19" w14:textId="77777777" w:rsidR="003609EF" w:rsidRPr="003609EF" w:rsidRDefault="003609EF" w:rsidP="00106D35">
      <w:pPr>
        <w:pStyle w:val="NormalWeb"/>
        <w:ind w:firstLine="360"/>
        <w:rPr>
          <w:rFonts w:ascii="Arial" w:hAnsi="Arial" w:cs="Arial"/>
          <w:sz w:val="22"/>
          <w:szCs w:val="22"/>
          <w:lang w:val="en-US"/>
        </w:rPr>
      </w:pPr>
      <w:proofErr w:type="spellStart"/>
      <w:r w:rsidRPr="003609EF">
        <w:rPr>
          <w:rStyle w:val="Textoennegrita"/>
          <w:rFonts w:ascii="Arial" w:hAnsi="Arial" w:cs="Arial" w:hint="cs"/>
          <w:sz w:val="22"/>
          <w:szCs w:val="22"/>
          <w:lang w:val="en-US"/>
        </w:rPr>
        <w:t>Fondo</w:t>
      </w:r>
      <w:proofErr w:type="spellEnd"/>
      <w:r w:rsidRPr="003609EF">
        <w:rPr>
          <w:rStyle w:val="Textoennegrita"/>
          <w:rFonts w:ascii="Arial" w:hAnsi="Arial" w:cs="Arial" w:hint="cs"/>
          <w:sz w:val="22"/>
          <w:szCs w:val="22"/>
          <w:lang w:val="en-US"/>
        </w:rPr>
        <w:t xml:space="preserve"> </w:t>
      </w:r>
      <w:proofErr w:type="spellStart"/>
      <w:r w:rsidRPr="003609EF">
        <w:rPr>
          <w:rStyle w:val="Textoennegrita"/>
          <w:rFonts w:ascii="Arial" w:hAnsi="Arial" w:cs="Arial" w:hint="cs"/>
          <w:sz w:val="22"/>
          <w:szCs w:val="22"/>
          <w:lang w:val="en-US"/>
        </w:rPr>
        <w:t>Monetario</w:t>
      </w:r>
      <w:proofErr w:type="spellEnd"/>
      <w:r w:rsidRPr="003609EF">
        <w:rPr>
          <w:rStyle w:val="Textoennegrita"/>
          <w:rFonts w:ascii="Arial" w:hAnsi="Arial" w:cs="Arial" w:hint="cs"/>
          <w:sz w:val="22"/>
          <w:szCs w:val="22"/>
          <w:lang w:val="en-US"/>
        </w:rPr>
        <w:t xml:space="preserve"> </w:t>
      </w:r>
      <w:proofErr w:type="spellStart"/>
      <w:r w:rsidRPr="003609EF">
        <w:rPr>
          <w:rStyle w:val="Textoennegrita"/>
          <w:rFonts w:ascii="Arial" w:hAnsi="Arial" w:cs="Arial" w:hint="cs"/>
          <w:sz w:val="22"/>
          <w:szCs w:val="22"/>
          <w:lang w:val="en-US"/>
        </w:rPr>
        <w:t>Internacional</w:t>
      </w:r>
      <w:proofErr w:type="spellEnd"/>
      <w:r w:rsidRPr="003609EF">
        <w:rPr>
          <w:rStyle w:val="Textoennegrita"/>
          <w:rFonts w:ascii="Arial" w:hAnsi="Arial" w:cs="Arial" w:hint="cs"/>
          <w:sz w:val="22"/>
          <w:szCs w:val="22"/>
          <w:lang w:val="en-US"/>
        </w:rPr>
        <w:t xml:space="preserve"> (FMI).</w:t>
      </w:r>
      <w:r w:rsidRPr="003609EF">
        <w:rPr>
          <w:rFonts w:ascii="Arial" w:hAnsi="Arial" w:cs="Arial" w:hint="cs"/>
          <w:sz w:val="22"/>
          <w:szCs w:val="22"/>
          <w:lang w:val="en-US"/>
        </w:rPr>
        <w:t xml:space="preserve"> 2024. </w:t>
      </w:r>
      <w:r w:rsidRPr="003609EF">
        <w:rPr>
          <w:rStyle w:val="nfasis"/>
          <w:rFonts w:ascii="Arial" w:hAnsi="Arial" w:cs="Arial" w:hint="cs"/>
          <w:sz w:val="22"/>
          <w:szCs w:val="22"/>
          <w:lang w:val="en-US"/>
        </w:rPr>
        <w:t>Revamping Fiscal Decentralization to Secure Peru’s Position as a Leading Critical Mineral Supplier</w:t>
      </w:r>
      <w:r w:rsidRPr="003609EF">
        <w:rPr>
          <w:rFonts w:ascii="Arial" w:hAnsi="Arial" w:cs="Arial" w:hint="cs"/>
          <w:sz w:val="22"/>
          <w:szCs w:val="22"/>
          <w:lang w:val="en-US"/>
        </w:rPr>
        <w:t xml:space="preserve">. </w:t>
      </w:r>
      <w:r w:rsidRPr="003609EF">
        <w:rPr>
          <w:rStyle w:val="nfasis"/>
          <w:rFonts w:ascii="Arial" w:hAnsi="Arial" w:cs="Arial" w:hint="cs"/>
          <w:sz w:val="22"/>
          <w:szCs w:val="22"/>
          <w:lang w:val="en-US"/>
        </w:rPr>
        <w:t>International Monetary Fund Working Paper</w:t>
      </w:r>
      <w:r w:rsidRPr="003609EF">
        <w:rPr>
          <w:rFonts w:ascii="Arial" w:hAnsi="Arial" w:cs="Arial" w:hint="cs"/>
          <w:sz w:val="22"/>
          <w:szCs w:val="22"/>
          <w:lang w:val="en-US"/>
        </w:rPr>
        <w:t>, v. WP/24/XX, p. 1–44.</w:t>
      </w:r>
    </w:p>
    <w:p w14:paraId="2E76B90A" w14:textId="77777777" w:rsidR="003609EF" w:rsidRPr="003609EF" w:rsidRDefault="003609EF" w:rsidP="003609EF">
      <w:pPr>
        <w:pStyle w:val="NormalWeb"/>
        <w:ind w:firstLine="360"/>
        <w:rPr>
          <w:rFonts w:ascii="Arial" w:hAnsi="Arial" w:cs="Arial"/>
          <w:sz w:val="22"/>
          <w:szCs w:val="22"/>
        </w:rPr>
      </w:pPr>
      <w:r w:rsidRPr="003609EF">
        <w:rPr>
          <w:rStyle w:val="Textoennegrita"/>
          <w:rFonts w:ascii="Arial" w:hAnsi="Arial" w:cs="Arial" w:hint="cs"/>
          <w:sz w:val="22"/>
          <w:szCs w:val="22"/>
        </w:rPr>
        <w:t>Ministerio del Ambiente (MINAM).</w:t>
      </w:r>
      <w:r w:rsidRPr="003609EF">
        <w:rPr>
          <w:rFonts w:ascii="Arial" w:hAnsi="Arial" w:cs="Arial" w:hint="cs"/>
          <w:sz w:val="22"/>
          <w:szCs w:val="22"/>
        </w:rPr>
        <w:t xml:space="preserve"> 2015. </w:t>
      </w:r>
      <w:r w:rsidRPr="003609EF">
        <w:rPr>
          <w:rStyle w:val="nfasis"/>
          <w:rFonts w:ascii="Arial" w:hAnsi="Arial" w:cs="Arial" w:hint="cs"/>
          <w:sz w:val="22"/>
          <w:szCs w:val="22"/>
        </w:rPr>
        <w:t>Estrategia Nacional ante el Cambio Climático</w:t>
      </w:r>
      <w:r w:rsidRPr="003609EF">
        <w:rPr>
          <w:rFonts w:ascii="Arial" w:hAnsi="Arial" w:cs="Arial" w:hint="cs"/>
          <w:sz w:val="22"/>
          <w:szCs w:val="22"/>
        </w:rPr>
        <w:t xml:space="preserve">. Disponible en: </w:t>
      </w:r>
      <w:hyperlink r:id="rId13" w:tgtFrame="_new" w:history="1">
        <w:r w:rsidRPr="003609EF">
          <w:rPr>
            <w:rStyle w:val="Hipervnculo"/>
            <w:rFonts w:ascii="Arial" w:hAnsi="Arial" w:cs="Arial" w:hint="cs"/>
            <w:sz w:val="22"/>
            <w:szCs w:val="22"/>
          </w:rPr>
          <w:t>https://www.minam.gob.pe</w:t>
        </w:r>
      </w:hyperlink>
    </w:p>
    <w:p w14:paraId="1BA57B84" w14:textId="77777777" w:rsidR="003609EF" w:rsidRPr="003609EF" w:rsidRDefault="003609EF" w:rsidP="003609EF">
      <w:pPr>
        <w:pStyle w:val="NormalWeb"/>
        <w:ind w:firstLine="360"/>
        <w:rPr>
          <w:rFonts w:ascii="Arial" w:hAnsi="Arial" w:cs="Arial"/>
          <w:sz w:val="22"/>
          <w:szCs w:val="22"/>
        </w:rPr>
      </w:pPr>
      <w:r w:rsidRPr="003609EF">
        <w:rPr>
          <w:rStyle w:val="Textoennegrita"/>
          <w:rFonts w:ascii="Arial" w:hAnsi="Arial" w:cs="Arial" w:hint="cs"/>
          <w:sz w:val="22"/>
          <w:szCs w:val="22"/>
        </w:rPr>
        <w:t>Ministerio del Ambiente (MINAM).</w:t>
      </w:r>
      <w:r w:rsidRPr="003609EF">
        <w:rPr>
          <w:rFonts w:ascii="Arial" w:hAnsi="Arial" w:cs="Arial" w:hint="cs"/>
          <w:sz w:val="22"/>
          <w:szCs w:val="22"/>
        </w:rPr>
        <w:t xml:space="preserve"> 2021. </w:t>
      </w:r>
      <w:r w:rsidRPr="003609EF">
        <w:rPr>
          <w:rStyle w:val="nfasis"/>
          <w:rFonts w:ascii="Arial" w:hAnsi="Arial" w:cs="Arial" w:hint="cs"/>
          <w:sz w:val="22"/>
          <w:szCs w:val="22"/>
        </w:rPr>
        <w:t>Estrategia Nacional ante el Cambio Climático al 2050</w:t>
      </w:r>
      <w:r w:rsidRPr="003609EF">
        <w:rPr>
          <w:rFonts w:ascii="Arial" w:hAnsi="Arial" w:cs="Arial" w:hint="cs"/>
          <w:sz w:val="22"/>
          <w:szCs w:val="22"/>
        </w:rPr>
        <w:t xml:space="preserve">. Disponible en: </w:t>
      </w:r>
      <w:hyperlink r:id="rId14" w:tgtFrame="_new" w:history="1">
        <w:r w:rsidRPr="003609EF">
          <w:rPr>
            <w:rStyle w:val="Hipervnculo"/>
            <w:rFonts w:ascii="Arial" w:hAnsi="Arial" w:cs="Arial" w:hint="cs"/>
            <w:sz w:val="22"/>
            <w:szCs w:val="22"/>
          </w:rPr>
          <w:t>https://www.minam.gob.pe/estrategia2050</w:t>
        </w:r>
      </w:hyperlink>
    </w:p>
    <w:p w14:paraId="36804A59" w14:textId="77777777" w:rsidR="003609EF" w:rsidRPr="003609EF" w:rsidRDefault="003609EF" w:rsidP="003609EF">
      <w:pPr>
        <w:pStyle w:val="NormalWeb"/>
        <w:ind w:firstLine="360"/>
        <w:rPr>
          <w:rFonts w:ascii="Arial" w:hAnsi="Arial" w:cs="Arial"/>
          <w:sz w:val="22"/>
          <w:szCs w:val="22"/>
        </w:rPr>
      </w:pPr>
      <w:r w:rsidRPr="003609EF">
        <w:rPr>
          <w:rStyle w:val="Textoennegrita"/>
          <w:rFonts w:ascii="Arial" w:hAnsi="Arial" w:cs="Arial" w:hint="cs"/>
          <w:sz w:val="22"/>
          <w:szCs w:val="22"/>
        </w:rPr>
        <w:t>Ministerio de Energía y Minas (MINEM).</w:t>
      </w:r>
      <w:r w:rsidRPr="003609EF">
        <w:rPr>
          <w:rFonts w:ascii="Arial" w:hAnsi="Arial" w:cs="Arial" w:hint="cs"/>
          <w:sz w:val="22"/>
          <w:szCs w:val="22"/>
        </w:rPr>
        <w:t xml:space="preserve"> 2021. </w:t>
      </w:r>
      <w:r w:rsidRPr="003609EF">
        <w:rPr>
          <w:rStyle w:val="nfasis"/>
          <w:rFonts w:ascii="Arial" w:hAnsi="Arial" w:cs="Arial" w:hint="cs"/>
          <w:sz w:val="22"/>
          <w:szCs w:val="22"/>
        </w:rPr>
        <w:t>Política Nacional Multisectorial de Minería al 2030</w:t>
      </w:r>
      <w:r w:rsidRPr="003609EF">
        <w:rPr>
          <w:rFonts w:ascii="Arial" w:hAnsi="Arial" w:cs="Arial" w:hint="cs"/>
          <w:sz w:val="22"/>
          <w:szCs w:val="22"/>
        </w:rPr>
        <w:t xml:space="preserve">. Disponible en: </w:t>
      </w:r>
      <w:hyperlink r:id="rId15" w:tgtFrame="_new" w:history="1">
        <w:r w:rsidRPr="003609EF">
          <w:rPr>
            <w:rStyle w:val="Hipervnculo"/>
            <w:rFonts w:ascii="Arial" w:hAnsi="Arial" w:cs="Arial" w:hint="cs"/>
            <w:sz w:val="22"/>
            <w:szCs w:val="22"/>
          </w:rPr>
          <w:t>https://www.gob.pe/minem</w:t>
        </w:r>
      </w:hyperlink>
    </w:p>
    <w:p w14:paraId="72B1188A" w14:textId="77777777" w:rsidR="003609EF" w:rsidRPr="003609EF" w:rsidRDefault="003609EF" w:rsidP="003609EF">
      <w:pPr>
        <w:pStyle w:val="NormalWeb"/>
        <w:ind w:firstLine="360"/>
        <w:rPr>
          <w:rFonts w:ascii="Arial" w:hAnsi="Arial" w:cs="Arial"/>
          <w:sz w:val="22"/>
          <w:szCs w:val="22"/>
        </w:rPr>
      </w:pPr>
      <w:r w:rsidRPr="003609EF">
        <w:rPr>
          <w:rStyle w:val="Textoennegrita"/>
          <w:rFonts w:ascii="Arial" w:hAnsi="Arial" w:cs="Arial" w:hint="cs"/>
          <w:sz w:val="22"/>
          <w:szCs w:val="22"/>
        </w:rPr>
        <w:t>Ministerio de Economía y Finanzas (MEF).</w:t>
      </w:r>
      <w:r w:rsidRPr="003609EF">
        <w:rPr>
          <w:rFonts w:ascii="Arial" w:hAnsi="Arial" w:cs="Arial" w:hint="cs"/>
          <w:sz w:val="22"/>
          <w:szCs w:val="22"/>
        </w:rPr>
        <w:t xml:space="preserve"> 2018. </w:t>
      </w:r>
      <w:r w:rsidRPr="003609EF">
        <w:rPr>
          <w:rStyle w:val="nfasis"/>
          <w:rFonts w:ascii="Arial" w:hAnsi="Arial" w:cs="Arial" w:hint="cs"/>
          <w:sz w:val="22"/>
          <w:szCs w:val="22"/>
        </w:rPr>
        <w:t>Ley N.º 30732: Ley de modificación del Fondo de Compensación Regional – FONCOR</w:t>
      </w:r>
      <w:r w:rsidRPr="003609EF">
        <w:rPr>
          <w:rFonts w:ascii="Arial" w:hAnsi="Arial" w:cs="Arial" w:hint="cs"/>
          <w:sz w:val="22"/>
          <w:szCs w:val="22"/>
        </w:rPr>
        <w:t xml:space="preserve">. Disponible en: </w:t>
      </w:r>
      <w:hyperlink r:id="rId16" w:tgtFrame="_new" w:history="1">
        <w:r w:rsidRPr="003609EF">
          <w:rPr>
            <w:rStyle w:val="Hipervnculo"/>
            <w:rFonts w:ascii="Arial" w:hAnsi="Arial" w:cs="Arial" w:hint="cs"/>
            <w:sz w:val="22"/>
            <w:szCs w:val="22"/>
          </w:rPr>
          <w:t>https://www.mef.gob.pe</w:t>
        </w:r>
      </w:hyperlink>
    </w:p>
    <w:p w14:paraId="0F0748AB" w14:textId="77777777" w:rsidR="003609EF" w:rsidRPr="003609EF" w:rsidRDefault="003609EF" w:rsidP="003609EF">
      <w:pPr>
        <w:pStyle w:val="NormalWeb"/>
        <w:ind w:firstLine="360"/>
        <w:rPr>
          <w:rFonts w:ascii="Arial" w:hAnsi="Arial" w:cs="Arial"/>
          <w:sz w:val="22"/>
          <w:szCs w:val="22"/>
        </w:rPr>
      </w:pPr>
      <w:r w:rsidRPr="003609EF">
        <w:rPr>
          <w:rStyle w:val="Textoennegrita"/>
          <w:rFonts w:ascii="Arial" w:hAnsi="Arial" w:cs="Arial" w:hint="cs"/>
          <w:sz w:val="22"/>
          <w:szCs w:val="22"/>
        </w:rPr>
        <w:t>Ministerio de Trabajo y Promoción del Empleo (MTPE).</w:t>
      </w:r>
      <w:r w:rsidRPr="003609EF">
        <w:rPr>
          <w:rFonts w:ascii="Arial" w:hAnsi="Arial" w:cs="Arial" w:hint="cs"/>
          <w:sz w:val="22"/>
          <w:szCs w:val="22"/>
        </w:rPr>
        <w:t xml:space="preserve"> 2010. </w:t>
      </w:r>
      <w:r w:rsidRPr="003609EF">
        <w:rPr>
          <w:rStyle w:val="nfasis"/>
          <w:rFonts w:ascii="Arial" w:hAnsi="Arial" w:cs="Arial" w:hint="cs"/>
          <w:sz w:val="22"/>
          <w:szCs w:val="22"/>
        </w:rPr>
        <w:t>Ley N.º 29783 de Seguridad y Salud en el Trabajo</w:t>
      </w:r>
      <w:r w:rsidRPr="003609EF">
        <w:rPr>
          <w:rFonts w:ascii="Arial" w:hAnsi="Arial" w:cs="Arial" w:hint="cs"/>
          <w:sz w:val="22"/>
          <w:szCs w:val="22"/>
        </w:rPr>
        <w:t xml:space="preserve">. Disponible en: </w:t>
      </w:r>
      <w:hyperlink r:id="rId17" w:tgtFrame="_new" w:history="1">
        <w:r w:rsidRPr="003609EF">
          <w:rPr>
            <w:rStyle w:val="Hipervnculo"/>
            <w:rFonts w:ascii="Arial" w:hAnsi="Arial" w:cs="Arial" w:hint="cs"/>
            <w:sz w:val="22"/>
            <w:szCs w:val="22"/>
          </w:rPr>
          <w:t>https://www.gob.pe/mtpe</w:t>
        </w:r>
      </w:hyperlink>
    </w:p>
    <w:p w14:paraId="1C47C2FF" w14:textId="594DBF9E" w:rsidR="00F64720" w:rsidRDefault="003609EF" w:rsidP="000D7C47">
      <w:pPr>
        <w:pStyle w:val="NormalWeb"/>
        <w:ind w:firstLine="360"/>
        <w:rPr>
          <w:rStyle w:val="Hipervnculo"/>
          <w:rFonts w:ascii="Arial" w:hAnsi="Arial" w:cs="Arial"/>
          <w:sz w:val="22"/>
          <w:szCs w:val="22"/>
        </w:rPr>
      </w:pPr>
      <w:r w:rsidRPr="003609EF">
        <w:rPr>
          <w:rStyle w:val="Textoennegrita"/>
          <w:rFonts w:ascii="Arial" w:hAnsi="Arial" w:cs="Arial" w:hint="cs"/>
          <w:sz w:val="22"/>
          <w:szCs w:val="22"/>
        </w:rPr>
        <w:t>Presidencia del Consejo de Ministros (PCM).</w:t>
      </w:r>
      <w:r w:rsidRPr="003609EF">
        <w:rPr>
          <w:rFonts w:ascii="Arial" w:hAnsi="Arial" w:cs="Arial" w:hint="cs"/>
          <w:sz w:val="22"/>
          <w:szCs w:val="22"/>
        </w:rPr>
        <w:t xml:space="preserve"> 2019. </w:t>
      </w:r>
      <w:r w:rsidRPr="003609EF">
        <w:rPr>
          <w:rStyle w:val="nfasis"/>
          <w:rFonts w:ascii="Arial" w:hAnsi="Arial" w:cs="Arial" w:hint="cs"/>
          <w:sz w:val="22"/>
          <w:szCs w:val="22"/>
        </w:rPr>
        <w:t>Plan Nacional de Competitividad y Productividad 2019–2030</w:t>
      </w:r>
      <w:r w:rsidRPr="003609EF">
        <w:rPr>
          <w:rFonts w:ascii="Arial" w:hAnsi="Arial" w:cs="Arial" w:hint="cs"/>
          <w:sz w:val="22"/>
          <w:szCs w:val="22"/>
        </w:rPr>
        <w:t xml:space="preserve">. Disponible en: </w:t>
      </w:r>
      <w:hyperlink r:id="rId18" w:tgtFrame="_new" w:history="1">
        <w:r w:rsidRPr="003609EF">
          <w:rPr>
            <w:rStyle w:val="Hipervnculo"/>
            <w:rFonts w:ascii="Arial" w:hAnsi="Arial" w:cs="Arial" w:hint="cs"/>
            <w:sz w:val="22"/>
            <w:szCs w:val="22"/>
          </w:rPr>
          <w:t>https://www.gob.pe/pcm</w:t>
        </w:r>
      </w:hyperlink>
    </w:p>
    <w:p w14:paraId="2DF08A36" w14:textId="7AA39184" w:rsidR="000D7C47" w:rsidRDefault="000D7C47" w:rsidP="000D7C47">
      <w:pPr>
        <w:pStyle w:val="NormalWeb"/>
        <w:ind w:firstLine="360"/>
        <w:rPr>
          <w:rFonts w:ascii="Arial" w:hAnsi="Arial" w:cs="Arial"/>
          <w:sz w:val="22"/>
          <w:szCs w:val="22"/>
        </w:rPr>
      </w:pPr>
      <w:r w:rsidRPr="000D7C47">
        <w:rPr>
          <w:rStyle w:val="Textoennegrita"/>
          <w:rFonts w:ascii="Arial" w:hAnsi="Arial" w:cs="Arial" w:hint="cs"/>
          <w:sz w:val="22"/>
          <w:szCs w:val="22"/>
          <w:lang w:val="en-US"/>
        </w:rPr>
        <w:t>Tomi, G.</w:t>
      </w:r>
      <w:r w:rsidRPr="000D7C47">
        <w:rPr>
          <w:rFonts w:ascii="Arial" w:hAnsi="Arial" w:cs="Arial" w:hint="cs"/>
          <w:sz w:val="22"/>
          <w:szCs w:val="22"/>
          <w:lang w:val="en-US"/>
        </w:rPr>
        <w:t xml:space="preserve"> 2023. </w:t>
      </w:r>
      <w:r w:rsidRPr="003609EF">
        <w:rPr>
          <w:rFonts w:ascii="Arial" w:hAnsi="Arial" w:cs="Arial" w:hint="cs"/>
          <w:sz w:val="22"/>
          <w:szCs w:val="22"/>
        </w:rPr>
        <w:t xml:space="preserve">Minerais críticos e estratégicos no Brasil: uma agenda de soberania e de clima. </w:t>
      </w:r>
      <w:r w:rsidRPr="003609EF">
        <w:rPr>
          <w:rStyle w:val="nfasis"/>
          <w:rFonts w:ascii="Arial" w:hAnsi="Arial" w:cs="Arial" w:hint="cs"/>
          <w:sz w:val="22"/>
          <w:szCs w:val="22"/>
        </w:rPr>
        <w:t>Revista USP – Dossiê Energia e Sustentabilidade</w:t>
      </w:r>
      <w:r w:rsidRPr="003609EF">
        <w:rPr>
          <w:rFonts w:ascii="Arial" w:hAnsi="Arial" w:cs="Arial" w:hint="cs"/>
          <w:sz w:val="22"/>
          <w:szCs w:val="22"/>
        </w:rPr>
        <w:t>, v. 132, p. 67–79.</w:t>
      </w:r>
    </w:p>
    <w:p w14:paraId="2E3E55A2" w14:textId="77777777" w:rsidR="000D7C47" w:rsidRPr="003609EF" w:rsidRDefault="000D7C47" w:rsidP="000D7C47">
      <w:pPr>
        <w:pStyle w:val="NormalWeb"/>
        <w:ind w:firstLine="360"/>
        <w:rPr>
          <w:rFonts w:ascii="Arial" w:hAnsi="Arial" w:cs="Arial"/>
          <w:sz w:val="22"/>
          <w:szCs w:val="22"/>
          <w:lang w:val="en-US"/>
        </w:rPr>
      </w:pPr>
      <w:r w:rsidRPr="003609EF">
        <w:rPr>
          <w:rStyle w:val="Textoennegrita"/>
          <w:rFonts w:ascii="Arial" w:hAnsi="Arial" w:cs="Arial" w:hint="cs"/>
          <w:sz w:val="22"/>
          <w:szCs w:val="22"/>
          <w:lang w:val="en-US"/>
        </w:rPr>
        <w:t>U.S. Congress.</w:t>
      </w:r>
      <w:r w:rsidRPr="003609EF">
        <w:rPr>
          <w:rFonts w:ascii="Arial" w:hAnsi="Arial" w:cs="Arial" w:hint="cs"/>
          <w:sz w:val="22"/>
          <w:szCs w:val="22"/>
          <w:lang w:val="en-US"/>
        </w:rPr>
        <w:t xml:space="preserve"> 2022. </w:t>
      </w:r>
      <w:r w:rsidRPr="003609EF">
        <w:rPr>
          <w:rStyle w:val="nfasis"/>
          <w:rFonts w:ascii="Arial" w:hAnsi="Arial" w:cs="Arial" w:hint="cs"/>
          <w:sz w:val="22"/>
          <w:szCs w:val="22"/>
          <w:lang w:val="en-US"/>
        </w:rPr>
        <w:t>Inflation Reduction Act of 2022</w:t>
      </w:r>
      <w:r w:rsidRPr="003609EF">
        <w:rPr>
          <w:rFonts w:ascii="Arial" w:hAnsi="Arial" w:cs="Arial" w:hint="cs"/>
          <w:sz w:val="22"/>
          <w:szCs w:val="22"/>
          <w:lang w:val="en-US"/>
        </w:rPr>
        <w:t xml:space="preserve">. </w:t>
      </w:r>
      <w:r w:rsidRPr="003609EF">
        <w:rPr>
          <w:rStyle w:val="nfasis"/>
          <w:rFonts w:ascii="Arial" w:hAnsi="Arial" w:cs="Arial" w:hint="cs"/>
          <w:sz w:val="22"/>
          <w:szCs w:val="22"/>
          <w:lang w:val="en-US"/>
        </w:rPr>
        <w:t>Public Law No: 117-169</w:t>
      </w:r>
      <w:r w:rsidRPr="003609EF">
        <w:rPr>
          <w:rFonts w:ascii="Arial" w:hAnsi="Arial" w:cs="Arial" w:hint="cs"/>
          <w:sz w:val="22"/>
          <w:szCs w:val="22"/>
          <w:lang w:val="en-US"/>
        </w:rPr>
        <w:t>, v. 1, p. 1–273.</w:t>
      </w:r>
    </w:p>
    <w:p w14:paraId="3797662C" w14:textId="77777777" w:rsidR="000D7C47" w:rsidRPr="003609EF" w:rsidRDefault="000D7C47" w:rsidP="000D7C47">
      <w:pPr>
        <w:pStyle w:val="NormalWeb"/>
        <w:ind w:firstLine="360"/>
        <w:rPr>
          <w:rFonts w:ascii="Arial" w:hAnsi="Arial" w:cs="Arial"/>
          <w:sz w:val="22"/>
          <w:szCs w:val="22"/>
          <w:lang w:val="en-US"/>
        </w:rPr>
      </w:pPr>
      <w:r w:rsidRPr="003609EF">
        <w:rPr>
          <w:rStyle w:val="Textoennegrita"/>
          <w:rFonts w:ascii="Arial" w:hAnsi="Arial" w:cs="Arial" w:hint="cs"/>
          <w:sz w:val="22"/>
          <w:szCs w:val="22"/>
          <w:lang w:val="en-US"/>
        </w:rPr>
        <w:t>U.S. Geological Survey.</w:t>
      </w:r>
      <w:r w:rsidRPr="003609EF">
        <w:rPr>
          <w:rFonts w:ascii="Arial" w:hAnsi="Arial" w:cs="Arial" w:hint="cs"/>
          <w:sz w:val="22"/>
          <w:szCs w:val="22"/>
          <w:lang w:val="en-US"/>
        </w:rPr>
        <w:t xml:space="preserve"> 2023. </w:t>
      </w:r>
      <w:r w:rsidRPr="003609EF">
        <w:rPr>
          <w:rStyle w:val="nfasis"/>
          <w:rFonts w:ascii="Arial" w:hAnsi="Arial" w:cs="Arial" w:hint="cs"/>
          <w:sz w:val="22"/>
          <w:szCs w:val="22"/>
          <w:lang w:val="en-US"/>
        </w:rPr>
        <w:t>Mineral Commodity Summaries 2023</w:t>
      </w:r>
      <w:r w:rsidRPr="003609EF">
        <w:rPr>
          <w:rFonts w:ascii="Arial" w:hAnsi="Arial" w:cs="Arial" w:hint="cs"/>
          <w:sz w:val="22"/>
          <w:szCs w:val="22"/>
          <w:lang w:val="en-US"/>
        </w:rPr>
        <w:t>. U.S. Department of the Interior, v. 1, p. 1–208.</w:t>
      </w:r>
    </w:p>
    <w:p w14:paraId="6A6CE112" w14:textId="77777777" w:rsidR="000D7C47" w:rsidRPr="000D7C47" w:rsidRDefault="000D7C47" w:rsidP="000D7C47">
      <w:pPr>
        <w:pStyle w:val="NormalWeb"/>
        <w:ind w:firstLine="360"/>
        <w:rPr>
          <w:rFonts w:ascii="Arial" w:hAnsi="Arial" w:cs="Arial"/>
          <w:sz w:val="22"/>
          <w:szCs w:val="22"/>
          <w:lang w:val="en-US"/>
        </w:rPr>
      </w:pPr>
    </w:p>
    <w:p w14:paraId="02D47CE4" w14:textId="77777777" w:rsidR="008278F7" w:rsidRPr="000D7C47" w:rsidRDefault="008278F7" w:rsidP="006178C0">
      <w:pPr>
        <w:jc w:val="both"/>
        <w:rPr>
          <w:rFonts w:ascii="Arial" w:hAnsi="Arial" w:cs="Arial"/>
          <w:b/>
          <w:bCs/>
          <w:sz w:val="22"/>
          <w:szCs w:val="22"/>
          <w:lang w:val="en-US"/>
        </w:rPr>
      </w:pPr>
    </w:p>
    <w:p w14:paraId="0E9D7108" w14:textId="77777777" w:rsidR="008B48C8" w:rsidRPr="000D7C47" w:rsidRDefault="008B48C8" w:rsidP="00837CF7">
      <w:pPr>
        <w:ind w:left="142" w:hanging="142"/>
        <w:jc w:val="both"/>
        <w:rPr>
          <w:rFonts w:ascii="Arial" w:hAnsi="Arial" w:cs="Arial"/>
          <w:b/>
          <w:bCs/>
          <w:sz w:val="22"/>
          <w:szCs w:val="22"/>
          <w:lang w:val="en-US"/>
        </w:rPr>
      </w:pPr>
    </w:p>
    <w:p w14:paraId="31BC1716" w14:textId="77777777" w:rsidR="004A6D22" w:rsidRPr="000D7C47" w:rsidRDefault="004A6D22" w:rsidP="00975533">
      <w:pPr>
        <w:widowControl w:val="0"/>
        <w:autoSpaceDE w:val="0"/>
        <w:autoSpaceDN w:val="0"/>
        <w:adjustRightInd w:val="0"/>
        <w:rPr>
          <w:rFonts w:ascii="Arial" w:hAnsi="Arial" w:cs="Arial"/>
          <w:b/>
          <w:bCs/>
          <w:sz w:val="22"/>
          <w:szCs w:val="22"/>
          <w:lang w:val="en-US"/>
        </w:rPr>
      </w:pPr>
    </w:p>
    <w:p w14:paraId="6659D242" w14:textId="77777777" w:rsidR="004A6D22" w:rsidRPr="000D7C47" w:rsidRDefault="004A6D22" w:rsidP="00975533">
      <w:pPr>
        <w:widowControl w:val="0"/>
        <w:autoSpaceDE w:val="0"/>
        <w:autoSpaceDN w:val="0"/>
        <w:adjustRightInd w:val="0"/>
        <w:rPr>
          <w:rFonts w:ascii="Arial" w:hAnsi="Arial" w:cs="Arial"/>
          <w:b/>
          <w:bCs/>
          <w:sz w:val="22"/>
          <w:szCs w:val="22"/>
          <w:lang w:val="en-US"/>
        </w:rPr>
      </w:pPr>
    </w:p>
    <w:p w14:paraId="3087C682" w14:textId="77777777" w:rsidR="004A6D22" w:rsidRPr="000D7C47" w:rsidRDefault="004A6D22" w:rsidP="00975533">
      <w:pPr>
        <w:widowControl w:val="0"/>
        <w:autoSpaceDE w:val="0"/>
        <w:autoSpaceDN w:val="0"/>
        <w:adjustRightInd w:val="0"/>
        <w:rPr>
          <w:rFonts w:ascii="Arial" w:hAnsi="Arial" w:cs="Arial"/>
          <w:b/>
          <w:bCs/>
          <w:sz w:val="22"/>
          <w:szCs w:val="22"/>
          <w:lang w:val="en-US"/>
        </w:rPr>
      </w:pPr>
    </w:p>
    <w:p w14:paraId="5268C98A" w14:textId="77777777" w:rsidR="004A6D22" w:rsidRPr="000D7C47" w:rsidRDefault="004A6D22" w:rsidP="00975533">
      <w:pPr>
        <w:widowControl w:val="0"/>
        <w:autoSpaceDE w:val="0"/>
        <w:autoSpaceDN w:val="0"/>
        <w:adjustRightInd w:val="0"/>
        <w:rPr>
          <w:rFonts w:ascii="Arial" w:hAnsi="Arial" w:cs="Arial"/>
          <w:b/>
          <w:bCs/>
          <w:sz w:val="22"/>
          <w:szCs w:val="22"/>
          <w:lang w:val="en-US"/>
        </w:rPr>
      </w:pPr>
    </w:p>
    <w:p w14:paraId="3E4542FF" w14:textId="77777777" w:rsidR="004A6D22" w:rsidRPr="000D7C47" w:rsidRDefault="004A6D22" w:rsidP="00975533">
      <w:pPr>
        <w:widowControl w:val="0"/>
        <w:autoSpaceDE w:val="0"/>
        <w:autoSpaceDN w:val="0"/>
        <w:adjustRightInd w:val="0"/>
        <w:rPr>
          <w:rFonts w:ascii="Arial" w:hAnsi="Arial" w:cs="Arial"/>
          <w:b/>
          <w:bCs/>
          <w:sz w:val="22"/>
          <w:szCs w:val="22"/>
          <w:lang w:val="en-US"/>
        </w:rPr>
      </w:pPr>
    </w:p>
    <w:p w14:paraId="52C83747" w14:textId="77777777" w:rsidR="004A6D22" w:rsidRPr="000D7C47" w:rsidRDefault="004A6D22" w:rsidP="00975533">
      <w:pPr>
        <w:widowControl w:val="0"/>
        <w:autoSpaceDE w:val="0"/>
        <w:autoSpaceDN w:val="0"/>
        <w:adjustRightInd w:val="0"/>
        <w:rPr>
          <w:rFonts w:ascii="Arial" w:hAnsi="Arial" w:cs="Arial"/>
          <w:b/>
          <w:bCs/>
          <w:sz w:val="22"/>
          <w:szCs w:val="22"/>
          <w:lang w:val="en-US"/>
        </w:rPr>
      </w:pPr>
    </w:p>
    <w:p w14:paraId="641F528C" w14:textId="77777777" w:rsidR="003609EF" w:rsidRPr="000D7C47" w:rsidRDefault="003609EF">
      <w:pPr>
        <w:rPr>
          <w:rFonts w:ascii="Arial" w:hAnsi="Arial" w:cs="Arial"/>
          <w:bCs/>
          <w:sz w:val="22"/>
          <w:szCs w:val="22"/>
          <w:lang w:val="en-US"/>
        </w:rPr>
      </w:pPr>
      <w:r w:rsidRPr="000D7C47">
        <w:rPr>
          <w:rFonts w:ascii="Arial" w:hAnsi="Arial" w:cs="Arial"/>
          <w:bCs/>
          <w:sz w:val="22"/>
          <w:szCs w:val="22"/>
          <w:lang w:val="en-US"/>
        </w:rPr>
        <w:br w:type="page"/>
      </w:r>
    </w:p>
    <w:p w14:paraId="4E608BD2" w14:textId="77370A60" w:rsidR="00C75A0A" w:rsidRPr="00C75A0A" w:rsidRDefault="00C75A0A" w:rsidP="00C75A0A">
      <w:pPr>
        <w:widowControl w:val="0"/>
        <w:autoSpaceDE w:val="0"/>
        <w:autoSpaceDN w:val="0"/>
        <w:adjustRightInd w:val="0"/>
        <w:rPr>
          <w:rFonts w:ascii="Arial" w:hAnsi="Arial" w:cs="Arial"/>
          <w:bCs/>
          <w:sz w:val="22"/>
          <w:szCs w:val="22"/>
        </w:rPr>
      </w:pPr>
      <w:r>
        <w:rPr>
          <w:rFonts w:ascii="Arial" w:hAnsi="Arial" w:cs="Arial"/>
          <w:bCs/>
          <w:sz w:val="22"/>
          <w:szCs w:val="22"/>
        </w:rPr>
        <w:lastRenderedPageBreak/>
        <w:t>Gabriela Gaindo Gonzales</w:t>
      </w:r>
      <w:r>
        <w:rPr>
          <w:rFonts w:ascii="Arial" w:hAnsi="Arial" w:cs="Arial"/>
          <w:bCs/>
          <w:sz w:val="22"/>
          <w:szCs w:val="22"/>
        </w:rPr>
        <w:br/>
      </w:r>
      <w:r w:rsidRPr="00C75A0A">
        <w:rPr>
          <w:rFonts w:ascii="Arial" w:hAnsi="Arial" w:cs="Arial"/>
          <w:bCs/>
          <w:sz w:val="22"/>
          <w:szCs w:val="22"/>
        </w:rPr>
        <w:t>Ingeniera Industrial con formación de posgrado en Ingeniería Mineral e Investigación Científica, y más de seis años de experiencia en operaciones mineras subterráneas y a cielo abierto en Perú y Brasil. A lo largo de mi carrera, he liderado proyectos orientados a la mejora continua, sostenibilidad, seguridad operacional y transformación digital, integrando conocimientos técnicos con visión estratégica.</w:t>
      </w:r>
      <w:r w:rsidRPr="00C75A0A">
        <w:rPr>
          <w:rFonts w:ascii="Arial" w:hAnsi="Arial" w:cs="Arial"/>
          <w:bCs/>
          <w:sz w:val="22"/>
          <w:szCs w:val="22"/>
        </w:rPr>
        <w:t xml:space="preserve"> </w:t>
      </w:r>
      <w:r w:rsidRPr="00C75A0A">
        <w:rPr>
          <w:rFonts w:ascii="Arial" w:hAnsi="Arial" w:cs="Arial"/>
          <w:bCs/>
          <w:sz w:val="22"/>
          <w:szCs w:val="22"/>
        </w:rPr>
        <w:t>Mi trayectoria combina el desarrollo de soluciones innovadoras en contextos operativos complejos, con la implementación de metodologías de análisis, optimización y control en procesos críticos como acarreo, sostenimiento, ventilación y producción.</w:t>
      </w:r>
      <w:r w:rsidRPr="00C75A0A">
        <w:rPr>
          <w:rFonts w:ascii="Arial" w:hAnsi="Arial" w:cs="Arial"/>
          <w:bCs/>
          <w:sz w:val="22"/>
          <w:szCs w:val="22"/>
        </w:rPr>
        <w:t xml:space="preserve"> </w:t>
      </w:r>
      <w:r w:rsidRPr="00C75A0A">
        <w:rPr>
          <w:rFonts w:ascii="Arial" w:hAnsi="Arial" w:cs="Arial"/>
          <w:bCs/>
          <w:sz w:val="22"/>
          <w:szCs w:val="22"/>
        </w:rPr>
        <w:t>He coordinado iniciativas de investigación aplicada y operaciones, participando activamente en equipos multidisciplinarios y en la formación técnica de profesionales del sector minero. Mi perfil se caracteriza por el compromiso con la excelencia operativa, la prevención de riesgos y la búsqueda de una minería más eficiente, segura y sustentable.</w:t>
      </w:r>
    </w:p>
    <w:p w14:paraId="593CF034" w14:textId="77777777" w:rsidR="00180629" w:rsidRPr="000270E6" w:rsidRDefault="00180629" w:rsidP="00975533">
      <w:pPr>
        <w:widowControl w:val="0"/>
        <w:autoSpaceDE w:val="0"/>
        <w:autoSpaceDN w:val="0"/>
        <w:adjustRightInd w:val="0"/>
        <w:rPr>
          <w:rFonts w:ascii="Arial" w:hAnsi="Arial" w:cs="Arial"/>
          <w:bCs/>
          <w:sz w:val="22"/>
          <w:szCs w:val="22"/>
        </w:rPr>
      </w:pPr>
    </w:p>
    <w:p w14:paraId="6C7AFBA8" w14:textId="7CAA081C" w:rsidR="002B5475" w:rsidRPr="000270E6" w:rsidRDefault="006153D5" w:rsidP="00975533">
      <w:pPr>
        <w:ind w:left="142" w:hanging="142"/>
        <w:jc w:val="both"/>
        <w:rPr>
          <w:rFonts w:ascii="Arial" w:hAnsi="Arial" w:cs="Arial"/>
          <w:bCs/>
          <w:sz w:val="22"/>
          <w:szCs w:val="22"/>
        </w:rPr>
      </w:pPr>
      <w:r>
        <w:rPr>
          <w:rFonts w:ascii="Arial" w:hAnsi="Arial" w:cs="Arial"/>
          <w:bCs/>
          <w:sz w:val="22"/>
          <w:szCs w:val="22"/>
        </w:rPr>
        <w:t>Ana Carolina Russo</w:t>
      </w:r>
    </w:p>
    <w:p w14:paraId="1B5AD333" w14:textId="3E952D3D" w:rsidR="00C75A0A" w:rsidRDefault="00C75A0A" w:rsidP="00EB0DEC">
      <w:pPr>
        <w:jc w:val="both"/>
        <w:rPr>
          <w:rFonts w:ascii="Arial" w:hAnsi="Arial" w:cs="Arial"/>
          <w:bCs/>
          <w:sz w:val="22"/>
          <w:szCs w:val="22"/>
        </w:rPr>
      </w:pPr>
      <w:r w:rsidRPr="00C75A0A">
        <w:rPr>
          <w:rFonts w:ascii="Arial" w:hAnsi="Arial" w:cs="Arial"/>
          <w:bCs/>
          <w:sz w:val="22"/>
          <w:szCs w:val="22"/>
        </w:rPr>
        <w:t>Profesora Doctora en el Departamento de Ingeniería de Minas y Petróleo de la Universidad de São Paulo (USP), con enfoque en seguridad del trabajo, factores humanos, salud ocupacional y medio ambiente en actividades mineras. Es subcoordinadora del laboratorio LIGERO – Laboratorio Integrado de Gestión de Riesgos Operacionales de la USP, donde desarrolla investigaciones aplicadas sobre evaluación de riesgos, confiabilidad humana y gestión de condiciones extremas de trabajo. Posee experiencia consolidada en proyectos interdisciplinarios, tanto nacionales como internacionales, con énfasis en minería artesanal, exposición a contaminantes y transición energética justa. Actúa como investigadora en temas relacionados con insalubridad, estrés térmico y condiciones laborales en sectores de alto riesgo. Integra el grupo de trabajo MINOSH sobre Salud y Seguridad Ocupacional en la Minería, de la Comisión Internacional de Salud Ocupacional (ICOH), centrado en la promoción de la salud y seguridad en minería, con enfoque en contextos de alta vulnerabilidad.</w:t>
      </w:r>
    </w:p>
    <w:p w14:paraId="6BBCF95A" w14:textId="77777777" w:rsidR="00C75A0A" w:rsidRPr="00EB0DEC" w:rsidRDefault="00C75A0A" w:rsidP="00EB0DEC">
      <w:pPr>
        <w:jc w:val="both"/>
        <w:rPr>
          <w:rFonts w:ascii="Arial" w:hAnsi="Arial" w:cs="Arial"/>
          <w:bCs/>
          <w:sz w:val="22"/>
          <w:szCs w:val="22"/>
        </w:rPr>
      </w:pPr>
    </w:p>
    <w:p w14:paraId="1FCF5E32" w14:textId="77777777" w:rsidR="00180629" w:rsidRPr="00C75A0A" w:rsidRDefault="00180629" w:rsidP="00E84004">
      <w:pPr>
        <w:widowControl w:val="0"/>
        <w:autoSpaceDE w:val="0"/>
        <w:autoSpaceDN w:val="0"/>
        <w:adjustRightInd w:val="0"/>
        <w:rPr>
          <w:rFonts w:ascii="Arial" w:hAnsi="Arial" w:cs="Arial"/>
          <w:bCs/>
          <w:sz w:val="22"/>
          <w:szCs w:val="22"/>
        </w:rPr>
      </w:pPr>
    </w:p>
    <w:p w14:paraId="26F22C84" w14:textId="11359D8F" w:rsidR="006153D5" w:rsidRPr="006153D5" w:rsidRDefault="006153D5" w:rsidP="00106D35">
      <w:pPr>
        <w:jc w:val="both"/>
        <w:rPr>
          <w:rFonts w:ascii="Arial" w:hAnsi="Arial" w:cs="Arial"/>
          <w:bCs/>
          <w:sz w:val="22"/>
          <w:szCs w:val="22"/>
        </w:rPr>
      </w:pPr>
      <w:r w:rsidRPr="006153D5">
        <w:rPr>
          <w:rFonts w:ascii="Arial" w:hAnsi="Arial" w:cs="Arial"/>
          <w:bCs/>
          <w:sz w:val="22"/>
          <w:szCs w:val="22"/>
        </w:rPr>
        <w:t xml:space="preserve">Giorgio de Tomi </w:t>
      </w:r>
    </w:p>
    <w:p w14:paraId="1215344E" w14:textId="6309658D" w:rsidR="00904E24" w:rsidRPr="000270E6" w:rsidRDefault="006153D5" w:rsidP="00106D35">
      <w:pPr>
        <w:jc w:val="both"/>
        <w:rPr>
          <w:rFonts w:ascii="Arial" w:hAnsi="Arial" w:cs="Arial"/>
          <w:bCs/>
          <w:sz w:val="22"/>
          <w:szCs w:val="22"/>
        </w:rPr>
        <w:sectPr w:rsidR="00904E24" w:rsidRPr="000270E6" w:rsidSect="003673E7">
          <w:pgSz w:w="11900" w:h="16840"/>
          <w:pgMar w:top="1134" w:right="680" w:bottom="964" w:left="851" w:header="680" w:footer="567" w:gutter="0"/>
          <w:cols w:num="2" w:space="397"/>
          <w:docGrid w:linePitch="360"/>
        </w:sectPr>
      </w:pPr>
      <w:r w:rsidRPr="006153D5">
        <w:rPr>
          <w:rFonts w:ascii="Arial" w:hAnsi="Arial" w:cs="Arial"/>
          <w:bCs/>
          <w:sz w:val="22"/>
          <w:szCs w:val="22"/>
        </w:rPr>
        <w:t xml:space="preserve">Profesor de Ingeniería de Minas en la Escuela Politécnica de la Universidad de São Paulo y Director del NAP.Mineracao/USP (Centro de Investigación para la Minería Responsable de la Universidad de São Paulo). Es Ingeniero de Minas por la USP, Doctor por el Imperial College (Reino </w:t>
      </w:r>
      <w:r w:rsidRPr="006153D5">
        <w:rPr>
          <w:rFonts w:ascii="Arial" w:hAnsi="Arial" w:cs="Arial"/>
          <w:bCs/>
          <w:sz w:val="22"/>
          <w:szCs w:val="22"/>
        </w:rPr>
        <w:t>Unido) y Magíster por SIU-C (Estados Unidos). Es miembro del IOM3 (Reino Unido) y posee la acreditación de Ingeniero Colegiado por el Engineering Council (Reino Unido). Además, actúa como Persona Calificada (QP) y Persona Competente (CP) para diversos grupos mineros internacionales. Coordina proyectos para el Banco Mundial, el IGF y el PNUMA sobre minería responsable a pequeña escala</w:t>
      </w:r>
      <w:r w:rsidR="00C75A0A">
        <w:rPr>
          <w:rFonts w:ascii="Arial" w:hAnsi="Arial" w:cs="Arial"/>
          <w:bCs/>
          <w:sz w:val="22"/>
          <w:szCs w:val="22"/>
        </w:rPr>
        <w:t>.</w:t>
      </w:r>
    </w:p>
    <w:p w14:paraId="0F14B702" w14:textId="77777777" w:rsidR="00904E24" w:rsidRPr="000270E6" w:rsidRDefault="00904E24" w:rsidP="00106D35">
      <w:pPr>
        <w:jc w:val="both"/>
        <w:rPr>
          <w:rFonts w:ascii="Arial" w:hAnsi="Arial" w:cs="Arial"/>
          <w:bCs/>
          <w:sz w:val="22"/>
          <w:szCs w:val="22"/>
        </w:rPr>
      </w:pPr>
    </w:p>
    <w:sectPr w:rsidR="00904E24" w:rsidRPr="000270E6" w:rsidSect="003673E7">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3F105" w14:textId="77777777" w:rsidR="00120540" w:rsidRDefault="00120540" w:rsidP="004D469A">
      <w:r>
        <w:separator/>
      </w:r>
    </w:p>
  </w:endnote>
  <w:endnote w:type="continuationSeparator" w:id="0">
    <w:p w14:paraId="173D6725" w14:textId="77777777" w:rsidR="00120540" w:rsidRDefault="00120540"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Roboto">
    <w:altName w:val="Arial"/>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73C15" w14:textId="77777777" w:rsidR="00120540" w:rsidRDefault="00120540" w:rsidP="004D469A">
      <w:r>
        <w:separator/>
      </w:r>
    </w:p>
  </w:footnote>
  <w:footnote w:type="continuationSeparator" w:id="0">
    <w:p w14:paraId="7B15F911" w14:textId="77777777" w:rsidR="00120540" w:rsidRDefault="00120540"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7E9A"/>
    <w:multiLevelType w:val="multilevel"/>
    <w:tmpl w:val="71F0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E0997"/>
    <w:multiLevelType w:val="hybridMultilevel"/>
    <w:tmpl w:val="DC1A49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8C40E2"/>
    <w:multiLevelType w:val="multilevel"/>
    <w:tmpl w:val="E06AE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97491"/>
    <w:multiLevelType w:val="hybridMultilevel"/>
    <w:tmpl w:val="3B768B70"/>
    <w:lvl w:ilvl="0" w:tplc="30B88D70">
      <w:numFmt w:val="bullet"/>
      <w:lvlText w:val="•"/>
      <w:lvlJc w:val="left"/>
      <w:pPr>
        <w:ind w:left="720" w:hanging="360"/>
      </w:pPr>
      <w:rPr>
        <w:rFonts w:hint="default"/>
        <w:lang w:val="es-ES" w:eastAsia="en-US" w:bidi="ar-SA"/>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73F7B6A"/>
    <w:multiLevelType w:val="multilevel"/>
    <w:tmpl w:val="AAEE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C3F88"/>
    <w:multiLevelType w:val="multilevel"/>
    <w:tmpl w:val="17E4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A65CF"/>
    <w:multiLevelType w:val="multilevel"/>
    <w:tmpl w:val="14BE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43272"/>
    <w:multiLevelType w:val="hybridMultilevel"/>
    <w:tmpl w:val="EAD69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2464839"/>
    <w:multiLevelType w:val="multilevel"/>
    <w:tmpl w:val="D4C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E31D1"/>
    <w:multiLevelType w:val="multilevel"/>
    <w:tmpl w:val="B126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E1B29"/>
    <w:multiLevelType w:val="multilevel"/>
    <w:tmpl w:val="4B6A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16D9E"/>
    <w:multiLevelType w:val="multilevel"/>
    <w:tmpl w:val="514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12530"/>
    <w:multiLevelType w:val="hybridMultilevel"/>
    <w:tmpl w:val="BCE06518"/>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2D2DA7"/>
    <w:multiLevelType w:val="multilevel"/>
    <w:tmpl w:val="277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ED00AE"/>
    <w:multiLevelType w:val="hybridMultilevel"/>
    <w:tmpl w:val="653E92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AF03C26"/>
    <w:multiLevelType w:val="multilevel"/>
    <w:tmpl w:val="7E84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8740B"/>
    <w:multiLevelType w:val="multilevel"/>
    <w:tmpl w:val="13C0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703FED"/>
    <w:multiLevelType w:val="multilevel"/>
    <w:tmpl w:val="63B2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1B73BA"/>
    <w:multiLevelType w:val="hybridMultilevel"/>
    <w:tmpl w:val="DC4005E6"/>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5464895"/>
    <w:multiLevelType w:val="hybridMultilevel"/>
    <w:tmpl w:val="ECFE5C7E"/>
    <w:lvl w:ilvl="0" w:tplc="CC86B68C">
      <w:numFmt w:val="bullet"/>
      <w:lvlText w:val=""/>
      <w:lvlJc w:val="left"/>
      <w:pPr>
        <w:ind w:left="720" w:hanging="360"/>
      </w:pPr>
      <w:rPr>
        <w:rFonts w:ascii="Symbol" w:hAnsi="Symbol" w:hint="default"/>
        <w:lang w:val="es-ES" w:eastAsia="en-US" w:bidi="ar-SA"/>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D160CFE"/>
    <w:multiLevelType w:val="hybridMultilevel"/>
    <w:tmpl w:val="87C8A908"/>
    <w:lvl w:ilvl="0" w:tplc="B54E1776">
      <w:start w:val="5"/>
      <w:numFmt w:val="bullet"/>
      <w:lvlText w:val="-"/>
      <w:lvlJc w:val="left"/>
      <w:pPr>
        <w:ind w:left="720" w:hanging="360"/>
      </w:pPr>
      <w:rPr>
        <w:rFonts w:ascii="Arial" w:eastAsia="Times New Roman" w:hAnsi="Arial" w:cs="Arial" w:hint="default"/>
        <w:b/>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45447244">
    <w:abstractNumId w:val="13"/>
  </w:num>
  <w:num w:numId="2" w16cid:durableId="924463026">
    <w:abstractNumId w:val="15"/>
  </w:num>
  <w:num w:numId="3" w16cid:durableId="1440950873">
    <w:abstractNumId w:val="7"/>
  </w:num>
  <w:num w:numId="4" w16cid:durableId="2065446291">
    <w:abstractNumId w:val="10"/>
  </w:num>
  <w:num w:numId="5" w16cid:durableId="81952072">
    <w:abstractNumId w:val="18"/>
  </w:num>
  <w:num w:numId="6" w16cid:durableId="13582324">
    <w:abstractNumId w:val="5"/>
  </w:num>
  <w:num w:numId="7" w16cid:durableId="821428501">
    <w:abstractNumId w:val="16"/>
  </w:num>
  <w:num w:numId="8" w16cid:durableId="1209221190">
    <w:abstractNumId w:val="19"/>
  </w:num>
  <w:num w:numId="9" w16cid:durableId="938563866">
    <w:abstractNumId w:val="9"/>
  </w:num>
  <w:num w:numId="10" w16cid:durableId="1925457672">
    <w:abstractNumId w:val="8"/>
  </w:num>
  <w:num w:numId="11" w16cid:durableId="107436485">
    <w:abstractNumId w:val="4"/>
  </w:num>
  <w:num w:numId="12" w16cid:durableId="818573766">
    <w:abstractNumId w:val="1"/>
  </w:num>
  <w:num w:numId="13" w16cid:durableId="1508203947">
    <w:abstractNumId w:val="6"/>
  </w:num>
  <w:num w:numId="14" w16cid:durableId="912007336">
    <w:abstractNumId w:val="14"/>
  </w:num>
  <w:num w:numId="15" w16cid:durableId="108401646">
    <w:abstractNumId w:val="0"/>
  </w:num>
  <w:num w:numId="16" w16cid:durableId="850996503">
    <w:abstractNumId w:val="11"/>
  </w:num>
  <w:num w:numId="17" w16cid:durableId="84310435">
    <w:abstractNumId w:val="17"/>
  </w:num>
  <w:num w:numId="18" w16cid:durableId="1579092287">
    <w:abstractNumId w:val="12"/>
  </w:num>
  <w:num w:numId="19" w16cid:durableId="1002243841">
    <w:abstractNumId w:val="2"/>
  </w:num>
  <w:num w:numId="20" w16cid:durableId="582253880">
    <w:abstractNumId w:val="3"/>
  </w:num>
  <w:num w:numId="21" w16cid:durableId="1379473225">
    <w:abstractNumId w:val="20"/>
  </w:num>
  <w:num w:numId="22" w16cid:durableId="14887481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51D8"/>
    <w:rsid w:val="00057373"/>
    <w:rsid w:val="000703C0"/>
    <w:rsid w:val="00081C4F"/>
    <w:rsid w:val="0009392A"/>
    <w:rsid w:val="000A177C"/>
    <w:rsid w:val="000A599E"/>
    <w:rsid w:val="000B39B6"/>
    <w:rsid w:val="000B54FF"/>
    <w:rsid w:val="000B788F"/>
    <w:rsid w:val="000D0B73"/>
    <w:rsid w:val="000D0D3A"/>
    <w:rsid w:val="000D7C47"/>
    <w:rsid w:val="000E010F"/>
    <w:rsid w:val="000F3514"/>
    <w:rsid w:val="00106D35"/>
    <w:rsid w:val="001165BD"/>
    <w:rsid w:val="00120540"/>
    <w:rsid w:val="00122588"/>
    <w:rsid w:val="00134BD0"/>
    <w:rsid w:val="00140898"/>
    <w:rsid w:val="00156239"/>
    <w:rsid w:val="00180629"/>
    <w:rsid w:val="0018131B"/>
    <w:rsid w:val="00191841"/>
    <w:rsid w:val="001928B8"/>
    <w:rsid w:val="001A607C"/>
    <w:rsid w:val="001B2427"/>
    <w:rsid w:val="001B3D61"/>
    <w:rsid w:val="001D0826"/>
    <w:rsid w:val="001D5AA2"/>
    <w:rsid w:val="001F29ED"/>
    <w:rsid w:val="001F63C4"/>
    <w:rsid w:val="001F7167"/>
    <w:rsid w:val="00205A18"/>
    <w:rsid w:val="002201FE"/>
    <w:rsid w:val="00232224"/>
    <w:rsid w:val="0023500B"/>
    <w:rsid w:val="002419CB"/>
    <w:rsid w:val="002525E1"/>
    <w:rsid w:val="002641B3"/>
    <w:rsid w:val="002A29DF"/>
    <w:rsid w:val="002A5DFE"/>
    <w:rsid w:val="002A766D"/>
    <w:rsid w:val="002B26C7"/>
    <w:rsid w:val="002B5475"/>
    <w:rsid w:val="002C3EBB"/>
    <w:rsid w:val="002D1C36"/>
    <w:rsid w:val="002D240B"/>
    <w:rsid w:val="00307578"/>
    <w:rsid w:val="00314F9E"/>
    <w:rsid w:val="003154EB"/>
    <w:rsid w:val="00324786"/>
    <w:rsid w:val="00337295"/>
    <w:rsid w:val="00344C46"/>
    <w:rsid w:val="003608C3"/>
    <w:rsid w:val="003609EF"/>
    <w:rsid w:val="00363841"/>
    <w:rsid w:val="0036489F"/>
    <w:rsid w:val="003673E7"/>
    <w:rsid w:val="00381D7F"/>
    <w:rsid w:val="0038699C"/>
    <w:rsid w:val="003B66C8"/>
    <w:rsid w:val="003B6E44"/>
    <w:rsid w:val="003C6D44"/>
    <w:rsid w:val="003D072A"/>
    <w:rsid w:val="003D271C"/>
    <w:rsid w:val="003D3A4A"/>
    <w:rsid w:val="003F080D"/>
    <w:rsid w:val="0040606A"/>
    <w:rsid w:val="00427100"/>
    <w:rsid w:val="0043413E"/>
    <w:rsid w:val="00436119"/>
    <w:rsid w:val="00437503"/>
    <w:rsid w:val="00441B34"/>
    <w:rsid w:val="00445BC3"/>
    <w:rsid w:val="00446E15"/>
    <w:rsid w:val="00460D0B"/>
    <w:rsid w:val="00486035"/>
    <w:rsid w:val="00493C85"/>
    <w:rsid w:val="004A163F"/>
    <w:rsid w:val="004A3665"/>
    <w:rsid w:val="004A6D22"/>
    <w:rsid w:val="004B1948"/>
    <w:rsid w:val="004B4A18"/>
    <w:rsid w:val="004B4C0C"/>
    <w:rsid w:val="004B5FEB"/>
    <w:rsid w:val="004C3B69"/>
    <w:rsid w:val="004D0689"/>
    <w:rsid w:val="004D469A"/>
    <w:rsid w:val="004D59AC"/>
    <w:rsid w:val="004E233B"/>
    <w:rsid w:val="005218B6"/>
    <w:rsid w:val="00522C8C"/>
    <w:rsid w:val="005505E2"/>
    <w:rsid w:val="005631EB"/>
    <w:rsid w:val="005843A4"/>
    <w:rsid w:val="005A352B"/>
    <w:rsid w:val="005B08EB"/>
    <w:rsid w:val="005B4D84"/>
    <w:rsid w:val="005D673A"/>
    <w:rsid w:val="005E3684"/>
    <w:rsid w:val="006050E9"/>
    <w:rsid w:val="006153D5"/>
    <w:rsid w:val="006178C0"/>
    <w:rsid w:val="00622FDA"/>
    <w:rsid w:val="00631DC1"/>
    <w:rsid w:val="006423FA"/>
    <w:rsid w:val="00645FA1"/>
    <w:rsid w:val="006473C1"/>
    <w:rsid w:val="00650F70"/>
    <w:rsid w:val="006535A5"/>
    <w:rsid w:val="00661FE9"/>
    <w:rsid w:val="00667082"/>
    <w:rsid w:val="00671435"/>
    <w:rsid w:val="00671ED9"/>
    <w:rsid w:val="006833D8"/>
    <w:rsid w:val="006975E0"/>
    <w:rsid w:val="006A12C3"/>
    <w:rsid w:val="006C188D"/>
    <w:rsid w:val="006D0F12"/>
    <w:rsid w:val="006D256B"/>
    <w:rsid w:val="006E49B3"/>
    <w:rsid w:val="006F2731"/>
    <w:rsid w:val="006F6A1B"/>
    <w:rsid w:val="006F7FF3"/>
    <w:rsid w:val="00707530"/>
    <w:rsid w:val="00712097"/>
    <w:rsid w:val="007150A0"/>
    <w:rsid w:val="00720C40"/>
    <w:rsid w:val="0072535F"/>
    <w:rsid w:val="007373B8"/>
    <w:rsid w:val="00751F0F"/>
    <w:rsid w:val="00755D2F"/>
    <w:rsid w:val="007937FD"/>
    <w:rsid w:val="007A1D98"/>
    <w:rsid w:val="007B0955"/>
    <w:rsid w:val="007B6BEA"/>
    <w:rsid w:val="007C23EB"/>
    <w:rsid w:val="007D2A73"/>
    <w:rsid w:val="007F5F63"/>
    <w:rsid w:val="00801EF5"/>
    <w:rsid w:val="0080535A"/>
    <w:rsid w:val="00806B88"/>
    <w:rsid w:val="008206B5"/>
    <w:rsid w:val="008278F7"/>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8F61D6"/>
    <w:rsid w:val="00904E24"/>
    <w:rsid w:val="009148C8"/>
    <w:rsid w:val="009303AD"/>
    <w:rsid w:val="009430D9"/>
    <w:rsid w:val="00943CA8"/>
    <w:rsid w:val="00975533"/>
    <w:rsid w:val="009A68FA"/>
    <w:rsid w:val="009B19B2"/>
    <w:rsid w:val="009D3326"/>
    <w:rsid w:val="009D4D8F"/>
    <w:rsid w:val="009D7B7E"/>
    <w:rsid w:val="009E12DE"/>
    <w:rsid w:val="009E3508"/>
    <w:rsid w:val="00A05DB9"/>
    <w:rsid w:val="00A06D7F"/>
    <w:rsid w:val="00A14F68"/>
    <w:rsid w:val="00A201D7"/>
    <w:rsid w:val="00A25141"/>
    <w:rsid w:val="00A41007"/>
    <w:rsid w:val="00A47944"/>
    <w:rsid w:val="00A534CB"/>
    <w:rsid w:val="00A57850"/>
    <w:rsid w:val="00A63A13"/>
    <w:rsid w:val="00A64A25"/>
    <w:rsid w:val="00A72724"/>
    <w:rsid w:val="00A84084"/>
    <w:rsid w:val="00A9689C"/>
    <w:rsid w:val="00AA58DD"/>
    <w:rsid w:val="00AA73E2"/>
    <w:rsid w:val="00AB5936"/>
    <w:rsid w:val="00AE5B86"/>
    <w:rsid w:val="00AE6C05"/>
    <w:rsid w:val="00AF2A3B"/>
    <w:rsid w:val="00AF3FFE"/>
    <w:rsid w:val="00AF51EF"/>
    <w:rsid w:val="00B12D23"/>
    <w:rsid w:val="00B12FF9"/>
    <w:rsid w:val="00B37EDA"/>
    <w:rsid w:val="00B529EF"/>
    <w:rsid w:val="00B53F71"/>
    <w:rsid w:val="00B656AE"/>
    <w:rsid w:val="00B738C3"/>
    <w:rsid w:val="00B87F71"/>
    <w:rsid w:val="00BA086E"/>
    <w:rsid w:val="00BA0C35"/>
    <w:rsid w:val="00BA65D9"/>
    <w:rsid w:val="00BC4D43"/>
    <w:rsid w:val="00BD20B8"/>
    <w:rsid w:val="00BF491E"/>
    <w:rsid w:val="00C17BFC"/>
    <w:rsid w:val="00C200FC"/>
    <w:rsid w:val="00C249F1"/>
    <w:rsid w:val="00C41CD8"/>
    <w:rsid w:val="00C42F4F"/>
    <w:rsid w:val="00C75A0A"/>
    <w:rsid w:val="00C90525"/>
    <w:rsid w:val="00C92DCA"/>
    <w:rsid w:val="00CA3055"/>
    <w:rsid w:val="00CA54CA"/>
    <w:rsid w:val="00CB3683"/>
    <w:rsid w:val="00CB609F"/>
    <w:rsid w:val="00CD32FC"/>
    <w:rsid w:val="00CD49AC"/>
    <w:rsid w:val="00CE075D"/>
    <w:rsid w:val="00CE56F9"/>
    <w:rsid w:val="00D07BEB"/>
    <w:rsid w:val="00D10B9F"/>
    <w:rsid w:val="00D16340"/>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7695"/>
    <w:rsid w:val="00E15745"/>
    <w:rsid w:val="00E2132F"/>
    <w:rsid w:val="00E32E93"/>
    <w:rsid w:val="00E34AB3"/>
    <w:rsid w:val="00E40A60"/>
    <w:rsid w:val="00E40C5A"/>
    <w:rsid w:val="00E46A59"/>
    <w:rsid w:val="00E50EFD"/>
    <w:rsid w:val="00E529E4"/>
    <w:rsid w:val="00E6670E"/>
    <w:rsid w:val="00E70586"/>
    <w:rsid w:val="00E77D13"/>
    <w:rsid w:val="00E84004"/>
    <w:rsid w:val="00E8677B"/>
    <w:rsid w:val="00E90AB0"/>
    <w:rsid w:val="00E914DF"/>
    <w:rsid w:val="00E915D1"/>
    <w:rsid w:val="00EA6813"/>
    <w:rsid w:val="00EA7F98"/>
    <w:rsid w:val="00EB0DEC"/>
    <w:rsid w:val="00EC5D28"/>
    <w:rsid w:val="00ED4000"/>
    <w:rsid w:val="00EE71EA"/>
    <w:rsid w:val="00F025B2"/>
    <w:rsid w:val="00F120BB"/>
    <w:rsid w:val="00F17BB0"/>
    <w:rsid w:val="00F26353"/>
    <w:rsid w:val="00F40CD7"/>
    <w:rsid w:val="00F5238F"/>
    <w:rsid w:val="00F54F9D"/>
    <w:rsid w:val="00F60ACE"/>
    <w:rsid w:val="00F64720"/>
    <w:rsid w:val="00F702E2"/>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D84"/>
    <w:rPr>
      <w:rFonts w:ascii="Times New Roman" w:eastAsia="Times New Roman" w:hAnsi="Times New Roman"/>
      <w:sz w:val="24"/>
      <w:szCs w:val="24"/>
      <w:lang w:val="es-PE" w:eastAsia="es-MX"/>
    </w:rPr>
  </w:style>
  <w:style w:type="paragraph" w:styleId="Ttulo2">
    <w:name w:val="heading 2"/>
    <w:basedOn w:val="Normal"/>
    <w:next w:val="Normal"/>
    <w:link w:val="Ttulo2Car"/>
    <w:uiPriority w:val="9"/>
    <w:semiHidden/>
    <w:unhideWhenUsed/>
    <w:qFormat/>
    <w:rsid w:val="006473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6473C1"/>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nfasis">
    <w:name w:val="Emphasis"/>
    <w:basedOn w:val="Fuentedeprrafopredeter"/>
    <w:uiPriority w:val="20"/>
    <w:qFormat/>
    <w:rsid w:val="0038699C"/>
    <w:rPr>
      <w:i/>
      <w:iCs/>
    </w:rPr>
  </w:style>
  <w:style w:type="character" w:styleId="Mencinsinresolver">
    <w:name w:val="Unresolved Mention"/>
    <w:basedOn w:val="Fuentedeprrafopredeter"/>
    <w:uiPriority w:val="99"/>
    <w:semiHidden/>
    <w:unhideWhenUsed/>
    <w:rsid w:val="00081C4F"/>
    <w:rPr>
      <w:color w:val="605E5C"/>
      <w:shd w:val="clear" w:color="auto" w:fill="E1DFDD"/>
    </w:rPr>
  </w:style>
  <w:style w:type="paragraph" w:styleId="NormalWeb">
    <w:name w:val="Normal (Web)"/>
    <w:basedOn w:val="Normal"/>
    <w:uiPriority w:val="99"/>
    <w:unhideWhenUsed/>
    <w:rsid w:val="008278F7"/>
    <w:pPr>
      <w:spacing w:before="100" w:beforeAutospacing="1" w:after="100" w:afterAutospacing="1"/>
    </w:pPr>
  </w:style>
  <w:style w:type="paragraph" w:styleId="Prrafodelista">
    <w:name w:val="List Paragraph"/>
    <w:basedOn w:val="Normal"/>
    <w:uiPriority w:val="34"/>
    <w:qFormat/>
    <w:rsid w:val="009303AD"/>
    <w:pPr>
      <w:ind w:left="720"/>
      <w:contextualSpacing/>
    </w:pPr>
  </w:style>
  <w:style w:type="character" w:styleId="Textoennegrita">
    <w:name w:val="Strong"/>
    <w:basedOn w:val="Fuentedeprrafopredeter"/>
    <w:uiPriority w:val="22"/>
    <w:qFormat/>
    <w:rsid w:val="00E6670E"/>
    <w:rPr>
      <w:b/>
      <w:bCs/>
    </w:rPr>
  </w:style>
  <w:style w:type="character" w:customStyle="1" w:styleId="Ttulo3Car">
    <w:name w:val="Título 3 Car"/>
    <w:basedOn w:val="Fuentedeprrafopredeter"/>
    <w:link w:val="Ttulo3"/>
    <w:uiPriority w:val="9"/>
    <w:rsid w:val="006473C1"/>
    <w:rPr>
      <w:rFonts w:ascii="Times New Roman" w:eastAsia="Times New Roman" w:hAnsi="Times New Roman"/>
      <w:b/>
      <w:bCs/>
      <w:sz w:val="27"/>
      <w:szCs w:val="27"/>
      <w:lang w:val="es-PE" w:eastAsia="es-MX"/>
    </w:rPr>
  </w:style>
  <w:style w:type="character" w:customStyle="1" w:styleId="Ttulo2Car">
    <w:name w:val="Título 2 Car"/>
    <w:basedOn w:val="Fuentedeprrafopredeter"/>
    <w:link w:val="Ttulo2"/>
    <w:uiPriority w:val="9"/>
    <w:semiHidden/>
    <w:rsid w:val="006473C1"/>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59"/>
    <w:rsid w:val="00367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0D7C4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8243">
      <w:bodyDiv w:val="1"/>
      <w:marLeft w:val="0"/>
      <w:marRight w:val="0"/>
      <w:marTop w:val="0"/>
      <w:marBottom w:val="0"/>
      <w:divBdr>
        <w:top w:val="none" w:sz="0" w:space="0" w:color="auto"/>
        <w:left w:val="none" w:sz="0" w:space="0" w:color="auto"/>
        <w:bottom w:val="none" w:sz="0" w:space="0" w:color="auto"/>
        <w:right w:val="none" w:sz="0" w:space="0" w:color="auto"/>
      </w:divBdr>
    </w:div>
    <w:div w:id="34938751">
      <w:bodyDiv w:val="1"/>
      <w:marLeft w:val="0"/>
      <w:marRight w:val="0"/>
      <w:marTop w:val="0"/>
      <w:marBottom w:val="0"/>
      <w:divBdr>
        <w:top w:val="none" w:sz="0" w:space="0" w:color="auto"/>
        <w:left w:val="none" w:sz="0" w:space="0" w:color="auto"/>
        <w:bottom w:val="none" w:sz="0" w:space="0" w:color="auto"/>
        <w:right w:val="none" w:sz="0" w:space="0" w:color="auto"/>
      </w:divBdr>
    </w:div>
    <w:div w:id="119568405">
      <w:bodyDiv w:val="1"/>
      <w:marLeft w:val="0"/>
      <w:marRight w:val="0"/>
      <w:marTop w:val="0"/>
      <w:marBottom w:val="0"/>
      <w:divBdr>
        <w:top w:val="none" w:sz="0" w:space="0" w:color="auto"/>
        <w:left w:val="none" w:sz="0" w:space="0" w:color="auto"/>
        <w:bottom w:val="none" w:sz="0" w:space="0" w:color="auto"/>
        <w:right w:val="none" w:sz="0" w:space="0" w:color="auto"/>
      </w:divBdr>
    </w:div>
    <w:div w:id="131287435">
      <w:bodyDiv w:val="1"/>
      <w:marLeft w:val="0"/>
      <w:marRight w:val="0"/>
      <w:marTop w:val="0"/>
      <w:marBottom w:val="0"/>
      <w:divBdr>
        <w:top w:val="none" w:sz="0" w:space="0" w:color="auto"/>
        <w:left w:val="none" w:sz="0" w:space="0" w:color="auto"/>
        <w:bottom w:val="none" w:sz="0" w:space="0" w:color="auto"/>
        <w:right w:val="none" w:sz="0" w:space="0" w:color="auto"/>
      </w:divBdr>
      <w:divsChild>
        <w:div w:id="931358394">
          <w:marLeft w:val="0"/>
          <w:marRight w:val="0"/>
          <w:marTop w:val="0"/>
          <w:marBottom w:val="0"/>
          <w:divBdr>
            <w:top w:val="none" w:sz="0" w:space="0" w:color="auto"/>
            <w:left w:val="none" w:sz="0" w:space="0" w:color="auto"/>
            <w:bottom w:val="none" w:sz="0" w:space="0" w:color="auto"/>
            <w:right w:val="none" w:sz="0" w:space="0" w:color="auto"/>
          </w:divBdr>
        </w:div>
      </w:divsChild>
    </w:div>
    <w:div w:id="222445390">
      <w:bodyDiv w:val="1"/>
      <w:marLeft w:val="0"/>
      <w:marRight w:val="0"/>
      <w:marTop w:val="0"/>
      <w:marBottom w:val="0"/>
      <w:divBdr>
        <w:top w:val="none" w:sz="0" w:space="0" w:color="auto"/>
        <w:left w:val="none" w:sz="0" w:space="0" w:color="auto"/>
        <w:bottom w:val="none" w:sz="0" w:space="0" w:color="auto"/>
        <w:right w:val="none" w:sz="0" w:space="0" w:color="auto"/>
      </w:divBdr>
    </w:div>
    <w:div w:id="391659121">
      <w:bodyDiv w:val="1"/>
      <w:marLeft w:val="0"/>
      <w:marRight w:val="0"/>
      <w:marTop w:val="0"/>
      <w:marBottom w:val="0"/>
      <w:divBdr>
        <w:top w:val="none" w:sz="0" w:space="0" w:color="auto"/>
        <w:left w:val="none" w:sz="0" w:space="0" w:color="auto"/>
        <w:bottom w:val="none" w:sz="0" w:space="0" w:color="auto"/>
        <w:right w:val="none" w:sz="0" w:space="0" w:color="auto"/>
      </w:divBdr>
    </w:div>
    <w:div w:id="439491515">
      <w:bodyDiv w:val="1"/>
      <w:marLeft w:val="0"/>
      <w:marRight w:val="0"/>
      <w:marTop w:val="0"/>
      <w:marBottom w:val="0"/>
      <w:divBdr>
        <w:top w:val="none" w:sz="0" w:space="0" w:color="auto"/>
        <w:left w:val="none" w:sz="0" w:space="0" w:color="auto"/>
        <w:bottom w:val="none" w:sz="0" w:space="0" w:color="auto"/>
        <w:right w:val="none" w:sz="0" w:space="0" w:color="auto"/>
      </w:divBdr>
    </w:div>
    <w:div w:id="444271600">
      <w:bodyDiv w:val="1"/>
      <w:marLeft w:val="0"/>
      <w:marRight w:val="0"/>
      <w:marTop w:val="0"/>
      <w:marBottom w:val="0"/>
      <w:divBdr>
        <w:top w:val="none" w:sz="0" w:space="0" w:color="auto"/>
        <w:left w:val="none" w:sz="0" w:space="0" w:color="auto"/>
        <w:bottom w:val="none" w:sz="0" w:space="0" w:color="auto"/>
        <w:right w:val="none" w:sz="0" w:space="0" w:color="auto"/>
      </w:divBdr>
    </w:div>
    <w:div w:id="905990646">
      <w:bodyDiv w:val="1"/>
      <w:marLeft w:val="0"/>
      <w:marRight w:val="0"/>
      <w:marTop w:val="0"/>
      <w:marBottom w:val="0"/>
      <w:divBdr>
        <w:top w:val="none" w:sz="0" w:space="0" w:color="auto"/>
        <w:left w:val="none" w:sz="0" w:space="0" w:color="auto"/>
        <w:bottom w:val="none" w:sz="0" w:space="0" w:color="auto"/>
        <w:right w:val="none" w:sz="0" w:space="0" w:color="auto"/>
      </w:divBdr>
    </w:div>
    <w:div w:id="931353545">
      <w:bodyDiv w:val="1"/>
      <w:marLeft w:val="0"/>
      <w:marRight w:val="0"/>
      <w:marTop w:val="0"/>
      <w:marBottom w:val="0"/>
      <w:divBdr>
        <w:top w:val="none" w:sz="0" w:space="0" w:color="auto"/>
        <w:left w:val="none" w:sz="0" w:space="0" w:color="auto"/>
        <w:bottom w:val="none" w:sz="0" w:space="0" w:color="auto"/>
        <w:right w:val="none" w:sz="0" w:space="0" w:color="auto"/>
      </w:divBdr>
    </w:div>
    <w:div w:id="969165154">
      <w:bodyDiv w:val="1"/>
      <w:marLeft w:val="0"/>
      <w:marRight w:val="0"/>
      <w:marTop w:val="0"/>
      <w:marBottom w:val="0"/>
      <w:divBdr>
        <w:top w:val="none" w:sz="0" w:space="0" w:color="auto"/>
        <w:left w:val="none" w:sz="0" w:space="0" w:color="auto"/>
        <w:bottom w:val="none" w:sz="0" w:space="0" w:color="auto"/>
        <w:right w:val="none" w:sz="0" w:space="0" w:color="auto"/>
      </w:divBdr>
    </w:div>
    <w:div w:id="1239906770">
      <w:bodyDiv w:val="1"/>
      <w:marLeft w:val="0"/>
      <w:marRight w:val="0"/>
      <w:marTop w:val="0"/>
      <w:marBottom w:val="0"/>
      <w:divBdr>
        <w:top w:val="none" w:sz="0" w:space="0" w:color="auto"/>
        <w:left w:val="none" w:sz="0" w:space="0" w:color="auto"/>
        <w:bottom w:val="none" w:sz="0" w:space="0" w:color="auto"/>
        <w:right w:val="none" w:sz="0" w:space="0" w:color="auto"/>
      </w:divBdr>
    </w:div>
    <w:div w:id="1298729770">
      <w:bodyDiv w:val="1"/>
      <w:marLeft w:val="0"/>
      <w:marRight w:val="0"/>
      <w:marTop w:val="0"/>
      <w:marBottom w:val="0"/>
      <w:divBdr>
        <w:top w:val="none" w:sz="0" w:space="0" w:color="auto"/>
        <w:left w:val="none" w:sz="0" w:space="0" w:color="auto"/>
        <w:bottom w:val="none" w:sz="0" w:space="0" w:color="auto"/>
        <w:right w:val="none" w:sz="0" w:space="0" w:color="auto"/>
      </w:divBdr>
    </w:div>
    <w:div w:id="1531724937">
      <w:bodyDiv w:val="1"/>
      <w:marLeft w:val="0"/>
      <w:marRight w:val="0"/>
      <w:marTop w:val="0"/>
      <w:marBottom w:val="0"/>
      <w:divBdr>
        <w:top w:val="none" w:sz="0" w:space="0" w:color="auto"/>
        <w:left w:val="none" w:sz="0" w:space="0" w:color="auto"/>
        <w:bottom w:val="none" w:sz="0" w:space="0" w:color="auto"/>
        <w:right w:val="none" w:sz="0" w:space="0" w:color="auto"/>
      </w:divBdr>
    </w:div>
    <w:div w:id="1808818271">
      <w:bodyDiv w:val="1"/>
      <w:marLeft w:val="0"/>
      <w:marRight w:val="0"/>
      <w:marTop w:val="0"/>
      <w:marBottom w:val="0"/>
      <w:divBdr>
        <w:top w:val="none" w:sz="0" w:space="0" w:color="auto"/>
        <w:left w:val="none" w:sz="0" w:space="0" w:color="auto"/>
        <w:bottom w:val="none" w:sz="0" w:space="0" w:color="auto"/>
        <w:right w:val="none" w:sz="0" w:space="0" w:color="auto"/>
      </w:divBdr>
    </w:div>
    <w:div w:id="1906523567">
      <w:bodyDiv w:val="1"/>
      <w:marLeft w:val="0"/>
      <w:marRight w:val="0"/>
      <w:marTop w:val="0"/>
      <w:marBottom w:val="0"/>
      <w:divBdr>
        <w:top w:val="none" w:sz="0" w:space="0" w:color="auto"/>
        <w:left w:val="none" w:sz="0" w:space="0" w:color="auto"/>
        <w:bottom w:val="none" w:sz="0" w:space="0" w:color="auto"/>
        <w:right w:val="none" w:sz="0" w:space="0" w:color="auto"/>
      </w:divBdr>
    </w:div>
    <w:div w:id="2115978204">
      <w:bodyDiv w:val="1"/>
      <w:marLeft w:val="0"/>
      <w:marRight w:val="0"/>
      <w:marTop w:val="0"/>
      <w:marBottom w:val="0"/>
      <w:divBdr>
        <w:top w:val="none" w:sz="0" w:space="0" w:color="auto"/>
        <w:left w:val="none" w:sz="0" w:space="0" w:color="auto"/>
        <w:bottom w:val="none" w:sz="0" w:space="0" w:color="auto"/>
        <w:right w:val="none" w:sz="0" w:space="0" w:color="auto"/>
      </w:divBdr>
    </w:div>
    <w:div w:id="21234979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minam.gob.pe" TargetMode="External"/><Relationship Id="rId18" Type="http://schemas.openxmlformats.org/officeDocument/2006/relationships/hyperlink" Target="https://www.gob.pe/pc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gob.pe/mtpe" TargetMode="External"/><Relationship Id="rId2" Type="http://schemas.openxmlformats.org/officeDocument/2006/relationships/numbering" Target="numbering.xml"/><Relationship Id="rId16" Type="http://schemas.openxmlformats.org/officeDocument/2006/relationships/hyperlink" Target="https://www.mef.gob.p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gob.pe/minem"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minam.gob.pe/estrategia2050"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5F9DA-57B8-3549-917B-050B0D5BC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9</Pages>
  <Words>3580</Words>
  <Characters>22273</Characters>
  <Application>Microsoft Office Word</Application>
  <DocSecurity>0</DocSecurity>
  <Lines>742</Lines>
  <Paragraphs>188</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25665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Gabriela Galindo</cp:lastModifiedBy>
  <cp:revision>33</cp:revision>
  <cp:lastPrinted>2015-02-13T19:19:00Z</cp:lastPrinted>
  <dcterms:created xsi:type="dcterms:W3CDTF">2025-07-18T19:20:00Z</dcterms:created>
  <dcterms:modified xsi:type="dcterms:W3CDTF">2025-07-19T01:02:00Z</dcterms:modified>
</cp:coreProperties>
</file>