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753CC" w14:textId="02C6B57D" w:rsidR="00610BF7" w:rsidRPr="00AA4C54" w:rsidRDefault="00610BF7" w:rsidP="00EB5725">
      <w:pPr>
        <w:rPr>
          <w:rFonts w:ascii="Arial" w:hAnsi="Arial" w:cs="Arial"/>
          <w:sz w:val="22"/>
          <w:szCs w:val="22"/>
        </w:rPr>
      </w:pPr>
    </w:p>
    <w:p w14:paraId="7A2B3FA3" w14:textId="77777777" w:rsidR="006A0A2F" w:rsidRPr="00AA4C54" w:rsidRDefault="006A0A2F" w:rsidP="00EB5725">
      <w:pPr>
        <w:rPr>
          <w:rFonts w:ascii="Arial" w:hAnsi="Arial" w:cs="Arial"/>
          <w:b/>
          <w:bCs/>
          <w:sz w:val="22"/>
          <w:szCs w:val="22"/>
        </w:rPr>
      </w:pPr>
    </w:p>
    <w:p w14:paraId="1A8CFA42" w14:textId="445B8670" w:rsidR="006A0A2F" w:rsidRPr="00AA4C54" w:rsidRDefault="008819DD" w:rsidP="006A0A2F">
      <w:pPr>
        <w:jc w:val="center"/>
        <w:rPr>
          <w:rFonts w:eastAsiaTheme="majorEastAsia" w:cstheme="majorBidi"/>
          <w:b/>
          <w:color w:val="0F4761" w:themeColor="accent1" w:themeShade="BF"/>
          <w:sz w:val="32"/>
          <w:szCs w:val="32"/>
        </w:rPr>
      </w:pPr>
      <w:r w:rsidRPr="624918D9">
        <w:rPr>
          <w:rFonts w:eastAsiaTheme="majorEastAsia" w:cstheme="majorBidi"/>
          <w:b/>
          <w:color w:val="0F4761" w:themeColor="accent1" w:themeShade="BF"/>
          <w:sz w:val="32"/>
          <w:szCs w:val="32"/>
        </w:rPr>
        <w:t>Premio</w:t>
      </w:r>
      <w:r w:rsidR="006A0A2F" w:rsidRPr="624918D9">
        <w:rPr>
          <w:rFonts w:eastAsiaTheme="majorEastAsia" w:cstheme="majorBidi"/>
          <w:b/>
          <w:color w:val="0F4761" w:themeColor="accent1" w:themeShade="BF"/>
          <w:sz w:val="32"/>
          <w:szCs w:val="32"/>
        </w:rPr>
        <w:t xml:space="preserve"> </w:t>
      </w:r>
      <w:r w:rsidRPr="624918D9">
        <w:rPr>
          <w:rFonts w:eastAsiaTheme="majorEastAsia" w:cstheme="majorBidi"/>
          <w:b/>
          <w:color w:val="0F4761" w:themeColor="accent1" w:themeShade="BF"/>
          <w:sz w:val="32"/>
          <w:szCs w:val="32"/>
        </w:rPr>
        <w:t>Nacional</w:t>
      </w:r>
      <w:r w:rsidR="006A0A2F" w:rsidRPr="624918D9">
        <w:rPr>
          <w:rFonts w:eastAsiaTheme="majorEastAsia" w:cstheme="majorBidi"/>
          <w:b/>
          <w:color w:val="0F4761" w:themeColor="accent1" w:themeShade="BF"/>
          <w:sz w:val="32"/>
          <w:szCs w:val="32"/>
        </w:rPr>
        <w:t xml:space="preserve"> </w:t>
      </w:r>
      <w:r w:rsidRPr="624918D9">
        <w:rPr>
          <w:rFonts w:eastAsiaTheme="majorEastAsia" w:cstheme="majorBidi"/>
          <w:b/>
          <w:color w:val="0F4761" w:themeColor="accent1" w:themeShade="BF"/>
          <w:sz w:val="32"/>
          <w:szCs w:val="32"/>
        </w:rPr>
        <w:t>de</w:t>
      </w:r>
      <w:r w:rsidR="006A0A2F" w:rsidRPr="624918D9">
        <w:rPr>
          <w:rFonts w:eastAsiaTheme="majorEastAsia" w:cstheme="majorBidi"/>
          <w:b/>
          <w:color w:val="0F4761" w:themeColor="accent1" w:themeShade="BF"/>
          <w:sz w:val="32"/>
          <w:szCs w:val="32"/>
        </w:rPr>
        <w:t xml:space="preserve"> </w:t>
      </w:r>
      <w:r w:rsidRPr="624918D9">
        <w:rPr>
          <w:rFonts w:eastAsiaTheme="majorEastAsia" w:cstheme="majorBidi"/>
          <w:b/>
          <w:color w:val="0F4761" w:themeColor="accent1" w:themeShade="BF"/>
          <w:sz w:val="32"/>
          <w:szCs w:val="32"/>
        </w:rPr>
        <w:t>Mineria</w:t>
      </w:r>
      <w:r w:rsidR="006A0A2F" w:rsidRPr="624918D9">
        <w:rPr>
          <w:rFonts w:eastAsiaTheme="majorEastAsia" w:cstheme="majorBidi"/>
          <w:b/>
          <w:color w:val="0F4761" w:themeColor="accent1" w:themeShade="BF"/>
          <w:sz w:val="32"/>
          <w:szCs w:val="32"/>
        </w:rPr>
        <w:t xml:space="preserve"> </w:t>
      </w:r>
      <w:r w:rsidRPr="624918D9">
        <w:rPr>
          <w:rFonts w:eastAsiaTheme="majorEastAsia" w:cstheme="majorBidi"/>
          <w:b/>
          <w:color w:val="0F4761" w:themeColor="accent1" w:themeShade="BF"/>
          <w:sz w:val="32"/>
          <w:szCs w:val="32"/>
        </w:rPr>
        <w:t>2025</w:t>
      </w:r>
    </w:p>
    <w:p w14:paraId="1DF653FF" w14:textId="5AE5C7C7" w:rsidR="008819DD" w:rsidRDefault="008819DD" w:rsidP="15492541">
      <w:pPr>
        <w:jc w:val="center"/>
        <w:rPr>
          <w:rFonts w:ascii="Aptos" w:eastAsia="Aptos" w:hAnsi="Aptos" w:cs="Aptos"/>
        </w:rPr>
      </w:pPr>
      <w:r w:rsidRPr="624918D9">
        <w:t>Presentación</w:t>
      </w:r>
      <w:r w:rsidR="006A0A2F" w:rsidRPr="624918D9">
        <w:t xml:space="preserve"> </w:t>
      </w:r>
      <w:r w:rsidRPr="624918D9">
        <w:t>de</w:t>
      </w:r>
      <w:r w:rsidR="006A0A2F" w:rsidRPr="624918D9">
        <w:t xml:space="preserve"> </w:t>
      </w:r>
      <w:r w:rsidRPr="624918D9">
        <w:t>Proyecto</w:t>
      </w:r>
    </w:p>
    <w:p w14:paraId="37420547" w14:textId="1E3DAB78" w:rsidR="624918D9" w:rsidRDefault="624918D9" w:rsidP="624918D9">
      <w:pPr>
        <w:jc w:val="center"/>
      </w:pPr>
    </w:p>
    <w:p w14:paraId="51647240" w14:textId="631F4C94" w:rsidR="0EC4395D" w:rsidRDefault="0EC4395D" w:rsidP="15492541">
      <w:pPr>
        <w:pStyle w:val="Heading3"/>
        <w:spacing w:before="281" w:after="281"/>
      </w:pPr>
      <w:r w:rsidRPr="15492541">
        <w:rPr>
          <w:b/>
          <w:bCs/>
        </w:rPr>
        <w:t>TÍTULO DEL TRABAJO:</w:t>
      </w:r>
    </w:p>
    <w:p w14:paraId="4F9909F8" w14:textId="76F1C68E" w:rsidR="0EC4395D" w:rsidRDefault="0EC4395D" w:rsidP="006D7D34">
      <w:pPr>
        <w:spacing w:before="240" w:after="240"/>
        <w:jc w:val="both"/>
      </w:pPr>
      <w:r w:rsidRPr="15492541">
        <w:rPr>
          <w:b/>
          <w:bCs/>
        </w:rPr>
        <w:t>La Gestión del Cambio en Tecnología: Clave para Acelerar el Retorno de Inversión</w:t>
      </w:r>
    </w:p>
    <w:p w14:paraId="00385678" w14:textId="147B9FF1" w:rsidR="0EC4395D" w:rsidRDefault="0EC4395D" w:rsidP="15492541">
      <w:pPr>
        <w:pStyle w:val="Heading3"/>
      </w:pPr>
      <w:r w:rsidRPr="15492541">
        <w:rPr>
          <w:b/>
          <w:bCs/>
        </w:rPr>
        <w:t>TEMA:</w:t>
      </w:r>
    </w:p>
    <w:p w14:paraId="1C2E362C" w14:textId="20787EDE" w:rsidR="663BB491" w:rsidRDefault="663BB491" w:rsidP="006D7D34">
      <w:pPr>
        <w:spacing w:before="240" w:after="240"/>
        <w:jc w:val="both"/>
      </w:pPr>
      <w:r w:rsidRPr="15492541">
        <w:rPr>
          <w:rFonts w:ascii="Aptos" w:eastAsia="Aptos" w:hAnsi="Aptos" w:cs="Aptos"/>
        </w:rPr>
        <w:t xml:space="preserve">En el camino hacia una </w:t>
      </w:r>
      <w:r w:rsidRPr="15492541">
        <w:rPr>
          <w:rFonts w:ascii="Aptos" w:eastAsia="Aptos" w:hAnsi="Aptos" w:cs="Aptos"/>
          <w:b/>
          <w:bCs/>
        </w:rPr>
        <w:t>Minería 4.0</w:t>
      </w:r>
      <w:r w:rsidRPr="15492541">
        <w:rPr>
          <w:rFonts w:ascii="Aptos" w:eastAsia="Aptos" w:hAnsi="Aptos" w:cs="Aptos"/>
        </w:rPr>
        <w:t>, invertimos en automatización, inteligencia artificial, analítica avanzada, gemelos digitales, entre otros</w:t>
      </w:r>
      <w:r w:rsidR="00314FA9">
        <w:rPr>
          <w:rFonts w:ascii="Aptos" w:eastAsia="Aptos" w:hAnsi="Aptos" w:cs="Aptos"/>
        </w:rPr>
        <w:t xml:space="preserve">, </w:t>
      </w:r>
      <w:r w:rsidRPr="15492541">
        <w:rPr>
          <w:rFonts w:ascii="Aptos" w:eastAsia="Aptos" w:hAnsi="Aptos" w:cs="Aptos"/>
        </w:rPr>
        <w:t xml:space="preserve">pero el verdadero acelerador del retorno de inversión no es solo la tecnología, sino </w:t>
      </w:r>
      <w:r w:rsidRPr="15492541">
        <w:rPr>
          <w:rFonts w:ascii="Aptos" w:eastAsia="Aptos" w:hAnsi="Aptos" w:cs="Aptos"/>
          <w:b/>
          <w:bCs/>
        </w:rPr>
        <w:t>las personas</w:t>
      </w:r>
      <w:r w:rsidRPr="15492541">
        <w:rPr>
          <w:rFonts w:ascii="Aptos" w:eastAsia="Aptos" w:hAnsi="Aptos" w:cs="Aptos"/>
        </w:rPr>
        <w:t xml:space="preserve"> que la usan.</w:t>
      </w:r>
    </w:p>
    <w:p w14:paraId="69E9E7C9" w14:textId="5581E15D" w:rsidR="15492541" w:rsidRDefault="663BB491" w:rsidP="006D7D34">
      <w:pPr>
        <w:spacing w:before="240" w:after="240"/>
        <w:jc w:val="both"/>
      </w:pPr>
      <w:r w:rsidRPr="15492541">
        <w:rPr>
          <w:rFonts w:ascii="Aptos" w:eastAsia="Aptos" w:hAnsi="Aptos" w:cs="Aptos"/>
        </w:rPr>
        <w:t xml:space="preserve">Este trabajo nace de una convicción: </w:t>
      </w:r>
      <w:r w:rsidRPr="15492541">
        <w:rPr>
          <w:rFonts w:ascii="Aptos" w:eastAsia="Aptos" w:hAnsi="Aptos" w:cs="Aptos"/>
          <w:i/>
          <w:iCs/>
        </w:rPr>
        <w:t>la mejor tecnología no alcanza su potencial si no se adopta correctamente</w:t>
      </w:r>
      <w:r w:rsidRPr="15492541">
        <w:rPr>
          <w:rFonts w:ascii="Aptos" w:eastAsia="Aptos" w:hAnsi="Aptos" w:cs="Aptos"/>
        </w:rPr>
        <w:t xml:space="preserve">. Desde el 2022, venimos evaluando cómo la </w:t>
      </w:r>
      <w:r w:rsidRPr="15492541">
        <w:rPr>
          <w:rFonts w:ascii="Aptos" w:eastAsia="Aptos" w:hAnsi="Aptos" w:cs="Aptos"/>
          <w:b/>
          <w:bCs/>
        </w:rPr>
        <w:t>Gestión del Cambio estructurada</w:t>
      </w:r>
      <w:r w:rsidRPr="15492541">
        <w:rPr>
          <w:rFonts w:ascii="Aptos" w:eastAsia="Aptos" w:hAnsi="Aptos" w:cs="Aptos"/>
        </w:rPr>
        <w:t xml:space="preserve"> puede marcar la diferencia en el impacto real de nuestros proyectos tecnológicos.</w:t>
      </w:r>
    </w:p>
    <w:p w14:paraId="6D891057" w14:textId="29E41A8B" w:rsidR="0EC4395D" w:rsidRDefault="0EC4395D" w:rsidP="15492541">
      <w:pPr>
        <w:pStyle w:val="Heading3"/>
        <w:spacing w:before="281" w:after="281"/>
      </w:pPr>
      <w:r w:rsidRPr="15492541">
        <w:rPr>
          <w:b/>
          <w:bCs/>
        </w:rPr>
        <w:t>CATEGORÍA:</w:t>
      </w:r>
    </w:p>
    <w:p w14:paraId="66C51B95" w14:textId="71F72D10" w:rsidR="15492541" w:rsidRDefault="0EC4395D" w:rsidP="624918D9">
      <w:pPr>
        <w:spacing w:before="240" w:after="240"/>
      </w:pPr>
      <w:r w:rsidRPr="15492541">
        <w:t>☑ Minería 4.0</w:t>
      </w:r>
    </w:p>
    <w:p w14:paraId="4DD1D70A" w14:textId="641EB5C7" w:rsidR="0EC4395D" w:rsidRDefault="0EC4395D" w:rsidP="15492541">
      <w:pPr>
        <w:pStyle w:val="Heading3"/>
        <w:spacing w:before="281" w:after="281"/>
      </w:pPr>
      <w:r w:rsidRPr="15492541">
        <w:rPr>
          <w:b/>
          <w:bCs/>
        </w:rPr>
        <w:t>DATOS COMPLETOS DE LOS AUTORES</w:t>
      </w:r>
    </w:p>
    <w:p w14:paraId="4590BFA2" w14:textId="0C327157" w:rsidR="0EC4395D" w:rsidRDefault="0EC4395D" w:rsidP="15492541">
      <w:pPr>
        <w:spacing w:before="240" w:after="240"/>
        <w:rPr>
          <w:i/>
        </w:rPr>
      </w:pPr>
      <w:r w:rsidRPr="15492541">
        <w:rPr>
          <w:b/>
          <w:bCs/>
        </w:rPr>
        <w:t>Nombre completo:</w:t>
      </w:r>
      <w:r w:rsidRPr="15492541">
        <w:t xml:space="preserve"> Sandra Tori</w:t>
      </w:r>
      <w:r>
        <w:br/>
      </w:r>
      <w:r w:rsidRPr="15492541">
        <w:t xml:space="preserve"> </w:t>
      </w:r>
      <w:r w:rsidRPr="15492541">
        <w:rPr>
          <w:b/>
          <w:bCs/>
        </w:rPr>
        <w:t>Empresa:</w:t>
      </w:r>
      <w:r w:rsidRPr="15492541">
        <w:t xml:space="preserve"> Minera Las Bambas</w:t>
      </w:r>
      <w:r>
        <w:br/>
      </w:r>
      <w:r w:rsidRPr="15492541">
        <w:t xml:space="preserve"> </w:t>
      </w:r>
      <w:r w:rsidRPr="15492541">
        <w:rPr>
          <w:b/>
          <w:bCs/>
        </w:rPr>
        <w:t>Cargo:</w:t>
      </w:r>
      <w:r w:rsidRPr="15492541">
        <w:t xml:space="preserve"> Especialista en Gestión del Cambio</w:t>
      </w:r>
      <w:r>
        <w:br/>
      </w:r>
      <w:r w:rsidRPr="15492541">
        <w:t xml:space="preserve"> </w:t>
      </w:r>
      <w:r w:rsidRPr="15492541">
        <w:rPr>
          <w:b/>
          <w:bCs/>
        </w:rPr>
        <w:t>Dirección:</w:t>
      </w:r>
      <w:r w:rsidRPr="15492541">
        <w:t xml:space="preserve"> Av. El Derby 055, Torre 3, Piso 9, Surco</w:t>
      </w:r>
      <w:r>
        <w:br/>
      </w:r>
      <w:r w:rsidRPr="15492541">
        <w:t xml:space="preserve"> </w:t>
      </w:r>
      <w:r w:rsidRPr="15492541">
        <w:rPr>
          <w:b/>
          <w:bCs/>
        </w:rPr>
        <w:t>Celular:</w:t>
      </w:r>
      <w:r w:rsidRPr="15492541">
        <w:t xml:space="preserve"> 9935-15270</w:t>
      </w:r>
      <w:r>
        <w:br/>
      </w:r>
      <w:r w:rsidRPr="15492541">
        <w:t xml:space="preserve"> </w:t>
      </w:r>
      <w:r w:rsidRPr="15492541">
        <w:rPr>
          <w:b/>
          <w:bCs/>
        </w:rPr>
        <w:t>Correo corporativo:</w:t>
      </w:r>
      <w:r w:rsidRPr="15492541">
        <w:t xml:space="preserve"> </w:t>
      </w:r>
      <w:hyperlink r:id="rId6">
        <w:r w:rsidRPr="15492541">
          <w:rPr>
            <w:rStyle w:val="Hyperlink"/>
          </w:rPr>
          <w:t>sandra.tori@mmg.com</w:t>
        </w:r>
        <w:r>
          <w:br/>
        </w:r>
      </w:hyperlink>
      <w:r w:rsidRPr="15492541">
        <w:t xml:space="preserve"> </w:t>
      </w:r>
      <w:r w:rsidRPr="15492541">
        <w:rPr>
          <w:b/>
          <w:bCs/>
        </w:rPr>
        <w:t>Correo personal:</w:t>
      </w:r>
      <w:r w:rsidRPr="15492541">
        <w:t xml:space="preserve"> </w:t>
      </w:r>
      <w:r w:rsidR="043DDAA5" w:rsidRPr="624918D9">
        <w:rPr>
          <w:i/>
          <w:iCs/>
        </w:rPr>
        <w:t>sandra.tori.n@gmail.com</w:t>
      </w:r>
    </w:p>
    <w:p w14:paraId="119A7983" w14:textId="36D7E486" w:rsidR="15492541" w:rsidRDefault="15492541"/>
    <w:p w14:paraId="5DC2A90E" w14:textId="19BD3D03" w:rsidR="0EC4395D" w:rsidRDefault="0EC4395D" w:rsidP="15492541">
      <w:pPr>
        <w:pStyle w:val="Heading3"/>
        <w:spacing w:before="281" w:after="281"/>
      </w:pPr>
      <w:r w:rsidRPr="15492541">
        <w:rPr>
          <w:b/>
          <w:bCs/>
        </w:rPr>
        <w:lastRenderedPageBreak/>
        <w:t>PALABRAS CLAVES:</w:t>
      </w:r>
    </w:p>
    <w:p w14:paraId="2EEF884D" w14:textId="3D2E021D" w:rsidR="0EC4395D" w:rsidRDefault="0EC4395D" w:rsidP="15492541">
      <w:pPr>
        <w:pStyle w:val="ListParagraph"/>
        <w:numPr>
          <w:ilvl w:val="0"/>
          <w:numId w:val="2"/>
        </w:numPr>
        <w:spacing w:before="240" w:after="240"/>
      </w:pPr>
      <w:r w:rsidRPr="15492541">
        <w:t>Gestión del cambio</w:t>
      </w:r>
    </w:p>
    <w:p w14:paraId="43D4D145" w14:textId="0EA7EB73" w:rsidR="0EC4395D" w:rsidRDefault="0EC4395D" w:rsidP="15492541">
      <w:pPr>
        <w:pStyle w:val="ListParagraph"/>
        <w:numPr>
          <w:ilvl w:val="0"/>
          <w:numId w:val="2"/>
        </w:numPr>
        <w:spacing w:before="240" w:after="240"/>
      </w:pPr>
      <w:r w:rsidRPr="15492541">
        <w:t>Retorno de inversión</w:t>
      </w:r>
    </w:p>
    <w:p w14:paraId="2C131FAE" w14:textId="000002FA" w:rsidR="0EC4395D" w:rsidRDefault="0EC4395D" w:rsidP="15492541">
      <w:pPr>
        <w:pStyle w:val="ListParagraph"/>
        <w:numPr>
          <w:ilvl w:val="0"/>
          <w:numId w:val="2"/>
        </w:numPr>
        <w:spacing w:before="240" w:after="240"/>
      </w:pPr>
      <w:r w:rsidRPr="15492541">
        <w:t>Transformación digital</w:t>
      </w:r>
    </w:p>
    <w:p w14:paraId="394A947C" w14:textId="45A8A4F6" w:rsidR="0EC4395D" w:rsidRDefault="0EC4395D" w:rsidP="15492541">
      <w:pPr>
        <w:pStyle w:val="ListParagraph"/>
        <w:numPr>
          <w:ilvl w:val="0"/>
          <w:numId w:val="2"/>
        </w:numPr>
        <w:spacing w:before="240" w:after="240"/>
      </w:pPr>
      <w:r w:rsidRPr="15492541">
        <w:t>Minería 4.0</w:t>
      </w:r>
    </w:p>
    <w:p w14:paraId="532FA328" w14:textId="46A06B13" w:rsidR="0EC4395D" w:rsidRDefault="0EC4395D" w:rsidP="15492541">
      <w:pPr>
        <w:pStyle w:val="ListParagraph"/>
        <w:numPr>
          <w:ilvl w:val="0"/>
          <w:numId w:val="2"/>
        </w:numPr>
        <w:spacing w:before="240" w:after="240"/>
      </w:pPr>
      <w:r w:rsidRPr="15492541">
        <w:t>Cultura digital</w:t>
      </w:r>
    </w:p>
    <w:p w14:paraId="122E2952" w14:textId="32ECA496" w:rsidR="15492541" w:rsidRDefault="0EC4395D" w:rsidP="624918D9">
      <w:pPr>
        <w:pStyle w:val="ListParagraph"/>
        <w:numPr>
          <w:ilvl w:val="0"/>
          <w:numId w:val="2"/>
        </w:numPr>
        <w:spacing w:before="240" w:after="240"/>
      </w:pPr>
      <w:r w:rsidRPr="15492541">
        <w:t>Adopción tecnológica</w:t>
      </w:r>
    </w:p>
    <w:p w14:paraId="2FDEA118" w14:textId="3D8DCFB8" w:rsidR="0EC4395D" w:rsidRDefault="0EC4395D" w:rsidP="15492541">
      <w:pPr>
        <w:pStyle w:val="Heading3"/>
        <w:spacing w:before="281" w:after="281"/>
      </w:pPr>
      <w:r w:rsidRPr="15492541">
        <w:rPr>
          <w:b/>
          <w:bCs/>
        </w:rPr>
        <w:t>¿PRESENTADO EN OTRO EVENTO SIMILAR EN LOS ÚLTIMOS 3 AÑOS?</w:t>
      </w:r>
    </w:p>
    <w:p w14:paraId="57A5AFAF" w14:textId="3A8E156D" w:rsidR="15492541" w:rsidRDefault="0EC4395D" w:rsidP="624918D9">
      <w:pPr>
        <w:spacing w:before="240" w:after="240"/>
        <w:rPr>
          <w:i/>
        </w:rPr>
      </w:pPr>
      <w:r w:rsidRPr="15492541">
        <w:t>☐ Sí ☑ No</w:t>
      </w:r>
      <w:r>
        <w:br/>
      </w:r>
      <w:r w:rsidRPr="15492541">
        <w:t xml:space="preserve"> </w:t>
      </w:r>
      <w:r w:rsidRPr="15492541">
        <w:rPr>
          <w:i/>
          <w:iCs/>
        </w:rPr>
        <w:t>(Si luego decides incluirlo en otro evento, se podría marcar Sí e incluir las actualizaciones.)</w:t>
      </w:r>
    </w:p>
    <w:p w14:paraId="233EBA26" w14:textId="43CA8DBC" w:rsidR="0EC4395D" w:rsidRDefault="0EC4395D" w:rsidP="15492541">
      <w:pPr>
        <w:pStyle w:val="Heading2"/>
        <w:spacing w:before="299" w:after="299"/>
      </w:pPr>
      <w:r w:rsidRPr="15492541">
        <w:rPr>
          <w:b/>
          <w:bCs/>
          <w:sz w:val="36"/>
          <w:szCs w:val="36"/>
        </w:rPr>
        <w:t>RESUMEN TÉCNICO</w:t>
      </w:r>
    </w:p>
    <w:p w14:paraId="3747F13A" w14:textId="75A02FA5" w:rsidR="0EC4395D" w:rsidRDefault="0EC4395D" w:rsidP="15492541">
      <w:pPr>
        <w:pStyle w:val="Heading3"/>
        <w:spacing w:before="281" w:after="281"/>
      </w:pPr>
      <w:r w:rsidRPr="15492541">
        <w:rPr>
          <w:b/>
          <w:bCs/>
        </w:rPr>
        <w:t>1. Contexto</w:t>
      </w:r>
    </w:p>
    <w:p w14:paraId="5FD2EB38" w14:textId="1D8F42EB" w:rsidR="0EC4395D" w:rsidRDefault="0EC4395D" w:rsidP="006D7D34">
      <w:pPr>
        <w:spacing w:before="240" w:after="240"/>
        <w:jc w:val="both"/>
      </w:pPr>
      <w:r w:rsidRPr="15492541">
        <w:t>En la minería moderna, la inversión en tecnología es esencial para mejorar la seguridad, la eficiencia operativa y la sostenibilidad. Sin embargo, el retorno de inversión (ROI) no depende únicamente de la adquisición o implementación de herramientas tecnológicas, sino de qué tan rápido y efectivo es su uso por parte de las personas. La Gestión del Cambio en Tecnología se convierte, entonces, en un factor determinante para garantizar la adopción efectiva y el éxito de estas inversiones.</w:t>
      </w:r>
    </w:p>
    <w:p w14:paraId="77FA7682" w14:textId="7B23AFC5" w:rsidR="0EC4395D" w:rsidRDefault="0EC4395D" w:rsidP="006D7D34">
      <w:pPr>
        <w:spacing w:before="240" w:after="240"/>
        <w:jc w:val="both"/>
      </w:pPr>
      <w:r w:rsidRPr="15492541">
        <w:t>Este trabajo se enmarca en los desafíos actuales del sector minero frente a la transformación digital, y presenta la experiencia de Minera Las Bambas en la evaluación del impacto humano en proyectos tecnológicos desarrollados desde 2022</w:t>
      </w:r>
      <w:r w:rsidR="00C900C6">
        <w:t xml:space="preserve"> a la fecha.</w:t>
      </w:r>
    </w:p>
    <w:p w14:paraId="401AB55E" w14:textId="25EF424E" w:rsidR="0EC4395D" w:rsidRDefault="0EC4395D" w:rsidP="15492541">
      <w:pPr>
        <w:pStyle w:val="Heading3"/>
        <w:spacing w:before="281" w:after="281"/>
      </w:pPr>
      <w:r w:rsidRPr="15492541">
        <w:rPr>
          <w:b/>
          <w:bCs/>
        </w:rPr>
        <w:t>2. Objetivos</w:t>
      </w:r>
    </w:p>
    <w:p w14:paraId="4C12AAA6" w14:textId="1C65401C" w:rsidR="0EC4395D" w:rsidRDefault="0EC4395D" w:rsidP="006D7D34">
      <w:pPr>
        <w:spacing w:before="240" w:after="240"/>
        <w:jc w:val="both"/>
      </w:pPr>
      <w:r w:rsidRPr="15492541">
        <w:t>El objetivo principal de este estudio es compartir cómo una estrategia estructurada de Gestión del Cambio puede acelerar el retorno de inversión en iniciativas tecnológicas en minería. Se busca evidenciar el valor que aportan las personas en la adopción, uso efectivo y sostenibilidad de estas soluciones.</w:t>
      </w:r>
    </w:p>
    <w:p w14:paraId="0E29B47C" w14:textId="31A8A372" w:rsidR="0EC4395D" w:rsidRDefault="0EC4395D" w:rsidP="15492541">
      <w:pPr>
        <w:pStyle w:val="Heading3"/>
        <w:spacing w:before="281" w:after="281"/>
      </w:pPr>
      <w:r w:rsidRPr="15492541">
        <w:rPr>
          <w:b/>
          <w:bCs/>
        </w:rPr>
        <w:lastRenderedPageBreak/>
        <w:t>3. Metodología</w:t>
      </w:r>
    </w:p>
    <w:p w14:paraId="14821C36" w14:textId="698E65C9" w:rsidR="0EC4395D" w:rsidRDefault="0EC4395D" w:rsidP="006D7D34">
      <w:pPr>
        <w:spacing w:before="240" w:after="240"/>
        <w:jc w:val="both"/>
      </w:pPr>
      <w:r w:rsidRPr="15492541">
        <w:t>Se analizaron diversos proyectos tecnológicos implementados en Las Bambas entre 2022 y 2024, midiendo el impacto de la gestión del cambio en sus niveles de adopción, velocidad de uso y generación de valor. La metodología incluyó entrevistas, encuestas, métricas de adopción y seguimiento a indicadores de negocio antes y después de la implementación.</w:t>
      </w:r>
    </w:p>
    <w:p w14:paraId="4B85A8B2" w14:textId="279C88A9" w:rsidR="0EC4395D" w:rsidRDefault="0EC4395D" w:rsidP="15492541">
      <w:pPr>
        <w:pStyle w:val="Heading3"/>
        <w:spacing w:before="281" w:after="281"/>
      </w:pPr>
      <w:r w:rsidRPr="15492541">
        <w:rPr>
          <w:b/>
          <w:bCs/>
        </w:rPr>
        <w:t>4. Resultados</w:t>
      </w:r>
    </w:p>
    <w:p w14:paraId="2A56DB17" w14:textId="66177724" w:rsidR="0EC4395D" w:rsidRDefault="0EC4395D" w:rsidP="006D7D34">
      <w:pPr>
        <w:spacing w:before="240" w:after="240"/>
        <w:jc w:val="both"/>
      </w:pPr>
      <w:r w:rsidRPr="15492541">
        <w:t>Los hallazgos muestran que aquellos proyectos acompañados por estrategias de cambio estructuradas logran una adopción más rápida, menor resistencia, mayor productividad y un uso más consistente de las herramientas. Factores como el liderazgo visible, la cultura digital, el soporte cercano al usuario y la comunicación efectiva fueron claves en el éxito.</w:t>
      </w:r>
    </w:p>
    <w:p w14:paraId="5944F704" w14:textId="5E42782D" w:rsidR="0EC4395D" w:rsidRDefault="0EC4395D" w:rsidP="15492541">
      <w:pPr>
        <w:pStyle w:val="Heading3"/>
        <w:spacing w:before="281" w:after="281"/>
      </w:pPr>
      <w:r w:rsidRPr="15492541">
        <w:rPr>
          <w:b/>
          <w:bCs/>
        </w:rPr>
        <w:t>5. Conclusiones</w:t>
      </w:r>
    </w:p>
    <w:p w14:paraId="0E18B6E6" w14:textId="48A47698" w:rsidR="0EC4395D" w:rsidRDefault="0EC4395D" w:rsidP="006D7D34">
      <w:pPr>
        <w:spacing w:before="240" w:after="240"/>
        <w:jc w:val="both"/>
      </w:pPr>
      <w:r w:rsidRPr="15492541">
        <w:t>La Gestión del Cambio en Tecnología no es un complemento, sino un acelerador del retorno de inversión en minería. Sin una adopción efectiva por parte de las personas, incluso la mejor tecnología no alcanza su potencial. Para maximizar el impacto de la transformación digital, es clave invertir en cultura digital, liderazgo y estrategias de cambio organizacional centradas en las personas.</w:t>
      </w:r>
    </w:p>
    <w:p w14:paraId="1C1DFDE4" w14:textId="49A7C76A" w:rsidR="0EC4395D" w:rsidRDefault="004072E7" w:rsidP="15492541">
      <w:pPr>
        <w:pStyle w:val="Heading3"/>
        <w:spacing w:before="281" w:after="281"/>
      </w:pPr>
      <w:r>
        <w:rPr>
          <w:b/>
          <w:bCs/>
        </w:rPr>
        <w:t>R</w:t>
      </w:r>
      <w:r w:rsidR="0EC4395D" w:rsidRPr="15492541">
        <w:rPr>
          <w:b/>
          <w:bCs/>
        </w:rPr>
        <w:t>ESEÑA PROFESIONAL DEL AUTOR</w:t>
      </w:r>
    </w:p>
    <w:p w14:paraId="0D7A51CC" w14:textId="7B5B46EC" w:rsidR="0EC4395D" w:rsidRDefault="0EC4395D" w:rsidP="006D7D34">
      <w:pPr>
        <w:spacing w:before="240" w:after="240"/>
        <w:jc w:val="both"/>
      </w:pPr>
      <w:r w:rsidRPr="15492541">
        <w:rPr>
          <w:b/>
          <w:bCs/>
        </w:rPr>
        <w:t>Sandra Tori</w:t>
      </w:r>
      <w:r w:rsidRPr="15492541">
        <w:t xml:space="preserve"> es comunicadora con maestría en Dirección Estratégica del Factor Humano y más de 20 años de experiencia en la gestión integral de recursos humanos. Especialista en gestión del cambio, desarrollo organizacional, cultura y comunicación, ha trabajado en empresas líderes del sector minero y en consultoría para diversos sectores. Además, ha desarrollado proyectos sociales en educación y programas de liderazgo, impulsando transformaciones estratégicas en las organizaciones. Más de 5 años liderando la Gestión del Cambio Tecnológica en Minera Las Bambas.</w:t>
      </w:r>
    </w:p>
    <w:p w14:paraId="1934D665" w14:textId="001DAAE0" w:rsidR="0EC4395D" w:rsidRDefault="0EC4395D" w:rsidP="15492541">
      <w:pPr>
        <w:spacing w:before="240" w:after="240"/>
        <w:rPr>
          <w:rStyle w:val="Hyperlink"/>
        </w:rPr>
      </w:pPr>
      <w:r>
        <w:br/>
      </w:r>
      <w:r w:rsidRPr="15492541">
        <w:t xml:space="preserve"> </w:t>
      </w:r>
      <w:hyperlink r:id="rId7">
        <w:r w:rsidRPr="15492541">
          <w:rPr>
            <w:rStyle w:val="Hyperlink"/>
          </w:rPr>
          <w:t>Perfil de LinkedIn</w:t>
        </w:r>
      </w:hyperlink>
    </w:p>
    <w:p w14:paraId="48B25121" w14:textId="77777777" w:rsidR="006A0A2F" w:rsidRPr="008819DD" w:rsidRDefault="006A0A2F" w:rsidP="004072E7">
      <w:pPr>
        <w:rPr>
          <w:rFonts w:ascii="Arial" w:hAnsi="Arial" w:cs="Arial"/>
          <w:sz w:val="22"/>
          <w:szCs w:val="22"/>
        </w:rPr>
      </w:pPr>
    </w:p>
    <w:sectPr w:rsidR="006A0A2F" w:rsidRPr="008819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3D1B6"/>
    <w:multiLevelType w:val="hybridMultilevel"/>
    <w:tmpl w:val="8522DD0C"/>
    <w:lvl w:ilvl="0" w:tplc="D986964C">
      <w:start w:val="1"/>
      <w:numFmt w:val="decimal"/>
      <w:lvlText w:val="%1."/>
      <w:lvlJc w:val="left"/>
      <w:pPr>
        <w:ind w:left="720" w:hanging="360"/>
      </w:pPr>
    </w:lvl>
    <w:lvl w:ilvl="1" w:tplc="86CE23FC">
      <w:start w:val="1"/>
      <w:numFmt w:val="lowerLetter"/>
      <w:lvlText w:val="%2."/>
      <w:lvlJc w:val="left"/>
      <w:pPr>
        <w:ind w:left="1440" w:hanging="360"/>
      </w:pPr>
    </w:lvl>
    <w:lvl w:ilvl="2" w:tplc="EC32E9D0">
      <w:start w:val="1"/>
      <w:numFmt w:val="lowerRoman"/>
      <w:lvlText w:val="%3."/>
      <w:lvlJc w:val="right"/>
      <w:pPr>
        <w:ind w:left="2160" w:hanging="180"/>
      </w:pPr>
    </w:lvl>
    <w:lvl w:ilvl="3" w:tplc="5A749C28">
      <w:start w:val="1"/>
      <w:numFmt w:val="decimal"/>
      <w:lvlText w:val="%4."/>
      <w:lvlJc w:val="left"/>
      <w:pPr>
        <w:ind w:left="2880" w:hanging="360"/>
      </w:pPr>
    </w:lvl>
    <w:lvl w:ilvl="4" w:tplc="2B18B116">
      <w:start w:val="1"/>
      <w:numFmt w:val="lowerLetter"/>
      <w:lvlText w:val="%5."/>
      <w:lvlJc w:val="left"/>
      <w:pPr>
        <w:ind w:left="3600" w:hanging="360"/>
      </w:pPr>
    </w:lvl>
    <w:lvl w:ilvl="5" w:tplc="30020EAE">
      <w:start w:val="1"/>
      <w:numFmt w:val="lowerRoman"/>
      <w:lvlText w:val="%6."/>
      <w:lvlJc w:val="right"/>
      <w:pPr>
        <w:ind w:left="4320" w:hanging="180"/>
      </w:pPr>
    </w:lvl>
    <w:lvl w:ilvl="6" w:tplc="7D2EE50E">
      <w:start w:val="1"/>
      <w:numFmt w:val="decimal"/>
      <w:lvlText w:val="%7."/>
      <w:lvlJc w:val="left"/>
      <w:pPr>
        <w:ind w:left="5040" w:hanging="360"/>
      </w:pPr>
    </w:lvl>
    <w:lvl w:ilvl="7" w:tplc="D248C158">
      <w:start w:val="1"/>
      <w:numFmt w:val="lowerLetter"/>
      <w:lvlText w:val="%8."/>
      <w:lvlJc w:val="left"/>
      <w:pPr>
        <w:ind w:left="5760" w:hanging="360"/>
      </w:pPr>
    </w:lvl>
    <w:lvl w:ilvl="8" w:tplc="D3A046C6">
      <w:start w:val="1"/>
      <w:numFmt w:val="lowerRoman"/>
      <w:lvlText w:val="%9."/>
      <w:lvlJc w:val="right"/>
      <w:pPr>
        <w:ind w:left="6480" w:hanging="180"/>
      </w:pPr>
    </w:lvl>
  </w:abstractNum>
  <w:abstractNum w:abstractNumId="1" w15:restartNumberingAfterBreak="0">
    <w:nsid w:val="5C687259"/>
    <w:multiLevelType w:val="hybridMultilevel"/>
    <w:tmpl w:val="950EDDFE"/>
    <w:lvl w:ilvl="0" w:tplc="F886E012">
      <w:start w:val="1"/>
      <w:numFmt w:val="decimal"/>
      <w:lvlText w:val="%1."/>
      <w:lvlJc w:val="left"/>
      <w:pPr>
        <w:ind w:left="720" w:hanging="360"/>
      </w:pPr>
    </w:lvl>
    <w:lvl w:ilvl="1" w:tplc="BB96FEC0">
      <w:start w:val="1"/>
      <w:numFmt w:val="lowerLetter"/>
      <w:lvlText w:val="%2."/>
      <w:lvlJc w:val="left"/>
      <w:pPr>
        <w:ind w:left="1440" w:hanging="360"/>
      </w:pPr>
    </w:lvl>
    <w:lvl w:ilvl="2" w:tplc="AD8202A0">
      <w:start w:val="1"/>
      <w:numFmt w:val="lowerRoman"/>
      <w:lvlText w:val="%3."/>
      <w:lvlJc w:val="right"/>
      <w:pPr>
        <w:ind w:left="2160" w:hanging="180"/>
      </w:pPr>
    </w:lvl>
    <w:lvl w:ilvl="3" w:tplc="02888674">
      <w:start w:val="1"/>
      <w:numFmt w:val="decimal"/>
      <w:lvlText w:val="%4."/>
      <w:lvlJc w:val="left"/>
      <w:pPr>
        <w:ind w:left="2880" w:hanging="360"/>
      </w:pPr>
    </w:lvl>
    <w:lvl w:ilvl="4" w:tplc="9110A178">
      <w:start w:val="1"/>
      <w:numFmt w:val="lowerLetter"/>
      <w:lvlText w:val="%5."/>
      <w:lvlJc w:val="left"/>
      <w:pPr>
        <w:ind w:left="3600" w:hanging="360"/>
      </w:pPr>
    </w:lvl>
    <w:lvl w:ilvl="5" w:tplc="F0C452D0">
      <w:start w:val="1"/>
      <w:numFmt w:val="lowerRoman"/>
      <w:lvlText w:val="%6."/>
      <w:lvlJc w:val="right"/>
      <w:pPr>
        <w:ind w:left="4320" w:hanging="180"/>
      </w:pPr>
    </w:lvl>
    <w:lvl w:ilvl="6" w:tplc="6060CD52">
      <w:start w:val="1"/>
      <w:numFmt w:val="decimal"/>
      <w:lvlText w:val="%7."/>
      <w:lvlJc w:val="left"/>
      <w:pPr>
        <w:ind w:left="5040" w:hanging="360"/>
      </w:pPr>
    </w:lvl>
    <w:lvl w:ilvl="7" w:tplc="3FDC27BA">
      <w:start w:val="1"/>
      <w:numFmt w:val="lowerLetter"/>
      <w:lvlText w:val="%8."/>
      <w:lvlJc w:val="left"/>
      <w:pPr>
        <w:ind w:left="5760" w:hanging="360"/>
      </w:pPr>
    </w:lvl>
    <w:lvl w:ilvl="8" w:tplc="602CFD9E">
      <w:start w:val="1"/>
      <w:numFmt w:val="lowerRoman"/>
      <w:lvlText w:val="%9."/>
      <w:lvlJc w:val="right"/>
      <w:pPr>
        <w:ind w:left="6480" w:hanging="180"/>
      </w:pPr>
    </w:lvl>
  </w:abstractNum>
  <w:num w:numId="1" w16cid:durableId="9138391">
    <w:abstractNumId w:val="0"/>
  </w:num>
  <w:num w:numId="2" w16cid:durableId="1854224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725"/>
    <w:rsid w:val="00296299"/>
    <w:rsid w:val="00314FA9"/>
    <w:rsid w:val="003B3593"/>
    <w:rsid w:val="003D233D"/>
    <w:rsid w:val="004072E7"/>
    <w:rsid w:val="00410A08"/>
    <w:rsid w:val="00422435"/>
    <w:rsid w:val="004467D4"/>
    <w:rsid w:val="0055262D"/>
    <w:rsid w:val="00573E86"/>
    <w:rsid w:val="00610BF7"/>
    <w:rsid w:val="006A0A2F"/>
    <w:rsid w:val="006D7D34"/>
    <w:rsid w:val="00721617"/>
    <w:rsid w:val="008819DD"/>
    <w:rsid w:val="00AA4C54"/>
    <w:rsid w:val="00C00D26"/>
    <w:rsid w:val="00C54BB7"/>
    <w:rsid w:val="00C900C6"/>
    <w:rsid w:val="00EB5725"/>
    <w:rsid w:val="00F07044"/>
    <w:rsid w:val="0225F6BD"/>
    <w:rsid w:val="043DDAA5"/>
    <w:rsid w:val="0EC4395D"/>
    <w:rsid w:val="0EF7EA56"/>
    <w:rsid w:val="15492541"/>
    <w:rsid w:val="1A50A9D0"/>
    <w:rsid w:val="3829A29F"/>
    <w:rsid w:val="42C2422E"/>
    <w:rsid w:val="624918D9"/>
    <w:rsid w:val="663BB491"/>
    <w:rsid w:val="6D04F615"/>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13F59"/>
  <w15:chartTrackingRefBased/>
  <w15:docId w15:val="{21FB9991-CC3A-4479-B3BD-2C9446791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7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7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7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7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725"/>
    <w:rPr>
      <w:rFonts w:eastAsiaTheme="majorEastAsia" w:cstheme="majorBidi"/>
      <w:color w:val="272727" w:themeColor="text1" w:themeTint="D8"/>
    </w:rPr>
  </w:style>
  <w:style w:type="paragraph" w:styleId="Title">
    <w:name w:val="Title"/>
    <w:basedOn w:val="Normal"/>
    <w:next w:val="Normal"/>
    <w:link w:val="TitleChar"/>
    <w:uiPriority w:val="10"/>
    <w:qFormat/>
    <w:rsid w:val="00EB5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725"/>
    <w:pPr>
      <w:spacing w:before="160"/>
      <w:jc w:val="center"/>
    </w:pPr>
    <w:rPr>
      <w:i/>
      <w:iCs/>
      <w:color w:val="404040" w:themeColor="text1" w:themeTint="BF"/>
    </w:rPr>
  </w:style>
  <w:style w:type="character" w:customStyle="1" w:styleId="QuoteChar">
    <w:name w:val="Quote Char"/>
    <w:basedOn w:val="DefaultParagraphFont"/>
    <w:link w:val="Quote"/>
    <w:uiPriority w:val="29"/>
    <w:rsid w:val="00EB5725"/>
    <w:rPr>
      <w:i/>
      <w:iCs/>
      <w:color w:val="404040" w:themeColor="text1" w:themeTint="BF"/>
    </w:rPr>
  </w:style>
  <w:style w:type="paragraph" w:styleId="ListParagraph">
    <w:name w:val="List Paragraph"/>
    <w:basedOn w:val="Normal"/>
    <w:uiPriority w:val="34"/>
    <w:qFormat/>
    <w:rsid w:val="00EB5725"/>
    <w:pPr>
      <w:ind w:left="720"/>
      <w:contextualSpacing/>
    </w:pPr>
  </w:style>
  <w:style w:type="character" w:styleId="IntenseEmphasis">
    <w:name w:val="Intense Emphasis"/>
    <w:basedOn w:val="DefaultParagraphFont"/>
    <w:uiPriority w:val="21"/>
    <w:qFormat/>
    <w:rsid w:val="00EB5725"/>
    <w:rPr>
      <w:i/>
      <w:iCs/>
      <w:color w:val="0F4761" w:themeColor="accent1" w:themeShade="BF"/>
    </w:rPr>
  </w:style>
  <w:style w:type="paragraph" w:styleId="IntenseQuote">
    <w:name w:val="Intense Quote"/>
    <w:basedOn w:val="Normal"/>
    <w:next w:val="Normal"/>
    <w:link w:val="IntenseQuoteChar"/>
    <w:uiPriority w:val="30"/>
    <w:qFormat/>
    <w:rsid w:val="00EB5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725"/>
    <w:rPr>
      <w:i/>
      <w:iCs/>
      <w:color w:val="0F4761" w:themeColor="accent1" w:themeShade="BF"/>
    </w:rPr>
  </w:style>
  <w:style w:type="character" w:styleId="IntenseReference">
    <w:name w:val="Intense Reference"/>
    <w:basedOn w:val="DefaultParagraphFont"/>
    <w:uiPriority w:val="32"/>
    <w:qFormat/>
    <w:rsid w:val="00EB5725"/>
    <w:rPr>
      <w:b/>
      <w:bCs/>
      <w:smallCaps/>
      <w:color w:val="0F4761" w:themeColor="accent1" w:themeShade="BF"/>
      <w:spacing w:val="5"/>
    </w:rPr>
  </w:style>
  <w:style w:type="table" w:styleId="TableGrid">
    <w:name w:val="Table Grid"/>
    <w:basedOn w:val="TableNormal"/>
    <w:uiPriority w:val="39"/>
    <w:rsid w:val="006A0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B35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B3593"/>
    <w:rPr>
      <w:b/>
      <w:bCs/>
    </w:rPr>
  </w:style>
  <w:style w:type="character" w:styleId="Hyperlink">
    <w:name w:val="Hyperlink"/>
    <w:basedOn w:val="DefaultParagraphFont"/>
    <w:uiPriority w:val="99"/>
    <w:unhideWhenUsed/>
    <w:rsid w:val="004467D4"/>
    <w:rPr>
      <w:color w:val="467886" w:themeColor="hyperlink"/>
      <w:u w:val="single"/>
    </w:rPr>
  </w:style>
  <w:style w:type="character" w:styleId="UnresolvedMention">
    <w:name w:val="Unresolved Mention"/>
    <w:basedOn w:val="DefaultParagraphFont"/>
    <w:uiPriority w:val="99"/>
    <w:semiHidden/>
    <w:unhideWhenUsed/>
    <w:rsid w:val="004467D4"/>
    <w:rPr>
      <w:color w:val="605E5C"/>
      <w:shd w:val="clear" w:color="auto" w:fill="E1DFDD"/>
    </w:rPr>
  </w:style>
  <w:style w:type="paragraph" w:styleId="Revision">
    <w:name w:val="Revision"/>
    <w:hidden/>
    <w:uiPriority w:val="99"/>
    <w:semiHidden/>
    <w:rsid w:val="00314FA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247880">
      <w:bodyDiv w:val="1"/>
      <w:marLeft w:val="0"/>
      <w:marRight w:val="0"/>
      <w:marTop w:val="0"/>
      <w:marBottom w:val="0"/>
      <w:divBdr>
        <w:top w:val="none" w:sz="0" w:space="0" w:color="auto"/>
        <w:left w:val="none" w:sz="0" w:space="0" w:color="auto"/>
        <w:bottom w:val="none" w:sz="0" w:space="0" w:color="auto"/>
        <w:right w:val="none" w:sz="0" w:space="0" w:color="auto"/>
      </w:divBdr>
    </w:div>
    <w:div w:id="1401714447">
      <w:bodyDiv w:val="1"/>
      <w:marLeft w:val="0"/>
      <w:marRight w:val="0"/>
      <w:marTop w:val="0"/>
      <w:marBottom w:val="0"/>
      <w:divBdr>
        <w:top w:val="none" w:sz="0" w:space="0" w:color="auto"/>
        <w:left w:val="none" w:sz="0" w:space="0" w:color="auto"/>
        <w:bottom w:val="none" w:sz="0" w:space="0" w:color="auto"/>
        <w:right w:val="none" w:sz="0" w:space="0" w:color="auto"/>
      </w:divBdr>
    </w:div>
    <w:div w:id="1771581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sandrator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ndra.tori@mmg.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74CFF-E221-469A-810B-702B83985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652</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MMG</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Tori</dc:creator>
  <cp:keywords/>
  <dc:description/>
  <cp:lastModifiedBy>Sandra Tori</cp:lastModifiedBy>
  <cp:revision>2</cp:revision>
  <dcterms:created xsi:type="dcterms:W3CDTF">2025-04-16T22:57:00Z</dcterms:created>
  <dcterms:modified xsi:type="dcterms:W3CDTF">2025-04-16T22:57:00Z</dcterms:modified>
</cp:coreProperties>
</file>