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327A9" w14:textId="22C919AC" w:rsidR="00E46B1F" w:rsidRPr="002B203A" w:rsidRDefault="00E46B1F" w:rsidP="00876A13">
      <w:pPr>
        <w:spacing w:line="360" w:lineRule="auto"/>
        <w:jc w:val="center"/>
        <w:rPr>
          <w:rFonts w:ascii="Arial" w:hAnsi="Arial" w:cs="Arial"/>
        </w:rPr>
      </w:pPr>
      <w:r w:rsidRPr="002B203A">
        <w:rPr>
          <w:rFonts w:ascii="Arial" w:hAnsi="Arial" w:cs="Arial"/>
          <w:b/>
          <w:bCs/>
        </w:rPr>
        <w:t xml:space="preserve">Título: </w:t>
      </w:r>
      <w:r w:rsidR="004A21DD" w:rsidRPr="002B203A">
        <w:rPr>
          <w:rFonts w:ascii="Arial" w:hAnsi="Arial" w:cs="Arial"/>
          <w:b/>
          <w:bCs/>
        </w:rPr>
        <w:t xml:space="preserve">Estrategia de la </w:t>
      </w:r>
      <w:r w:rsidR="00AD7B67" w:rsidRPr="002B203A">
        <w:rPr>
          <w:rFonts w:ascii="Arial" w:hAnsi="Arial" w:cs="Arial"/>
          <w:b/>
          <w:bCs/>
        </w:rPr>
        <w:t>G</w:t>
      </w:r>
      <w:r w:rsidR="004A21DD" w:rsidRPr="002B203A">
        <w:rPr>
          <w:rFonts w:ascii="Arial" w:hAnsi="Arial" w:cs="Arial"/>
          <w:b/>
          <w:bCs/>
        </w:rPr>
        <w:t xml:space="preserve">estión de los </w:t>
      </w:r>
      <w:r w:rsidR="00AD7B67" w:rsidRPr="002B203A">
        <w:rPr>
          <w:rFonts w:ascii="Arial" w:hAnsi="Arial" w:cs="Arial"/>
          <w:b/>
          <w:bCs/>
        </w:rPr>
        <w:t>R</w:t>
      </w:r>
      <w:r w:rsidR="004A21DD" w:rsidRPr="002B203A">
        <w:rPr>
          <w:rFonts w:ascii="Arial" w:hAnsi="Arial" w:cs="Arial"/>
          <w:b/>
          <w:bCs/>
        </w:rPr>
        <w:t xml:space="preserve">ecursos </w:t>
      </w:r>
      <w:r w:rsidR="00AD7B67" w:rsidRPr="002B203A">
        <w:rPr>
          <w:rFonts w:ascii="Arial" w:hAnsi="Arial" w:cs="Arial"/>
          <w:b/>
          <w:bCs/>
        </w:rPr>
        <w:t>H</w:t>
      </w:r>
      <w:r w:rsidR="004A21DD" w:rsidRPr="002B203A">
        <w:rPr>
          <w:rFonts w:ascii="Arial" w:hAnsi="Arial" w:cs="Arial"/>
          <w:b/>
          <w:bCs/>
        </w:rPr>
        <w:t>ídricos de Minsur</w:t>
      </w:r>
    </w:p>
    <w:p w14:paraId="09B542CF" w14:textId="49C68A24" w:rsidR="00E46B1F" w:rsidRPr="002B203A" w:rsidRDefault="00E46B1F" w:rsidP="00E46B1F">
      <w:pPr>
        <w:spacing w:line="360" w:lineRule="auto"/>
        <w:rPr>
          <w:rFonts w:ascii="Arial" w:hAnsi="Arial" w:cs="Arial"/>
        </w:rPr>
      </w:pPr>
      <w:r w:rsidRPr="002B203A">
        <w:rPr>
          <w:rFonts w:ascii="Arial" w:hAnsi="Arial" w:cs="Arial"/>
          <w:b/>
          <w:bCs/>
        </w:rPr>
        <w:t xml:space="preserve">Tema: </w:t>
      </w:r>
      <w:r w:rsidRPr="002B203A">
        <w:rPr>
          <w:rFonts w:ascii="Arial" w:hAnsi="Arial" w:cs="Arial"/>
        </w:rPr>
        <w:t>Gestión del agua en operaciones y el entorno</w:t>
      </w:r>
    </w:p>
    <w:p w14:paraId="09D0AC76" w14:textId="0C887EA4" w:rsidR="00E46B1F" w:rsidRPr="002B203A" w:rsidRDefault="00E46B1F" w:rsidP="00E46B1F">
      <w:pPr>
        <w:spacing w:line="360" w:lineRule="auto"/>
        <w:rPr>
          <w:rFonts w:ascii="Arial" w:hAnsi="Arial" w:cs="Arial"/>
        </w:rPr>
      </w:pPr>
      <w:r w:rsidRPr="002B203A">
        <w:rPr>
          <w:rFonts w:ascii="Arial" w:hAnsi="Arial" w:cs="Arial"/>
          <w:b/>
          <w:bCs/>
        </w:rPr>
        <w:t xml:space="preserve">Categoría: </w:t>
      </w:r>
      <w:r w:rsidRPr="002B203A">
        <w:rPr>
          <w:rFonts w:ascii="Arial" w:hAnsi="Arial" w:cs="Arial"/>
        </w:rPr>
        <w:t>ESG (</w:t>
      </w:r>
      <w:proofErr w:type="spellStart"/>
      <w:r w:rsidRPr="002B203A">
        <w:rPr>
          <w:rFonts w:ascii="Arial" w:hAnsi="Arial" w:cs="Arial"/>
          <w:b/>
          <w:bCs/>
        </w:rPr>
        <w:t>Environmental</w:t>
      </w:r>
      <w:proofErr w:type="spellEnd"/>
      <w:r w:rsidRPr="002B203A">
        <w:rPr>
          <w:rFonts w:ascii="Arial" w:hAnsi="Arial" w:cs="Arial"/>
        </w:rPr>
        <w:t xml:space="preserve">, Social, </w:t>
      </w:r>
      <w:proofErr w:type="spellStart"/>
      <w:r w:rsidRPr="002B203A">
        <w:rPr>
          <w:rFonts w:ascii="Arial" w:hAnsi="Arial" w:cs="Arial"/>
        </w:rPr>
        <w:t>Governance</w:t>
      </w:r>
      <w:proofErr w:type="spellEnd"/>
      <w:r w:rsidRPr="002B203A">
        <w:rPr>
          <w:rFonts w:ascii="Arial" w:hAnsi="Arial" w:cs="Arial"/>
        </w:rPr>
        <w:t>)</w:t>
      </w:r>
    </w:p>
    <w:p w14:paraId="56F9C055" w14:textId="77777777" w:rsidR="00156CD8" w:rsidRPr="002B203A" w:rsidRDefault="00E46B1F" w:rsidP="00E46B1F">
      <w:pPr>
        <w:spacing w:line="360" w:lineRule="auto"/>
        <w:rPr>
          <w:rFonts w:ascii="Arial" w:hAnsi="Arial" w:cs="Arial"/>
          <w:b/>
          <w:bCs/>
        </w:rPr>
      </w:pPr>
      <w:r w:rsidRPr="002B203A">
        <w:rPr>
          <w:rFonts w:ascii="Arial" w:hAnsi="Arial" w:cs="Arial"/>
          <w:b/>
          <w:bCs/>
        </w:rPr>
        <w:t xml:space="preserve">Datos del autor y coautores: </w:t>
      </w:r>
    </w:p>
    <w:p w14:paraId="0A8A2D89" w14:textId="5661AC07" w:rsidR="00D735C9" w:rsidRPr="002B203A" w:rsidRDefault="0086176A" w:rsidP="00AD7B67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2B203A">
        <w:rPr>
          <w:rFonts w:ascii="Arial" w:hAnsi="Arial" w:cs="Arial"/>
          <w:b/>
          <w:bCs/>
        </w:rPr>
        <w:t>Carlos Sánchez Romero</w:t>
      </w:r>
      <w:r w:rsidRPr="002B203A">
        <w:rPr>
          <w:rFonts w:ascii="Arial" w:hAnsi="Arial" w:cs="Arial"/>
        </w:rPr>
        <w:t xml:space="preserve">, Minsur, Superintendente </w:t>
      </w:r>
      <w:r w:rsidR="00D735C9" w:rsidRPr="002B203A">
        <w:rPr>
          <w:rFonts w:ascii="Arial" w:hAnsi="Arial" w:cs="Arial"/>
        </w:rPr>
        <w:t>C</w:t>
      </w:r>
      <w:r w:rsidRPr="002B203A">
        <w:rPr>
          <w:rFonts w:ascii="Arial" w:hAnsi="Arial" w:cs="Arial"/>
        </w:rPr>
        <w:t xml:space="preserve">orporativo de </w:t>
      </w:r>
      <w:r w:rsidR="00AD7B67" w:rsidRPr="002B203A">
        <w:rPr>
          <w:rFonts w:ascii="Arial" w:hAnsi="Arial" w:cs="Arial"/>
        </w:rPr>
        <w:t>R</w:t>
      </w:r>
      <w:r w:rsidRPr="002B203A">
        <w:rPr>
          <w:rFonts w:ascii="Arial" w:hAnsi="Arial" w:cs="Arial"/>
        </w:rPr>
        <w:t xml:space="preserve">ecursos </w:t>
      </w:r>
      <w:r w:rsidR="00AD7B67" w:rsidRPr="002B203A">
        <w:rPr>
          <w:rFonts w:ascii="Arial" w:hAnsi="Arial" w:cs="Arial"/>
        </w:rPr>
        <w:t>H</w:t>
      </w:r>
      <w:r w:rsidRPr="002B203A">
        <w:rPr>
          <w:rFonts w:ascii="Arial" w:hAnsi="Arial" w:cs="Arial"/>
        </w:rPr>
        <w:t xml:space="preserve">ídricos, Jr. Lorenzo Bernini 149 - San Borja, Lima 27. Perú, </w:t>
      </w:r>
      <w:hyperlink r:id="rId6" w:history="1">
        <w:r w:rsidRPr="009F52E3">
          <w:rPr>
            <w:rStyle w:val="Hipervnculo"/>
            <w:rFonts w:ascii="Arial" w:hAnsi="Arial" w:cs="Arial"/>
            <w:color w:val="auto"/>
          </w:rPr>
          <w:t>Carlos.sanchez@minsur.com</w:t>
        </w:r>
      </w:hyperlink>
      <w:r w:rsidRPr="002B203A">
        <w:rPr>
          <w:rFonts w:ascii="Arial" w:hAnsi="Arial" w:cs="Arial"/>
        </w:rPr>
        <w:t xml:space="preserve">, </w:t>
      </w:r>
      <w:r w:rsidR="00D735C9" w:rsidRPr="002B203A">
        <w:rPr>
          <w:rFonts w:ascii="Arial" w:hAnsi="Arial" w:cs="Arial"/>
        </w:rPr>
        <w:t>961706595</w:t>
      </w:r>
    </w:p>
    <w:p w14:paraId="3F5194AB" w14:textId="11BFAFFD" w:rsidR="00AD7B67" w:rsidRPr="002B203A" w:rsidRDefault="00AD7B67" w:rsidP="00AD7B67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2B203A">
        <w:rPr>
          <w:rFonts w:ascii="Arial" w:hAnsi="Arial" w:cs="Arial"/>
          <w:b/>
          <w:bCs/>
        </w:rPr>
        <w:t>Alberto Ugarteche</w:t>
      </w:r>
      <w:r w:rsidRPr="002B203A">
        <w:rPr>
          <w:rFonts w:ascii="Arial" w:hAnsi="Arial" w:cs="Arial"/>
        </w:rPr>
        <w:t xml:space="preserve">, Minsur, Gerente de Medio Ambiente, Jr. Lorenzo Bernini 149 - San Borja, Lima 27. Perú, </w:t>
      </w:r>
      <w:hyperlink r:id="rId7" w:history="1">
        <w:r w:rsidRPr="009F52E3">
          <w:rPr>
            <w:rStyle w:val="Hipervnculo"/>
            <w:rFonts w:ascii="Arial" w:hAnsi="Arial" w:cs="Arial"/>
            <w:color w:val="auto"/>
          </w:rPr>
          <w:t>alberto.ugarteche@minsur.com</w:t>
        </w:r>
      </w:hyperlink>
      <w:r w:rsidRPr="002B203A">
        <w:rPr>
          <w:rFonts w:ascii="Arial" w:hAnsi="Arial" w:cs="Arial"/>
        </w:rPr>
        <w:t xml:space="preserve">, </w:t>
      </w:r>
      <w:r w:rsidR="00E0792A" w:rsidRPr="009F52E3">
        <w:rPr>
          <w:rFonts w:ascii="Arial" w:hAnsi="Arial" w:cs="Arial"/>
        </w:rPr>
        <w:t>963344159</w:t>
      </w:r>
    </w:p>
    <w:p w14:paraId="0E1E6E19" w14:textId="4F3CF7CD" w:rsidR="004B75A0" w:rsidRPr="002B203A" w:rsidRDefault="00E46B1F" w:rsidP="00AD0F8D">
      <w:pPr>
        <w:spacing w:line="360" w:lineRule="auto"/>
        <w:jc w:val="both"/>
        <w:rPr>
          <w:rFonts w:ascii="Arial" w:hAnsi="Arial" w:cs="Arial"/>
        </w:rPr>
      </w:pPr>
      <w:r w:rsidRPr="002B203A">
        <w:rPr>
          <w:rFonts w:ascii="Arial" w:hAnsi="Arial" w:cs="Arial"/>
          <w:b/>
          <w:bCs/>
        </w:rPr>
        <w:t xml:space="preserve">Palabras claves: </w:t>
      </w:r>
      <w:proofErr w:type="spellStart"/>
      <w:r w:rsidR="00543F86" w:rsidRPr="002B203A">
        <w:rPr>
          <w:rFonts w:ascii="Arial" w:hAnsi="Arial" w:cs="Arial"/>
        </w:rPr>
        <w:t>Water</w:t>
      </w:r>
      <w:proofErr w:type="spellEnd"/>
      <w:r w:rsidR="00543F86" w:rsidRPr="002B203A">
        <w:rPr>
          <w:rFonts w:ascii="Arial" w:hAnsi="Arial" w:cs="Arial"/>
        </w:rPr>
        <w:t xml:space="preserve"> Management, </w:t>
      </w:r>
      <w:r w:rsidR="00156CD8" w:rsidRPr="002B203A">
        <w:rPr>
          <w:rFonts w:ascii="Arial" w:hAnsi="Arial" w:cs="Arial"/>
        </w:rPr>
        <w:t>A</w:t>
      </w:r>
      <w:r w:rsidR="00D735C9" w:rsidRPr="002B203A">
        <w:rPr>
          <w:rFonts w:ascii="Arial" w:hAnsi="Arial" w:cs="Arial"/>
        </w:rPr>
        <w:t xml:space="preserve">gua, </w:t>
      </w:r>
      <w:r w:rsidR="00156CD8" w:rsidRPr="002B203A">
        <w:rPr>
          <w:rFonts w:ascii="Arial" w:hAnsi="Arial" w:cs="Arial"/>
        </w:rPr>
        <w:t>E</w:t>
      </w:r>
      <w:r w:rsidR="00D735C9" w:rsidRPr="002B203A">
        <w:rPr>
          <w:rFonts w:ascii="Arial" w:hAnsi="Arial" w:cs="Arial"/>
        </w:rPr>
        <w:t xml:space="preserve">strategia, </w:t>
      </w:r>
      <w:r w:rsidR="00156CD8" w:rsidRPr="002B203A">
        <w:rPr>
          <w:rFonts w:ascii="Arial" w:hAnsi="Arial" w:cs="Arial"/>
        </w:rPr>
        <w:t>Recursos Hídricos, Cambio Climático, Sostenibilidad.</w:t>
      </w:r>
    </w:p>
    <w:p w14:paraId="1CF11FBD" w14:textId="77777777" w:rsidR="00AD7B67" w:rsidRPr="002B203A" w:rsidRDefault="00AD7B67" w:rsidP="006F6749">
      <w:pPr>
        <w:spacing w:line="360" w:lineRule="auto"/>
        <w:jc w:val="both"/>
        <w:rPr>
          <w:rFonts w:ascii="Arial" w:hAnsi="Arial" w:cs="Arial"/>
        </w:rPr>
      </w:pPr>
    </w:p>
    <w:p w14:paraId="78F05C89" w14:textId="77777777" w:rsidR="00112D08" w:rsidRPr="002B203A" w:rsidRDefault="00AD7B67" w:rsidP="00112D08">
      <w:pPr>
        <w:spacing w:line="360" w:lineRule="auto"/>
        <w:jc w:val="both"/>
        <w:rPr>
          <w:rFonts w:ascii="Arial" w:hAnsi="Arial" w:cs="Arial"/>
        </w:rPr>
      </w:pPr>
      <w:r w:rsidRPr="002B203A">
        <w:rPr>
          <w:rFonts w:ascii="Arial" w:hAnsi="Arial" w:cs="Arial"/>
          <w:b/>
          <w:bCs/>
        </w:rPr>
        <w:t>Antecedentes</w:t>
      </w:r>
      <w:r w:rsidR="004E4023" w:rsidRPr="002B203A">
        <w:rPr>
          <w:rFonts w:ascii="Arial" w:hAnsi="Arial" w:cs="Arial"/>
          <w:b/>
          <w:bCs/>
        </w:rPr>
        <w:t xml:space="preserve">. </w:t>
      </w:r>
      <w:r w:rsidR="00112D08" w:rsidRPr="002B203A">
        <w:rPr>
          <w:rFonts w:ascii="Arial" w:hAnsi="Arial" w:cs="Arial"/>
        </w:rPr>
        <w:t>El agua es un recurso compartido, escaso y fundamental para la vida. Su importancia abarca aspectos sociales, culturales, ambientales y económicos, y su disponibilidad sustenta servicios ecosistémicos, actividades económicas y prácticas espirituales ancestrales en todo el mundo (ICMM, 2017). Además, el agua sustenta la prosperidad al satisfacer las necesidades humanas básicas, promover la salud pública, los medios de subsistencia y el desarrollo económico. Es crucial para la seguridad alimentaria y energética, así como para la preservación del medio ambiente. Los conflictos relacionados con el agua tienen impactos complejos y a menudo indirectos, como los desplazamientos forzosos, la limitación de actividades económicas y de inversión, y el aumento de la exposición a riesgos para la salud.</w:t>
      </w:r>
    </w:p>
    <w:p w14:paraId="381AED4E" w14:textId="77777777" w:rsidR="00112D08" w:rsidRPr="002B203A" w:rsidRDefault="00112D08" w:rsidP="00112D08">
      <w:pPr>
        <w:spacing w:line="360" w:lineRule="auto"/>
        <w:jc w:val="both"/>
        <w:rPr>
          <w:rFonts w:ascii="Arial" w:hAnsi="Arial" w:cs="Arial"/>
        </w:rPr>
      </w:pPr>
    </w:p>
    <w:p w14:paraId="0DC45220" w14:textId="1AACF89E" w:rsidR="00AD0F8D" w:rsidRPr="002B203A" w:rsidRDefault="00516BC1" w:rsidP="00112D08">
      <w:pPr>
        <w:spacing w:line="360" w:lineRule="auto"/>
        <w:jc w:val="both"/>
        <w:rPr>
          <w:rFonts w:ascii="Arial" w:hAnsi="Arial" w:cs="Arial"/>
        </w:rPr>
      </w:pPr>
      <w:r w:rsidRPr="002B203A">
        <w:rPr>
          <w:rFonts w:ascii="Arial" w:hAnsi="Arial" w:cs="Arial"/>
        </w:rPr>
        <w:t>Por otro lado, l</w:t>
      </w:r>
      <w:r w:rsidR="00112D08" w:rsidRPr="002B203A">
        <w:rPr>
          <w:rFonts w:ascii="Arial" w:hAnsi="Arial" w:cs="Arial"/>
        </w:rPr>
        <w:t>a gestión del agua es una componente fundamental de la actividad minera. La estrategia de largo plazo y la continuidad de las operaciones mineras dependen de una gestión adecuada del agua, analizada de forma integral durante todas las etapas del proceso minero: exploración, desarrollo y construcción, producción, cierre y post cierre. Los principales conflictos socioambientales entre el sector minero y las comunidades campesinas están relacionados con el agua, lo que subraya la importancia de implementar una gestión eficiente, responsable y transparente.</w:t>
      </w:r>
    </w:p>
    <w:p w14:paraId="1E01473A" w14:textId="77777777" w:rsidR="003B5959" w:rsidRPr="002B203A" w:rsidRDefault="003B5959" w:rsidP="006F6749">
      <w:pPr>
        <w:spacing w:line="360" w:lineRule="auto"/>
        <w:jc w:val="both"/>
        <w:rPr>
          <w:rFonts w:ascii="Arial" w:hAnsi="Arial" w:cs="Arial"/>
        </w:rPr>
      </w:pPr>
    </w:p>
    <w:p w14:paraId="1A7B04E5" w14:textId="77777777" w:rsidR="003B5959" w:rsidRPr="002B203A" w:rsidRDefault="003B5959" w:rsidP="006F6749">
      <w:pPr>
        <w:spacing w:line="360" w:lineRule="auto"/>
        <w:jc w:val="both"/>
        <w:rPr>
          <w:rFonts w:ascii="Arial" w:hAnsi="Arial" w:cs="Arial"/>
        </w:rPr>
      </w:pPr>
    </w:p>
    <w:p w14:paraId="0AC5ECDA" w14:textId="3655FFB7" w:rsidR="00AD7B67" w:rsidRPr="002B203A" w:rsidRDefault="00AD7B67" w:rsidP="006F6749">
      <w:pPr>
        <w:spacing w:line="360" w:lineRule="auto"/>
        <w:jc w:val="both"/>
        <w:rPr>
          <w:rFonts w:ascii="Arial" w:hAnsi="Arial" w:cs="Arial"/>
          <w:b/>
          <w:bCs/>
        </w:rPr>
      </w:pPr>
      <w:r w:rsidRPr="002B203A">
        <w:rPr>
          <w:rFonts w:ascii="Arial" w:hAnsi="Arial" w:cs="Arial"/>
          <w:b/>
          <w:bCs/>
        </w:rPr>
        <w:lastRenderedPageBreak/>
        <w:t>Objetivos</w:t>
      </w:r>
    </w:p>
    <w:p w14:paraId="06E74C32" w14:textId="3A305A06" w:rsidR="00112D08" w:rsidRPr="002B203A" w:rsidRDefault="00112D08" w:rsidP="00112D08">
      <w:pPr>
        <w:spacing w:line="360" w:lineRule="auto"/>
        <w:jc w:val="both"/>
        <w:rPr>
          <w:rFonts w:ascii="Arial" w:hAnsi="Arial" w:cs="Arial"/>
        </w:rPr>
      </w:pPr>
      <w:r w:rsidRPr="002B203A">
        <w:rPr>
          <w:rFonts w:ascii="Arial" w:hAnsi="Arial" w:cs="Arial"/>
        </w:rPr>
        <w:t>Minsur es una empresa minera con más de 46 años de trayectoria en la industria, especializada en la producción de estaño, cobre y oro. Opera en diversas regiones con condiciones climáticas extremas, incluyendo zonas desérticas de la costa peruana, regiones altoandinas en la cabecera del desierto de Atacama, áreas altiplánicas</w:t>
      </w:r>
      <w:r w:rsidR="00465109" w:rsidRPr="002B203A">
        <w:rPr>
          <w:rFonts w:ascii="Arial" w:hAnsi="Arial" w:cs="Arial"/>
        </w:rPr>
        <w:t xml:space="preserve"> y</w:t>
      </w:r>
      <w:r w:rsidRPr="002B203A">
        <w:rPr>
          <w:rFonts w:ascii="Arial" w:hAnsi="Arial" w:cs="Arial"/>
        </w:rPr>
        <w:t xml:space="preserve"> </w:t>
      </w:r>
      <w:r w:rsidR="00F82C17" w:rsidRPr="002B203A">
        <w:rPr>
          <w:rFonts w:ascii="Arial" w:hAnsi="Arial" w:cs="Arial"/>
        </w:rPr>
        <w:t xml:space="preserve">zonas con glaciares </w:t>
      </w:r>
      <w:r w:rsidR="005D0876" w:rsidRPr="002B203A">
        <w:rPr>
          <w:rFonts w:ascii="Arial" w:hAnsi="Arial" w:cs="Arial"/>
        </w:rPr>
        <w:t>tropicales.</w:t>
      </w:r>
      <w:r w:rsidRPr="002B203A">
        <w:rPr>
          <w:rFonts w:ascii="Arial" w:hAnsi="Arial" w:cs="Arial"/>
        </w:rPr>
        <w:t xml:space="preserve"> Estas ubicaciones presentan desafíos significativos para la gestión de recursos hídricos.</w:t>
      </w:r>
    </w:p>
    <w:p w14:paraId="2654F3A8" w14:textId="2FD44681" w:rsidR="00AD7B67" w:rsidRPr="002B203A" w:rsidRDefault="00112D08" w:rsidP="00112D08">
      <w:pPr>
        <w:spacing w:line="360" w:lineRule="auto"/>
        <w:jc w:val="both"/>
        <w:rPr>
          <w:rFonts w:ascii="Arial" w:hAnsi="Arial" w:cs="Arial"/>
        </w:rPr>
      </w:pPr>
      <w:r w:rsidRPr="002B203A">
        <w:rPr>
          <w:rFonts w:ascii="Arial" w:hAnsi="Arial" w:cs="Arial"/>
        </w:rPr>
        <w:t xml:space="preserve">Desde </w:t>
      </w:r>
      <w:r w:rsidR="00DF621B" w:rsidRPr="002B203A">
        <w:rPr>
          <w:rFonts w:ascii="Arial" w:hAnsi="Arial" w:cs="Arial"/>
        </w:rPr>
        <w:t xml:space="preserve">la </w:t>
      </w:r>
      <w:r w:rsidRPr="002B203A">
        <w:rPr>
          <w:rFonts w:ascii="Arial" w:hAnsi="Arial" w:cs="Arial"/>
        </w:rPr>
        <w:t xml:space="preserve">incorporación </w:t>
      </w:r>
      <w:r w:rsidR="00DF621B" w:rsidRPr="002B203A">
        <w:rPr>
          <w:rFonts w:ascii="Arial" w:hAnsi="Arial" w:cs="Arial"/>
        </w:rPr>
        <w:t xml:space="preserve">de Minsur </w:t>
      </w:r>
      <w:r w:rsidRPr="002B203A">
        <w:rPr>
          <w:rFonts w:ascii="Arial" w:hAnsi="Arial" w:cs="Arial"/>
        </w:rPr>
        <w:t xml:space="preserve">al Consejo Internacional de Minería y Metales (ICMM) en 2018, </w:t>
      </w:r>
      <w:r w:rsidR="009C6443" w:rsidRPr="002B203A">
        <w:rPr>
          <w:rFonts w:ascii="Arial" w:hAnsi="Arial" w:cs="Arial"/>
        </w:rPr>
        <w:t xml:space="preserve">se viene reforzando el </w:t>
      </w:r>
      <w:r w:rsidRPr="002B203A">
        <w:rPr>
          <w:rFonts w:ascii="Arial" w:hAnsi="Arial" w:cs="Arial"/>
        </w:rPr>
        <w:t>alinea</w:t>
      </w:r>
      <w:r w:rsidR="009C6443" w:rsidRPr="002B203A">
        <w:rPr>
          <w:rFonts w:ascii="Arial" w:hAnsi="Arial" w:cs="Arial"/>
        </w:rPr>
        <w:t>miento</w:t>
      </w:r>
      <w:r w:rsidRPr="002B203A">
        <w:rPr>
          <w:rFonts w:ascii="Arial" w:hAnsi="Arial" w:cs="Arial"/>
        </w:rPr>
        <w:t xml:space="preserve"> </w:t>
      </w:r>
      <w:r w:rsidR="009C6443" w:rsidRPr="002B203A">
        <w:rPr>
          <w:rFonts w:ascii="Arial" w:hAnsi="Arial" w:cs="Arial"/>
        </w:rPr>
        <w:t>de sus</w:t>
      </w:r>
      <w:r w:rsidRPr="002B203A">
        <w:rPr>
          <w:rFonts w:ascii="Arial" w:hAnsi="Arial" w:cs="Arial"/>
        </w:rPr>
        <w:t xml:space="preserve"> operaciones a rigurosos estándares globales. En este contexto, </w:t>
      </w:r>
      <w:r w:rsidR="001F203E" w:rsidRPr="002B203A">
        <w:rPr>
          <w:rFonts w:ascii="Arial" w:hAnsi="Arial" w:cs="Arial"/>
        </w:rPr>
        <w:t>se ha desarrollado</w:t>
      </w:r>
      <w:r w:rsidRPr="002B203A">
        <w:rPr>
          <w:rFonts w:ascii="Arial" w:hAnsi="Arial" w:cs="Arial"/>
        </w:rPr>
        <w:t xml:space="preserve"> </w:t>
      </w:r>
      <w:r w:rsidR="005C43BF" w:rsidRPr="002B203A">
        <w:rPr>
          <w:rFonts w:ascii="Arial" w:hAnsi="Arial" w:cs="Arial"/>
        </w:rPr>
        <w:t>el</w:t>
      </w:r>
      <w:r w:rsidRPr="002B203A">
        <w:rPr>
          <w:rFonts w:ascii="Arial" w:hAnsi="Arial" w:cs="Arial"/>
        </w:rPr>
        <w:t xml:space="preserve"> </w:t>
      </w:r>
      <w:r w:rsidR="005C43BF" w:rsidRPr="002B203A">
        <w:rPr>
          <w:rFonts w:ascii="Arial" w:hAnsi="Arial" w:cs="Arial"/>
        </w:rPr>
        <w:t>P</w:t>
      </w:r>
      <w:r w:rsidRPr="002B203A">
        <w:rPr>
          <w:rFonts w:ascii="Arial" w:hAnsi="Arial" w:cs="Arial"/>
        </w:rPr>
        <w:t xml:space="preserve">lan de </w:t>
      </w:r>
      <w:r w:rsidR="005C43BF" w:rsidRPr="002B203A">
        <w:rPr>
          <w:rFonts w:ascii="Arial" w:hAnsi="Arial" w:cs="Arial"/>
        </w:rPr>
        <w:t>E</w:t>
      </w:r>
      <w:r w:rsidRPr="002B203A">
        <w:rPr>
          <w:rFonts w:ascii="Arial" w:hAnsi="Arial" w:cs="Arial"/>
        </w:rPr>
        <w:t xml:space="preserve">xcelencia en la </w:t>
      </w:r>
      <w:r w:rsidR="005C43BF" w:rsidRPr="002B203A">
        <w:rPr>
          <w:rFonts w:ascii="Arial" w:hAnsi="Arial" w:cs="Arial"/>
        </w:rPr>
        <w:t>G</w:t>
      </w:r>
      <w:r w:rsidRPr="002B203A">
        <w:rPr>
          <w:rFonts w:ascii="Arial" w:hAnsi="Arial" w:cs="Arial"/>
        </w:rPr>
        <w:t xml:space="preserve">estión de </w:t>
      </w:r>
      <w:r w:rsidR="005C43BF" w:rsidRPr="002B203A">
        <w:rPr>
          <w:rFonts w:ascii="Arial" w:hAnsi="Arial" w:cs="Arial"/>
        </w:rPr>
        <w:t>R</w:t>
      </w:r>
      <w:r w:rsidRPr="002B203A">
        <w:rPr>
          <w:rFonts w:ascii="Arial" w:hAnsi="Arial" w:cs="Arial"/>
        </w:rPr>
        <w:t xml:space="preserve">ecursos </w:t>
      </w:r>
      <w:r w:rsidR="005C43BF" w:rsidRPr="002B203A">
        <w:rPr>
          <w:rFonts w:ascii="Arial" w:hAnsi="Arial" w:cs="Arial"/>
        </w:rPr>
        <w:t>H</w:t>
      </w:r>
      <w:r w:rsidRPr="002B203A">
        <w:rPr>
          <w:rFonts w:ascii="Arial" w:hAnsi="Arial" w:cs="Arial"/>
        </w:rPr>
        <w:t>ídricos, que se integra con la visión estratégica de la compañía, basada en pilares de sostenibilidad y gestión ambiental.</w:t>
      </w:r>
    </w:p>
    <w:p w14:paraId="49FEB526" w14:textId="77777777" w:rsidR="00112D08" w:rsidRPr="002B203A" w:rsidRDefault="00112D08" w:rsidP="00112D08">
      <w:pPr>
        <w:spacing w:line="360" w:lineRule="auto"/>
        <w:jc w:val="both"/>
        <w:rPr>
          <w:rFonts w:ascii="Arial" w:hAnsi="Arial" w:cs="Arial"/>
        </w:rPr>
      </w:pPr>
    </w:p>
    <w:p w14:paraId="5A54270E" w14:textId="1E781CF6" w:rsidR="00AD7B67" w:rsidRPr="002B203A" w:rsidRDefault="00AD7B67" w:rsidP="006F6749">
      <w:pPr>
        <w:spacing w:line="360" w:lineRule="auto"/>
        <w:jc w:val="both"/>
        <w:rPr>
          <w:rFonts w:ascii="Arial" w:hAnsi="Arial" w:cs="Arial"/>
          <w:b/>
          <w:bCs/>
        </w:rPr>
      </w:pPr>
      <w:r w:rsidRPr="002B203A">
        <w:rPr>
          <w:rFonts w:ascii="Arial" w:hAnsi="Arial" w:cs="Arial"/>
          <w:b/>
          <w:bCs/>
        </w:rPr>
        <w:t>Metodología</w:t>
      </w:r>
    </w:p>
    <w:p w14:paraId="5B9C4D16" w14:textId="6306314F" w:rsidR="00F25D82" w:rsidRPr="002B203A" w:rsidRDefault="00F25D82" w:rsidP="00F25D82">
      <w:pPr>
        <w:spacing w:line="360" w:lineRule="auto"/>
        <w:jc w:val="both"/>
        <w:rPr>
          <w:rFonts w:ascii="Arial" w:hAnsi="Arial" w:cs="Arial"/>
        </w:rPr>
      </w:pPr>
      <w:r w:rsidRPr="002B203A">
        <w:rPr>
          <w:rFonts w:ascii="Arial" w:hAnsi="Arial" w:cs="Arial"/>
        </w:rPr>
        <w:t xml:space="preserve">En el siguiente trabajo se expone la experiencia de Minsur en la definición e implementación de su estrategia de gestión de recursos hídricos, las cuales han sido desarrolladas considerando los más estrictos estándares ambientales y guías internacionales, así como </w:t>
      </w:r>
      <w:r w:rsidR="004418BD" w:rsidRPr="002B203A">
        <w:rPr>
          <w:rFonts w:ascii="Arial" w:hAnsi="Arial" w:cs="Arial"/>
        </w:rPr>
        <w:t xml:space="preserve">herramientas </w:t>
      </w:r>
      <w:r w:rsidRPr="002B203A">
        <w:rPr>
          <w:rFonts w:ascii="Arial" w:hAnsi="Arial" w:cs="Arial"/>
        </w:rPr>
        <w:t xml:space="preserve">de gestión </w:t>
      </w:r>
      <w:r w:rsidR="004418BD" w:rsidRPr="002B203A">
        <w:rPr>
          <w:rFonts w:ascii="Arial" w:hAnsi="Arial" w:cs="Arial"/>
        </w:rPr>
        <w:t xml:space="preserve">y de mejora de procesos </w:t>
      </w:r>
      <w:r w:rsidRPr="002B203A">
        <w:rPr>
          <w:rFonts w:ascii="Arial" w:hAnsi="Arial" w:cs="Arial"/>
        </w:rPr>
        <w:t>y una visión del análisis de riesgo</w:t>
      </w:r>
      <w:r w:rsidR="00334888" w:rsidRPr="002B203A">
        <w:rPr>
          <w:rFonts w:ascii="Arial" w:hAnsi="Arial" w:cs="Arial"/>
        </w:rPr>
        <w:t>s</w:t>
      </w:r>
      <w:r w:rsidRPr="002B203A">
        <w:rPr>
          <w:rFonts w:ascii="Arial" w:hAnsi="Arial" w:cs="Arial"/>
        </w:rPr>
        <w:t xml:space="preserve"> y definición de planes de acción.</w:t>
      </w:r>
      <w:r w:rsidR="00C70437" w:rsidRPr="002B203A">
        <w:rPr>
          <w:rFonts w:ascii="Arial" w:hAnsi="Arial" w:cs="Arial"/>
        </w:rPr>
        <w:t xml:space="preserve"> A continuación, se muestra los principales lineamientos en los que está basad</w:t>
      </w:r>
      <w:r w:rsidR="004E2E7E" w:rsidRPr="002B203A">
        <w:rPr>
          <w:rFonts w:ascii="Arial" w:hAnsi="Arial" w:cs="Arial"/>
        </w:rPr>
        <w:t>a</w:t>
      </w:r>
      <w:r w:rsidR="00C70437" w:rsidRPr="002B203A">
        <w:rPr>
          <w:rFonts w:ascii="Arial" w:hAnsi="Arial" w:cs="Arial"/>
        </w:rPr>
        <w:t xml:space="preserve"> </w:t>
      </w:r>
      <w:r w:rsidR="00675EB8">
        <w:rPr>
          <w:rFonts w:ascii="Arial" w:hAnsi="Arial" w:cs="Arial"/>
        </w:rPr>
        <w:t>el desarrollo de la</w:t>
      </w:r>
      <w:r w:rsidR="00C70437" w:rsidRPr="002B203A">
        <w:rPr>
          <w:rFonts w:ascii="Arial" w:hAnsi="Arial" w:cs="Arial"/>
        </w:rPr>
        <w:t xml:space="preserve"> estrategia de </w:t>
      </w:r>
      <w:r w:rsidR="004E2E7E" w:rsidRPr="002B203A">
        <w:rPr>
          <w:rFonts w:ascii="Arial" w:hAnsi="Arial" w:cs="Arial"/>
        </w:rPr>
        <w:t>manejo de aguas</w:t>
      </w:r>
      <w:r w:rsidR="00675EB8">
        <w:rPr>
          <w:rFonts w:ascii="Arial" w:hAnsi="Arial" w:cs="Arial"/>
        </w:rPr>
        <w:t xml:space="preserve"> de Minsur</w:t>
      </w:r>
      <w:r w:rsidR="00334888" w:rsidRPr="002B203A">
        <w:rPr>
          <w:rFonts w:ascii="Arial" w:hAnsi="Arial" w:cs="Arial"/>
        </w:rPr>
        <w:t>:</w:t>
      </w:r>
    </w:p>
    <w:p w14:paraId="16461C83" w14:textId="4109AF81" w:rsidR="00F25D82" w:rsidRPr="002B203A" w:rsidRDefault="00F25D82" w:rsidP="004A6324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2B203A">
        <w:rPr>
          <w:rFonts w:ascii="Arial" w:hAnsi="Arial" w:cs="Arial"/>
        </w:rPr>
        <w:t>Definición de la estrategia</w:t>
      </w:r>
      <w:r w:rsidR="00C70437" w:rsidRPr="002B203A">
        <w:rPr>
          <w:rFonts w:ascii="Arial" w:hAnsi="Arial" w:cs="Arial"/>
        </w:rPr>
        <w:t xml:space="preserve"> personalizada a Minsur, alineada</w:t>
      </w:r>
      <w:r w:rsidRPr="002B203A">
        <w:rPr>
          <w:rFonts w:ascii="Arial" w:hAnsi="Arial" w:cs="Arial"/>
        </w:rPr>
        <w:t xml:space="preserve"> con el </w:t>
      </w:r>
      <w:proofErr w:type="spellStart"/>
      <w:r w:rsidR="009F52E3" w:rsidRPr="009F52E3">
        <w:rPr>
          <w:rFonts w:ascii="Arial" w:hAnsi="Arial" w:cs="Arial"/>
        </w:rPr>
        <w:t>water</w:t>
      </w:r>
      <w:proofErr w:type="spellEnd"/>
      <w:r w:rsidR="009F52E3" w:rsidRPr="009F52E3">
        <w:rPr>
          <w:rFonts w:ascii="Arial" w:hAnsi="Arial" w:cs="Arial"/>
        </w:rPr>
        <w:t xml:space="preserve"> </w:t>
      </w:r>
      <w:proofErr w:type="spellStart"/>
      <w:r w:rsidR="009F52E3" w:rsidRPr="009F52E3">
        <w:rPr>
          <w:rFonts w:ascii="Arial" w:hAnsi="Arial" w:cs="Arial"/>
        </w:rPr>
        <w:t>stewardship</w:t>
      </w:r>
      <w:proofErr w:type="spellEnd"/>
      <w:r w:rsidR="009F52E3">
        <w:rPr>
          <w:rFonts w:ascii="Arial" w:hAnsi="Arial" w:cs="Arial"/>
        </w:rPr>
        <w:t xml:space="preserve"> </w:t>
      </w:r>
      <w:r w:rsidRPr="002B203A">
        <w:rPr>
          <w:rFonts w:ascii="Arial" w:hAnsi="Arial" w:cs="Arial"/>
        </w:rPr>
        <w:t xml:space="preserve">del ICMM y la estrategia global de </w:t>
      </w:r>
      <w:r w:rsidR="00C70437" w:rsidRPr="002B203A">
        <w:rPr>
          <w:rFonts w:ascii="Arial" w:hAnsi="Arial" w:cs="Arial"/>
        </w:rPr>
        <w:t xml:space="preserve">la </w:t>
      </w:r>
      <w:r w:rsidR="00F87B1F" w:rsidRPr="002B203A">
        <w:rPr>
          <w:rFonts w:ascii="Arial" w:hAnsi="Arial" w:cs="Arial"/>
        </w:rPr>
        <w:t>compañía</w:t>
      </w:r>
      <w:r w:rsidR="009A6513" w:rsidRPr="002B203A">
        <w:rPr>
          <w:rFonts w:ascii="Arial" w:hAnsi="Arial" w:cs="Arial"/>
        </w:rPr>
        <w:t>.</w:t>
      </w:r>
    </w:p>
    <w:p w14:paraId="1AC08710" w14:textId="5E963B3C" w:rsidR="00F25D82" w:rsidRPr="002B203A" w:rsidRDefault="00F524C0" w:rsidP="004A6324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2B203A">
        <w:rPr>
          <w:rFonts w:ascii="Arial" w:hAnsi="Arial" w:cs="Arial"/>
        </w:rPr>
        <w:t>Desarrollo e implementación de un sistema de g</w:t>
      </w:r>
      <w:r w:rsidR="00F25D82" w:rsidRPr="002B203A">
        <w:rPr>
          <w:rFonts w:ascii="Arial" w:hAnsi="Arial" w:cs="Arial"/>
        </w:rPr>
        <w:t>estión de información</w:t>
      </w:r>
      <w:r w:rsidR="00C70437" w:rsidRPr="002B203A">
        <w:rPr>
          <w:rFonts w:ascii="Arial" w:hAnsi="Arial" w:cs="Arial"/>
        </w:rPr>
        <w:t xml:space="preserve"> relevante</w:t>
      </w:r>
      <w:r w:rsidR="00F25D82" w:rsidRPr="002B203A">
        <w:rPr>
          <w:rFonts w:ascii="Arial" w:hAnsi="Arial" w:cs="Arial"/>
        </w:rPr>
        <w:t xml:space="preserve">, </w:t>
      </w:r>
      <w:r w:rsidR="006A69DD" w:rsidRPr="002B203A">
        <w:rPr>
          <w:rFonts w:ascii="Arial" w:hAnsi="Arial" w:cs="Arial"/>
        </w:rPr>
        <w:t xml:space="preserve">así como </w:t>
      </w:r>
      <w:r w:rsidR="00F25D82" w:rsidRPr="002B203A">
        <w:rPr>
          <w:rFonts w:ascii="Arial" w:hAnsi="Arial" w:cs="Arial"/>
        </w:rPr>
        <w:t>estandarización</w:t>
      </w:r>
      <w:r w:rsidR="00C70437" w:rsidRPr="002B203A">
        <w:rPr>
          <w:rFonts w:ascii="Arial" w:hAnsi="Arial" w:cs="Arial"/>
        </w:rPr>
        <w:t xml:space="preserve">, </w:t>
      </w:r>
      <w:r w:rsidR="00F25D82" w:rsidRPr="002B203A">
        <w:rPr>
          <w:rFonts w:ascii="Arial" w:hAnsi="Arial" w:cs="Arial"/>
        </w:rPr>
        <w:t>validación</w:t>
      </w:r>
      <w:r w:rsidR="00C70437" w:rsidRPr="002B203A">
        <w:rPr>
          <w:rFonts w:ascii="Arial" w:hAnsi="Arial" w:cs="Arial"/>
        </w:rPr>
        <w:t xml:space="preserve"> y análisis</w:t>
      </w:r>
      <w:r w:rsidR="00F25D82" w:rsidRPr="002B203A">
        <w:rPr>
          <w:rFonts w:ascii="Arial" w:hAnsi="Arial" w:cs="Arial"/>
        </w:rPr>
        <w:t xml:space="preserve"> de datos. (</w:t>
      </w:r>
      <w:r w:rsidR="00F25D82" w:rsidRPr="002B203A">
        <w:rPr>
          <w:rFonts w:ascii="Arial" w:hAnsi="Arial" w:cs="Arial"/>
          <w:b/>
          <w:bCs/>
        </w:rPr>
        <w:t>S</w:t>
      </w:r>
      <w:r w:rsidR="00F25D82" w:rsidRPr="002B203A">
        <w:rPr>
          <w:rFonts w:ascii="Arial" w:hAnsi="Arial" w:cs="Arial"/>
        </w:rPr>
        <w:t xml:space="preserve">istema </w:t>
      </w:r>
      <w:r w:rsidR="00C70437" w:rsidRPr="002B203A">
        <w:rPr>
          <w:rFonts w:ascii="Arial" w:hAnsi="Arial" w:cs="Arial"/>
        </w:rPr>
        <w:t xml:space="preserve">de </w:t>
      </w:r>
      <w:r w:rsidR="00C70437" w:rsidRPr="002B203A">
        <w:rPr>
          <w:rFonts w:ascii="Arial" w:hAnsi="Arial" w:cs="Arial"/>
          <w:b/>
          <w:bCs/>
        </w:rPr>
        <w:t>i</w:t>
      </w:r>
      <w:r w:rsidR="00C70437" w:rsidRPr="002B203A">
        <w:rPr>
          <w:rFonts w:ascii="Arial" w:hAnsi="Arial" w:cs="Arial"/>
        </w:rPr>
        <w:t xml:space="preserve">nformación de </w:t>
      </w:r>
      <w:r w:rsidR="00C70437" w:rsidRPr="002B203A">
        <w:rPr>
          <w:rFonts w:ascii="Arial" w:hAnsi="Arial" w:cs="Arial"/>
          <w:b/>
          <w:bCs/>
        </w:rPr>
        <w:t>r</w:t>
      </w:r>
      <w:r w:rsidR="00C70437" w:rsidRPr="002B203A">
        <w:rPr>
          <w:rFonts w:ascii="Arial" w:hAnsi="Arial" w:cs="Arial"/>
        </w:rPr>
        <w:t xml:space="preserve">ecursos </w:t>
      </w:r>
      <w:r w:rsidR="00C70437" w:rsidRPr="002B203A">
        <w:rPr>
          <w:rFonts w:ascii="Arial" w:hAnsi="Arial" w:cs="Arial"/>
          <w:b/>
          <w:bCs/>
        </w:rPr>
        <w:t>hí</w:t>
      </w:r>
      <w:r w:rsidR="00C70437" w:rsidRPr="002B203A">
        <w:rPr>
          <w:rFonts w:ascii="Arial" w:hAnsi="Arial" w:cs="Arial"/>
        </w:rPr>
        <w:t xml:space="preserve">dricos, </w:t>
      </w:r>
      <w:r w:rsidR="00F25D82" w:rsidRPr="002B203A">
        <w:rPr>
          <w:rFonts w:ascii="Arial" w:hAnsi="Arial" w:cs="Arial"/>
        </w:rPr>
        <w:t>SIRHI).</w:t>
      </w:r>
      <w:r w:rsidR="00C9240B">
        <w:rPr>
          <w:rFonts w:ascii="Arial" w:hAnsi="Arial" w:cs="Arial"/>
        </w:rPr>
        <w:t xml:space="preserve"> Así como enlace de la información con los sistema de reportes y transparencia.</w:t>
      </w:r>
    </w:p>
    <w:p w14:paraId="067CD80E" w14:textId="7D512239" w:rsidR="0070573C" w:rsidRPr="002B203A" w:rsidRDefault="0070573C" w:rsidP="004A6324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2B203A">
        <w:rPr>
          <w:rFonts w:ascii="Arial" w:hAnsi="Arial" w:cs="Arial"/>
        </w:rPr>
        <w:t xml:space="preserve">Definición de dimensiones de </w:t>
      </w:r>
      <w:r w:rsidR="006A69DD" w:rsidRPr="002B203A">
        <w:rPr>
          <w:rFonts w:ascii="Arial" w:hAnsi="Arial" w:cs="Arial"/>
        </w:rPr>
        <w:t xml:space="preserve">evaluación y </w:t>
      </w:r>
      <w:r w:rsidRPr="002B203A">
        <w:rPr>
          <w:rFonts w:ascii="Arial" w:hAnsi="Arial" w:cs="Arial"/>
        </w:rPr>
        <w:t>análisis para la implementación del estándar de gestión de recursos hídricos</w:t>
      </w:r>
      <w:r w:rsidR="00176E1B" w:rsidRPr="002B203A">
        <w:rPr>
          <w:rFonts w:ascii="Arial" w:hAnsi="Arial" w:cs="Arial"/>
        </w:rPr>
        <w:t>.</w:t>
      </w:r>
    </w:p>
    <w:p w14:paraId="0CF3877A" w14:textId="0A2FB164" w:rsidR="00F25D82" w:rsidRPr="002B203A" w:rsidRDefault="0070573C" w:rsidP="004A6324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2B203A">
        <w:rPr>
          <w:rFonts w:ascii="Arial" w:hAnsi="Arial" w:cs="Arial"/>
        </w:rPr>
        <w:t>Implementación de h</w:t>
      </w:r>
      <w:r w:rsidR="00F25D82" w:rsidRPr="002B203A">
        <w:rPr>
          <w:rFonts w:ascii="Arial" w:hAnsi="Arial" w:cs="Arial"/>
        </w:rPr>
        <w:t xml:space="preserve">erramientas </w:t>
      </w:r>
      <w:r w:rsidR="004A6324" w:rsidRPr="002B203A">
        <w:rPr>
          <w:rFonts w:ascii="Arial" w:hAnsi="Arial" w:cs="Arial"/>
        </w:rPr>
        <w:t>tecnológicas</w:t>
      </w:r>
      <w:r w:rsidR="00F25D82" w:rsidRPr="002B203A">
        <w:rPr>
          <w:rFonts w:ascii="Arial" w:hAnsi="Arial" w:cs="Arial"/>
        </w:rPr>
        <w:t xml:space="preserve"> de gestión (</w:t>
      </w:r>
      <w:r w:rsidR="00CE4A70" w:rsidRPr="002B203A">
        <w:rPr>
          <w:rFonts w:ascii="Arial" w:hAnsi="Arial" w:cs="Arial"/>
        </w:rPr>
        <w:t>S</w:t>
      </w:r>
      <w:r w:rsidR="00CE4A70">
        <w:rPr>
          <w:rFonts w:ascii="Arial" w:hAnsi="Arial" w:cs="Arial"/>
        </w:rPr>
        <w:t>istemas de gestión de información</w:t>
      </w:r>
      <w:r w:rsidR="00F25D82" w:rsidRPr="002B203A">
        <w:rPr>
          <w:rFonts w:ascii="Arial" w:hAnsi="Arial" w:cs="Arial"/>
        </w:rPr>
        <w:t xml:space="preserve">, </w:t>
      </w:r>
      <w:r w:rsidR="00CE4A70">
        <w:rPr>
          <w:rFonts w:ascii="Arial" w:hAnsi="Arial" w:cs="Arial"/>
        </w:rPr>
        <w:t xml:space="preserve">portal de seguimiento climático, </w:t>
      </w:r>
      <w:r w:rsidR="004A6324" w:rsidRPr="002B203A">
        <w:rPr>
          <w:rFonts w:ascii="Arial" w:hAnsi="Arial" w:cs="Arial"/>
        </w:rPr>
        <w:t>balances de agua</w:t>
      </w:r>
      <w:r w:rsidR="00CE4A70">
        <w:rPr>
          <w:rFonts w:ascii="Arial" w:hAnsi="Arial" w:cs="Arial"/>
        </w:rPr>
        <w:t xml:space="preserve"> históricos y simulaciones probabilísticas</w:t>
      </w:r>
      <w:r w:rsidR="001C7D71" w:rsidRPr="002B203A">
        <w:rPr>
          <w:rFonts w:ascii="Arial" w:hAnsi="Arial" w:cs="Arial"/>
        </w:rPr>
        <w:t>)</w:t>
      </w:r>
      <w:r w:rsidR="004A6324" w:rsidRPr="002B203A">
        <w:rPr>
          <w:rFonts w:ascii="Arial" w:hAnsi="Arial" w:cs="Arial"/>
        </w:rPr>
        <w:t>.</w:t>
      </w:r>
    </w:p>
    <w:p w14:paraId="5F1F278A" w14:textId="2C9AE18A" w:rsidR="004A6324" w:rsidRPr="002B203A" w:rsidRDefault="004A6324" w:rsidP="004A6324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2B203A">
        <w:rPr>
          <w:rFonts w:ascii="Arial" w:hAnsi="Arial" w:cs="Arial"/>
        </w:rPr>
        <w:t xml:space="preserve">Definición y seguimiento </w:t>
      </w:r>
      <w:r w:rsidR="001C7D71" w:rsidRPr="002B203A">
        <w:rPr>
          <w:rFonts w:ascii="Arial" w:hAnsi="Arial" w:cs="Arial"/>
        </w:rPr>
        <w:t>de metas e</w:t>
      </w:r>
      <w:r w:rsidRPr="002B203A">
        <w:rPr>
          <w:rFonts w:ascii="Arial" w:hAnsi="Arial" w:cs="Arial"/>
        </w:rPr>
        <w:t xml:space="preserve"> indicadores de gestión</w:t>
      </w:r>
      <w:r w:rsidR="00E35883" w:rsidRPr="002B203A">
        <w:rPr>
          <w:rFonts w:ascii="Arial" w:hAnsi="Arial" w:cs="Arial"/>
        </w:rPr>
        <w:t xml:space="preserve"> de eficiencia del uso de agua y de cumplimiento</w:t>
      </w:r>
      <w:r w:rsidRPr="002B203A">
        <w:rPr>
          <w:rFonts w:ascii="Arial" w:hAnsi="Arial" w:cs="Arial"/>
        </w:rPr>
        <w:t>.</w:t>
      </w:r>
    </w:p>
    <w:p w14:paraId="15A818F1" w14:textId="63B70B4B" w:rsidR="0070573C" w:rsidRPr="002B203A" w:rsidRDefault="0070573C" w:rsidP="004A6324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2B203A">
        <w:rPr>
          <w:rFonts w:ascii="Arial" w:hAnsi="Arial" w:cs="Arial"/>
        </w:rPr>
        <w:lastRenderedPageBreak/>
        <w:t>Definición de gobernanza a nivel corporativo y en las operaciones.</w:t>
      </w:r>
    </w:p>
    <w:p w14:paraId="46013254" w14:textId="0EA153DB" w:rsidR="002E2883" w:rsidRDefault="002E2883" w:rsidP="004A6324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Gestión de riesgos relacionados con el agua en las operaciones.</w:t>
      </w:r>
    </w:p>
    <w:p w14:paraId="0AC934A2" w14:textId="2D58E2CA" w:rsidR="000546B6" w:rsidRDefault="000546B6" w:rsidP="004A6324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2B203A">
        <w:rPr>
          <w:rFonts w:ascii="Arial" w:hAnsi="Arial" w:cs="Arial"/>
        </w:rPr>
        <w:t xml:space="preserve">Visión estratégica de largo plazo, </w:t>
      </w:r>
      <w:r w:rsidR="0070573C" w:rsidRPr="002B203A">
        <w:rPr>
          <w:rFonts w:ascii="Arial" w:hAnsi="Arial" w:cs="Arial"/>
        </w:rPr>
        <w:t xml:space="preserve">análisis del </w:t>
      </w:r>
      <w:r w:rsidRPr="002B203A">
        <w:rPr>
          <w:rFonts w:ascii="Arial" w:hAnsi="Arial" w:cs="Arial"/>
        </w:rPr>
        <w:t xml:space="preserve">LOM de la operación y </w:t>
      </w:r>
      <w:r w:rsidR="0070573C" w:rsidRPr="002B203A">
        <w:rPr>
          <w:rFonts w:ascii="Arial" w:hAnsi="Arial" w:cs="Arial"/>
        </w:rPr>
        <w:t>criterios de manejo de agua en escenarios de cierre.</w:t>
      </w:r>
    </w:p>
    <w:p w14:paraId="7FB0667E" w14:textId="77777777" w:rsidR="002E2883" w:rsidRPr="002B203A" w:rsidRDefault="002E2883" w:rsidP="002E2883">
      <w:pPr>
        <w:pStyle w:val="Prrafodelista"/>
        <w:spacing w:line="360" w:lineRule="auto"/>
        <w:ind w:left="1065"/>
        <w:jc w:val="both"/>
        <w:rPr>
          <w:rFonts w:ascii="Arial" w:hAnsi="Arial" w:cs="Arial"/>
        </w:rPr>
      </w:pPr>
    </w:p>
    <w:p w14:paraId="590088AB" w14:textId="45FA08BA" w:rsidR="00AD7B67" w:rsidRPr="002B203A" w:rsidRDefault="00AD7B67" w:rsidP="006F6749">
      <w:pPr>
        <w:spacing w:line="360" w:lineRule="auto"/>
        <w:jc w:val="both"/>
        <w:rPr>
          <w:rFonts w:ascii="Arial" w:hAnsi="Arial" w:cs="Arial"/>
          <w:b/>
          <w:bCs/>
        </w:rPr>
      </w:pPr>
      <w:r w:rsidRPr="002B203A">
        <w:rPr>
          <w:rFonts w:ascii="Arial" w:hAnsi="Arial" w:cs="Arial"/>
          <w:b/>
          <w:bCs/>
        </w:rPr>
        <w:t xml:space="preserve">Conclusiones y recomendaciones </w:t>
      </w:r>
    </w:p>
    <w:p w14:paraId="2B93B00E" w14:textId="43B117FE" w:rsidR="007C32FA" w:rsidRPr="002B203A" w:rsidRDefault="007C32FA" w:rsidP="007C32FA">
      <w:pPr>
        <w:spacing w:line="360" w:lineRule="auto"/>
        <w:jc w:val="both"/>
        <w:rPr>
          <w:rFonts w:ascii="Arial" w:hAnsi="Arial" w:cs="Arial"/>
        </w:rPr>
      </w:pPr>
      <w:r w:rsidRPr="002B203A">
        <w:rPr>
          <w:rFonts w:ascii="Arial" w:hAnsi="Arial" w:cs="Arial"/>
        </w:rPr>
        <w:t xml:space="preserve">Los actuales cuestionamientos a la minería, relacionados con el manejo de los recursos hídricos requieren que esta industria realice una adecuada </w:t>
      </w:r>
      <w:r w:rsidR="0011438D" w:rsidRPr="002B203A">
        <w:rPr>
          <w:rFonts w:ascii="Arial" w:hAnsi="Arial" w:cs="Arial"/>
        </w:rPr>
        <w:t xml:space="preserve">y responsable </w:t>
      </w:r>
      <w:r w:rsidRPr="002B203A">
        <w:rPr>
          <w:rFonts w:ascii="Arial" w:hAnsi="Arial" w:cs="Arial"/>
        </w:rPr>
        <w:t>gestión de</w:t>
      </w:r>
      <w:r w:rsidR="0011438D" w:rsidRPr="002B203A">
        <w:rPr>
          <w:rFonts w:ascii="Arial" w:hAnsi="Arial" w:cs="Arial"/>
        </w:rPr>
        <w:t>l agua</w:t>
      </w:r>
      <w:r w:rsidRPr="002B203A">
        <w:rPr>
          <w:rFonts w:ascii="Arial" w:hAnsi="Arial" w:cs="Arial"/>
        </w:rPr>
        <w:t xml:space="preserve">. </w:t>
      </w:r>
      <w:r w:rsidR="00CE4A70">
        <w:rPr>
          <w:rFonts w:ascii="Arial" w:hAnsi="Arial" w:cs="Arial"/>
        </w:rPr>
        <w:t>Así mismo, l</w:t>
      </w:r>
      <w:r w:rsidRPr="002B203A">
        <w:rPr>
          <w:rFonts w:ascii="Arial" w:hAnsi="Arial" w:cs="Arial"/>
        </w:rPr>
        <w:t>a minería cuenta con herramientas tecnológicas y recursos humanos capacitados que permiten</w:t>
      </w:r>
      <w:r w:rsidR="003A7322" w:rsidRPr="002B203A">
        <w:rPr>
          <w:rFonts w:ascii="Arial" w:hAnsi="Arial" w:cs="Arial"/>
        </w:rPr>
        <w:t>,</w:t>
      </w:r>
      <w:r w:rsidRPr="002B203A">
        <w:rPr>
          <w:rFonts w:ascii="Arial" w:hAnsi="Arial" w:cs="Arial"/>
        </w:rPr>
        <w:t xml:space="preserve"> mediante la implementación de tecnologías de punta y de herramientas modernas de gestión</w:t>
      </w:r>
      <w:r w:rsidR="00321F8A">
        <w:rPr>
          <w:rFonts w:ascii="Arial" w:hAnsi="Arial" w:cs="Arial"/>
        </w:rPr>
        <w:t xml:space="preserve"> </w:t>
      </w:r>
      <w:r w:rsidR="00321F8A" w:rsidRPr="00321F8A">
        <w:rPr>
          <w:rFonts w:ascii="Arial" w:hAnsi="Arial" w:cs="Arial"/>
        </w:rPr>
        <w:t>lograr una optimización en el uso de los recursos hídricos.</w:t>
      </w:r>
    </w:p>
    <w:p w14:paraId="6EAE26A8" w14:textId="532128A6" w:rsidR="000546B6" w:rsidRPr="002B203A" w:rsidRDefault="000B3C2A" w:rsidP="006F6749">
      <w:pPr>
        <w:spacing w:line="360" w:lineRule="auto"/>
        <w:jc w:val="both"/>
        <w:rPr>
          <w:rFonts w:ascii="Arial" w:hAnsi="Arial" w:cs="Arial"/>
        </w:rPr>
      </w:pPr>
      <w:r w:rsidRPr="002B203A">
        <w:rPr>
          <w:rFonts w:ascii="Arial" w:hAnsi="Arial" w:cs="Arial"/>
        </w:rPr>
        <w:t xml:space="preserve">Minsur está comprometida con la sostenibilidad </w:t>
      </w:r>
      <w:r w:rsidR="00150F93" w:rsidRPr="002B203A">
        <w:rPr>
          <w:rFonts w:ascii="Arial" w:hAnsi="Arial" w:cs="Arial"/>
        </w:rPr>
        <w:t xml:space="preserve">y la mejora continua. </w:t>
      </w:r>
      <w:r w:rsidR="000546B6" w:rsidRPr="002B203A">
        <w:rPr>
          <w:rFonts w:ascii="Arial" w:hAnsi="Arial" w:cs="Arial"/>
        </w:rPr>
        <w:t xml:space="preserve">La gestión del agua en Minsur </w:t>
      </w:r>
      <w:r w:rsidR="006A1E17" w:rsidRPr="002B203A">
        <w:rPr>
          <w:rFonts w:ascii="Arial" w:hAnsi="Arial" w:cs="Arial"/>
        </w:rPr>
        <w:t>está</w:t>
      </w:r>
      <w:r w:rsidR="000546B6" w:rsidRPr="002B203A">
        <w:rPr>
          <w:rFonts w:ascii="Arial" w:hAnsi="Arial" w:cs="Arial"/>
        </w:rPr>
        <w:t xml:space="preserve"> alineada con los estándares del ICMM. Estas prácticas no solo cumplen con </w:t>
      </w:r>
      <w:r w:rsidR="006A1E17" w:rsidRPr="002B203A">
        <w:rPr>
          <w:rFonts w:ascii="Arial" w:hAnsi="Arial" w:cs="Arial"/>
        </w:rPr>
        <w:t>estándares</w:t>
      </w:r>
      <w:r w:rsidR="000546B6" w:rsidRPr="002B203A">
        <w:rPr>
          <w:rFonts w:ascii="Arial" w:hAnsi="Arial" w:cs="Arial"/>
        </w:rPr>
        <w:t xml:space="preserve"> internacionales, sino que también están enfocadas en lograr una gestión eficiente y responsable del recurso hídrico</w:t>
      </w:r>
      <w:r w:rsidR="008536B1">
        <w:rPr>
          <w:rFonts w:ascii="Arial" w:hAnsi="Arial" w:cs="Arial"/>
        </w:rPr>
        <w:t>.</w:t>
      </w:r>
    </w:p>
    <w:sectPr w:rsidR="000546B6" w:rsidRPr="002B20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1E57EC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8007245"/>
    <w:multiLevelType w:val="hybridMultilevel"/>
    <w:tmpl w:val="19927A4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9A0EAB"/>
    <w:multiLevelType w:val="hybridMultilevel"/>
    <w:tmpl w:val="BC52353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BE4AAA"/>
    <w:multiLevelType w:val="hybridMultilevel"/>
    <w:tmpl w:val="4BEAA48C"/>
    <w:lvl w:ilvl="0" w:tplc="B570404E">
      <w:numFmt w:val="bullet"/>
      <w:lvlText w:val="-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8560C0"/>
    <w:multiLevelType w:val="hybridMultilevel"/>
    <w:tmpl w:val="CEB0C8BC"/>
    <w:lvl w:ilvl="0" w:tplc="B570404E">
      <w:numFmt w:val="bullet"/>
      <w:lvlText w:val="-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6342458">
    <w:abstractNumId w:val="0"/>
  </w:num>
  <w:num w:numId="2" w16cid:durableId="1251767607">
    <w:abstractNumId w:val="1"/>
  </w:num>
  <w:num w:numId="3" w16cid:durableId="223569247">
    <w:abstractNumId w:val="2"/>
  </w:num>
  <w:num w:numId="4" w16cid:durableId="366300090">
    <w:abstractNumId w:val="3"/>
  </w:num>
  <w:num w:numId="5" w16cid:durableId="13696017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B1F"/>
    <w:rsid w:val="000546B6"/>
    <w:rsid w:val="000B3C2A"/>
    <w:rsid w:val="00112D08"/>
    <w:rsid w:val="0011438D"/>
    <w:rsid w:val="00123515"/>
    <w:rsid w:val="00150F93"/>
    <w:rsid w:val="00156CD8"/>
    <w:rsid w:val="00176E1B"/>
    <w:rsid w:val="001B3880"/>
    <w:rsid w:val="001C7D71"/>
    <w:rsid w:val="001F203E"/>
    <w:rsid w:val="00220931"/>
    <w:rsid w:val="002B203A"/>
    <w:rsid w:val="002E2883"/>
    <w:rsid w:val="00321F8A"/>
    <w:rsid w:val="00334888"/>
    <w:rsid w:val="003A7322"/>
    <w:rsid w:val="003B5959"/>
    <w:rsid w:val="0041486F"/>
    <w:rsid w:val="004418BD"/>
    <w:rsid w:val="00465109"/>
    <w:rsid w:val="004A21DD"/>
    <w:rsid w:val="004A6324"/>
    <w:rsid w:val="004B75A0"/>
    <w:rsid w:val="004E2E7E"/>
    <w:rsid w:val="004E4023"/>
    <w:rsid w:val="00516BC1"/>
    <w:rsid w:val="00543F86"/>
    <w:rsid w:val="005954F9"/>
    <w:rsid w:val="005C43BF"/>
    <w:rsid w:val="005D0876"/>
    <w:rsid w:val="006301A4"/>
    <w:rsid w:val="00641F24"/>
    <w:rsid w:val="00647CBE"/>
    <w:rsid w:val="00662966"/>
    <w:rsid w:val="00673FB8"/>
    <w:rsid w:val="00675EB8"/>
    <w:rsid w:val="006873E7"/>
    <w:rsid w:val="006A1E17"/>
    <w:rsid w:val="006A69DD"/>
    <w:rsid w:val="006E3613"/>
    <w:rsid w:val="006F6749"/>
    <w:rsid w:val="0070573C"/>
    <w:rsid w:val="00707835"/>
    <w:rsid w:val="007C32FA"/>
    <w:rsid w:val="0081485E"/>
    <w:rsid w:val="008536B1"/>
    <w:rsid w:val="0086176A"/>
    <w:rsid w:val="00876A13"/>
    <w:rsid w:val="0088304A"/>
    <w:rsid w:val="00896B4A"/>
    <w:rsid w:val="008D7CD9"/>
    <w:rsid w:val="008E326F"/>
    <w:rsid w:val="00962874"/>
    <w:rsid w:val="00965E34"/>
    <w:rsid w:val="009724DA"/>
    <w:rsid w:val="00987B61"/>
    <w:rsid w:val="009A6513"/>
    <w:rsid w:val="009C6443"/>
    <w:rsid w:val="009F52E3"/>
    <w:rsid w:val="00A4620B"/>
    <w:rsid w:val="00A83AA0"/>
    <w:rsid w:val="00AC2F92"/>
    <w:rsid w:val="00AD0F8D"/>
    <w:rsid w:val="00AD114E"/>
    <w:rsid w:val="00AD7B67"/>
    <w:rsid w:val="00B0794D"/>
    <w:rsid w:val="00BF6A11"/>
    <w:rsid w:val="00C70437"/>
    <w:rsid w:val="00C9240B"/>
    <w:rsid w:val="00CA7ED7"/>
    <w:rsid w:val="00CB1C3E"/>
    <w:rsid w:val="00CE467B"/>
    <w:rsid w:val="00CE4A70"/>
    <w:rsid w:val="00D049C7"/>
    <w:rsid w:val="00D735C9"/>
    <w:rsid w:val="00DF621B"/>
    <w:rsid w:val="00E0792A"/>
    <w:rsid w:val="00E35883"/>
    <w:rsid w:val="00E45955"/>
    <w:rsid w:val="00E46B1F"/>
    <w:rsid w:val="00E8515A"/>
    <w:rsid w:val="00F17116"/>
    <w:rsid w:val="00F25D82"/>
    <w:rsid w:val="00F3466E"/>
    <w:rsid w:val="00F524C0"/>
    <w:rsid w:val="00F82C17"/>
    <w:rsid w:val="00F854E6"/>
    <w:rsid w:val="00F87B1F"/>
    <w:rsid w:val="00FB735D"/>
    <w:rsid w:val="00FD02FD"/>
    <w:rsid w:val="00FE0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21CC38"/>
  <w15:chartTrackingRefBased/>
  <w15:docId w15:val="{78D9DF62-D776-499C-BF2B-D971FA9F8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6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6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6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6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6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6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6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6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6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6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6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6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6B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6B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6B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6B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6B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6B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6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6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6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6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6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6B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6B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6B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6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6B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6B1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6176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6176A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516BC1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9A65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A651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A651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A65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A651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97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lberto.ugarteche@minsur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arlos.sanchez@minsur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7D8249-7F9A-4D2D-91FF-661C39014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3</Pages>
  <Words>822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Oswaldo Sanchez Romero</dc:creator>
  <cp:keywords/>
  <dc:description/>
  <cp:lastModifiedBy>Carlos Oswaldo Sanchez Romero</cp:lastModifiedBy>
  <cp:revision>34</cp:revision>
  <dcterms:created xsi:type="dcterms:W3CDTF">2025-05-09T19:29:00Z</dcterms:created>
  <dcterms:modified xsi:type="dcterms:W3CDTF">2025-05-12T20:12:00Z</dcterms:modified>
</cp:coreProperties>
</file>