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22A3E" w14:textId="77777777" w:rsidR="00696E6E" w:rsidRPr="00207280" w:rsidRDefault="00696E6E" w:rsidP="00207280">
      <w:pPr>
        <w:spacing w:line="360" w:lineRule="auto"/>
        <w:jc w:val="both"/>
        <w:rPr>
          <w:rFonts w:ascii="Arial" w:hAnsi="Arial" w:cs="Arial"/>
          <w:b/>
          <w:bCs/>
        </w:rPr>
      </w:pPr>
      <w:r w:rsidRPr="00207280">
        <w:rPr>
          <w:rFonts w:ascii="Arial" w:hAnsi="Arial" w:cs="Arial"/>
          <w:b/>
          <w:bCs/>
        </w:rPr>
        <w:t>CENTROS DE INTEGRACIÓN DE OPERACIONES (CIO) IMPULSANDO LA TOMA DE DECISIONES EN TIEMPO REAL EN LA MINERÍA PERUANA DEL FUTURO</w:t>
      </w:r>
    </w:p>
    <w:p w14:paraId="2D0B8D2D" w14:textId="77777777" w:rsidR="00696E6E" w:rsidRDefault="00696E6E" w:rsidP="00207280">
      <w:pPr>
        <w:spacing w:line="360" w:lineRule="auto"/>
        <w:jc w:val="both"/>
        <w:rPr>
          <w:rFonts w:ascii="Arial" w:hAnsi="Arial" w:cs="Arial"/>
        </w:rPr>
      </w:pPr>
      <w:r w:rsidRPr="00207280">
        <w:rPr>
          <w:rFonts w:ascii="Arial" w:hAnsi="Arial" w:cs="Arial"/>
        </w:rPr>
        <w:t>Categoría: Minería 4.0 / Sistemas de control e integración de operaciones.</w:t>
      </w:r>
    </w:p>
    <w:p w14:paraId="3D9C1AFD" w14:textId="6E7BC50E" w:rsidR="002A2511" w:rsidRPr="00207280" w:rsidRDefault="002A2511" w:rsidP="00207280">
      <w:pPr>
        <w:spacing w:line="360" w:lineRule="auto"/>
        <w:jc w:val="both"/>
        <w:rPr>
          <w:rFonts w:ascii="Arial" w:hAnsi="Arial" w:cs="Arial"/>
        </w:rPr>
      </w:pPr>
      <w:r>
        <w:rPr>
          <w:rFonts w:ascii="Arial" w:hAnsi="Arial" w:cs="Arial"/>
        </w:rPr>
        <w:t>Palabras claves: Centro de integración de operaciones, centralización de datos, eficiencia operativa, minería 4.0, digital control room, data lakehouse.</w:t>
      </w:r>
    </w:p>
    <w:p w14:paraId="479248F4" w14:textId="77777777" w:rsidR="001621A7" w:rsidRPr="00207280" w:rsidRDefault="001621A7" w:rsidP="00207280">
      <w:pPr>
        <w:spacing w:line="360" w:lineRule="auto"/>
        <w:jc w:val="both"/>
        <w:rPr>
          <w:rFonts w:ascii="Arial" w:hAnsi="Arial" w:cs="Arial"/>
          <w:b/>
          <w:bCs/>
        </w:rPr>
      </w:pPr>
      <w:r w:rsidRPr="00207280">
        <w:rPr>
          <w:rFonts w:ascii="Arial" w:hAnsi="Arial" w:cs="Arial"/>
          <w:b/>
          <w:bCs/>
        </w:rPr>
        <w:t>1. Contexto</w:t>
      </w:r>
    </w:p>
    <w:p w14:paraId="6BB5188E" w14:textId="59074576" w:rsidR="001621A7" w:rsidRPr="00207280" w:rsidRDefault="001621A7" w:rsidP="00207280">
      <w:pPr>
        <w:spacing w:line="360" w:lineRule="auto"/>
        <w:jc w:val="both"/>
        <w:rPr>
          <w:rFonts w:ascii="Arial" w:hAnsi="Arial" w:cs="Arial"/>
        </w:rPr>
      </w:pPr>
      <w:r w:rsidRPr="00207280">
        <w:rPr>
          <w:rFonts w:ascii="Arial" w:hAnsi="Arial" w:cs="Arial"/>
        </w:rPr>
        <w:t>La minería peruana ha experimentado un crecimiento notable en los últimos años, consolidándose como un pilar fundamental de la economía nacional de la mano de su implementación de nuevas tecnologías. No obstante, persisten los desafíos clave frente a la fragmentación de datos operativos clave y la búsqueda continua de una visualización de información en “tiempo real”, lo que impide una gestión eficiente y sostenible de los procesos mineros.</w:t>
      </w:r>
    </w:p>
    <w:p w14:paraId="07C7F26D" w14:textId="77777777" w:rsidR="001621A7" w:rsidRPr="00207280" w:rsidRDefault="001621A7" w:rsidP="00207280">
      <w:pPr>
        <w:spacing w:line="360" w:lineRule="auto"/>
        <w:jc w:val="both"/>
        <w:rPr>
          <w:rFonts w:ascii="Arial" w:hAnsi="Arial" w:cs="Arial"/>
        </w:rPr>
      </w:pPr>
      <w:r w:rsidRPr="00207280">
        <w:rPr>
          <w:rFonts w:ascii="Arial" w:hAnsi="Arial" w:cs="Arial"/>
        </w:rPr>
        <w:t>Uno de los principales desafíos es que múltiples minas peruanas operan a la fecha con una infraestructura tecnológica heterogénea, donde sistemas de automatización, gestión empresarial, mantenimiento y control de procesos operan de manera aislada. Esta falta de integración impide un análisis unificado de los datos, afectando la toma de decisiones estratégicas y la eficiencia operativa.</w:t>
      </w:r>
    </w:p>
    <w:p w14:paraId="0C4569D1" w14:textId="77777777" w:rsidR="001621A7" w:rsidRPr="00207280" w:rsidRDefault="001621A7" w:rsidP="00207280">
      <w:pPr>
        <w:spacing w:line="360" w:lineRule="auto"/>
        <w:jc w:val="both"/>
        <w:rPr>
          <w:rFonts w:ascii="Arial" w:hAnsi="Arial" w:cs="Arial"/>
        </w:rPr>
      </w:pPr>
      <w:r w:rsidRPr="00207280">
        <w:rPr>
          <w:rFonts w:ascii="Arial" w:hAnsi="Arial" w:cs="Arial"/>
        </w:rPr>
        <w:t>Los Centros de Integración de Operaciones (CIO) siguen demostrado su eficacia en la industria minera y en otros sectores, permitiendo una visión unificada de las operaciones a través de la centralización de datos.</w:t>
      </w:r>
    </w:p>
    <w:p w14:paraId="3DFB9F23" w14:textId="77777777" w:rsidR="001621A7" w:rsidRPr="00207280" w:rsidRDefault="001621A7" w:rsidP="00207280">
      <w:pPr>
        <w:spacing w:line="360" w:lineRule="auto"/>
        <w:jc w:val="both"/>
        <w:rPr>
          <w:rFonts w:ascii="Arial" w:hAnsi="Arial" w:cs="Arial"/>
        </w:rPr>
      </w:pPr>
      <w:r w:rsidRPr="00207280">
        <w:rPr>
          <w:rFonts w:ascii="Arial" w:hAnsi="Arial" w:cs="Arial"/>
        </w:rPr>
        <w:t>Sin embargo, su adopción es baja debido a:</w:t>
      </w:r>
    </w:p>
    <w:p w14:paraId="7914E059" w14:textId="77777777" w:rsidR="001621A7" w:rsidRPr="00207280" w:rsidRDefault="001621A7" w:rsidP="00207280">
      <w:pPr>
        <w:spacing w:line="360" w:lineRule="auto"/>
        <w:jc w:val="both"/>
        <w:rPr>
          <w:rFonts w:ascii="Arial" w:hAnsi="Arial" w:cs="Arial"/>
        </w:rPr>
      </w:pPr>
      <w:r w:rsidRPr="00207280">
        <w:rPr>
          <w:rFonts w:ascii="Arial" w:hAnsi="Arial" w:cs="Arial"/>
        </w:rPr>
        <w:t>•</w:t>
      </w:r>
      <w:r w:rsidRPr="00207280">
        <w:rPr>
          <w:rFonts w:ascii="Arial" w:hAnsi="Arial" w:cs="Arial"/>
        </w:rPr>
        <w:tab/>
        <w:t>Altos costos iniciales de implementación.</w:t>
      </w:r>
    </w:p>
    <w:p w14:paraId="30EF9FFB" w14:textId="77777777" w:rsidR="001621A7" w:rsidRPr="00207280" w:rsidRDefault="001621A7" w:rsidP="00207280">
      <w:pPr>
        <w:spacing w:line="360" w:lineRule="auto"/>
        <w:jc w:val="both"/>
        <w:rPr>
          <w:rFonts w:ascii="Arial" w:hAnsi="Arial" w:cs="Arial"/>
        </w:rPr>
      </w:pPr>
      <w:r w:rsidRPr="00207280">
        <w:rPr>
          <w:rFonts w:ascii="Arial" w:hAnsi="Arial" w:cs="Arial"/>
        </w:rPr>
        <w:t>•</w:t>
      </w:r>
      <w:r w:rsidRPr="00207280">
        <w:rPr>
          <w:rFonts w:ascii="Arial" w:hAnsi="Arial" w:cs="Arial"/>
        </w:rPr>
        <w:tab/>
        <w:t>Resistencia organizacional al cambio digital.</w:t>
      </w:r>
    </w:p>
    <w:p w14:paraId="73D93E84" w14:textId="77777777" w:rsidR="001621A7" w:rsidRPr="00207280" w:rsidRDefault="001621A7" w:rsidP="00207280">
      <w:pPr>
        <w:spacing w:line="360" w:lineRule="auto"/>
        <w:jc w:val="both"/>
        <w:rPr>
          <w:rFonts w:ascii="Arial" w:hAnsi="Arial" w:cs="Arial"/>
        </w:rPr>
      </w:pPr>
      <w:r w:rsidRPr="00207280">
        <w:rPr>
          <w:rFonts w:ascii="Arial" w:hAnsi="Arial" w:cs="Arial"/>
        </w:rPr>
        <w:t>•</w:t>
      </w:r>
      <w:r w:rsidRPr="00207280">
        <w:rPr>
          <w:rFonts w:ascii="Arial" w:hAnsi="Arial" w:cs="Arial"/>
        </w:rPr>
        <w:tab/>
        <w:t>Falta de infraestructura y conectividad en operaciones remotas.</w:t>
      </w:r>
    </w:p>
    <w:p w14:paraId="70404217" w14:textId="77777777" w:rsidR="001621A7" w:rsidRPr="00207280" w:rsidRDefault="001621A7" w:rsidP="00207280">
      <w:pPr>
        <w:spacing w:line="360" w:lineRule="auto"/>
        <w:jc w:val="both"/>
        <w:rPr>
          <w:rFonts w:ascii="Arial" w:hAnsi="Arial" w:cs="Arial"/>
        </w:rPr>
      </w:pPr>
      <w:r w:rsidRPr="00207280">
        <w:rPr>
          <w:rFonts w:ascii="Arial" w:hAnsi="Arial" w:cs="Arial"/>
        </w:rPr>
        <w:t>•</w:t>
      </w:r>
      <w:r w:rsidRPr="00207280">
        <w:rPr>
          <w:rFonts w:ascii="Arial" w:hAnsi="Arial" w:cs="Arial"/>
        </w:rPr>
        <w:tab/>
        <w:t>Desconocimiento sobre metodologías de integración progresiva.</w:t>
      </w:r>
    </w:p>
    <w:p w14:paraId="60731C4B" w14:textId="2F9A99B3" w:rsidR="001621A7" w:rsidRPr="00207280" w:rsidRDefault="001621A7" w:rsidP="00207280">
      <w:pPr>
        <w:spacing w:line="360" w:lineRule="auto"/>
        <w:jc w:val="both"/>
        <w:rPr>
          <w:rFonts w:ascii="Arial" w:hAnsi="Arial" w:cs="Arial"/>
        </w:rPr>
      </w:pPr>
      <w:r w:rsidRPr="00207280">
        <w:rPr>
          <w:rFonts w:ascii="Arial" w:hAnsi="Arial" w:cs="Arial"/>
        </w:rPr>
        <w:t>Este estudio busca abordar esta problemática proponiendo una estrategia escalonada para que empresas sin un CIO puedan avanzar en su transformación digital de manera viable y efectiva.</w:t>
      </w:r>
    </w:p>
    <w:p w14:paraId="1593C2DE" w14:textId="4BB34DB1" w:rsidR="001621A7" w:rsidRPr="00207280" w:rsidRDefault="001621A7" w:rsidP="00207280">
      <w:pPr>
        <w:spacing w:line="360" w:lineRule="auto"/>
        <w:jc w:val="both"/>
        <w:rPr>
          <w:rFonts w:ascii="Arial" w:hAnsi="Arial" w:cs="Arial"/>
          <w:b/>
          <w:bCs/>
        </w:rPr>
      </w:pPr>
      <w:r w:rsidRPr="00207280">
        <w:rPr>
          <w:rFonts w:ascii="Arial" w:hAnsi="Arial" w:cs="Arial"/>
          <w:b/>
          <w:bCs/>
        </w:rPr>
        <w:t>2. Objetivo</w:t>
      </w:r>
    </w:p>
    <w:p w14:paraId="0AB6E118" w14:textId="77777777" w:rsidR="001621A7" w:rsidRPr="00207280" w:rsidRDefault="001621A7" w:rsidP="00207280">
      <w:pPr>
        <w:spacing w:line="360" w:lineRule="auto"/>
        <w:jc w:val="both"/>
        <w:rPr>
          <w:rFonts w:ascii="Arial" w:hAnsi="Arial" w:cs="Arial"/>
        </w:rPr>
      </w:pPr>
      <w:r w:rsidRPr="00207280">
        <w:rPr>
          <w:rFonts w:ascii="Arial" w:hAnsi="Arial" w:cs="Arial"/>
        </w:rPr>
        <w:t xml:space="preserve">El presente trabajo tiene como objetivo proponer una estrategia técnica de integración de datos en la minería peruana, basada en principios de interoperabilidad, arquitectura </w:t>
      </w:r>
      <w:r w:rsidRPr="00207280">
        <w:rPr>
          <w:rFonts w:ascii="Arial" w:hAnsi="Arial" w:cs="Arial"/>
        </w:rPr>
        <w:lastRenderedPageBreak/>
        <w:t>flexible y escalabilidad. La propuesta busca demostrar que es posible avanzar hacia un modelo de gestión centralizada, con visualización en tiempo real y mayor eficiencia operativa, sin depender de inversiones disruptivas.</w:t>
      </w:r>
    </w:p>
    <w:p w14:paraId="5C5D394D" w14:textId="27ABF3DB" w:rsidR="001621A7" w:rsidRPr="00207280" w:rsidRDefault="001621A7" w:rsidP="00207280">
      <w:pPr>
        <w:spacing w:line="360" w:lineRule="auto"/>
        <w:jc w:val="both"/>
        <w:rPr>
          <w:rFonts w:ascii="Arial" w:hAnsi="Arial" w:cs="Arial"/>
          <w:b/>
          <w:bCs/>
        </w:rPr>
      </w:pPr>
      <w:r w:rsidRPr="00207280">
        <w:rPr>
          <w:rFonts w:ascii="Arial" w:hAnsi="Arial" w:cs="Arial"/>
          <w:b/>
          <w:bCs/>
        </w:rPr>
        <w:t>3. Metodología</w:t>
      </w:r>
    </w:p>
    <w:p w14:paraId="4B4EC56D" w14:textId="02DAAF9F" w:rsidR="001621A7" w:rsidRPr="00207280" w:rsidRDefault="001621A7" w:rsidP="00207280">
      <w:pPr>
        <w:spacing w:line="360" w:lineRule="auto"/>
        <w:jc w:val="both"/>
        <w:rPr>
          <w:rFonts w:ascii="Arial" w:hAnsi="Arial" w:cs="Arial"/>
        </w:rPr>
      </w:pPr>
      <w:r w:rsidRPr="00207280">
        <w:rPr>
          <w:rFonts w:ascii="Arial" w:hAnsi="Arial" w:cs="Arial"/>
        </w:rPr>
        <w:t>Se diseñó una solución basada en una Plataforma de Gestión Centralizada de Datos con arquitectura Data Lakehouse, que permite recopilar, estructurar y analizar información en tiempo real desde diversas fuentes operativas y empresariales. Esta plataforma ha sido concebida para integrarse progresivamente con sistemas existentes (ERP, historiadores, plataformas de mantenimiento, sensores IoT, entre otros), garantizando interoperabilidad sin necesidad de reemplazo de infraestructura. Como complemento, se plantea la implementación de Digital Control Rooms, que permiten una supervisión consolidada y ágil de toda la operación.</w:t>
      </w:r>
    </w:p>
    <w:p w14:paraId="259BE437" w14:textId="191496B7" w:rsidR="001621A7" w:rsidRPr="00207280" w:rsidRDefault="001621A7" w:rsidP="00207280">
      <w:pPr>
        <w:spacing w:line="360" w:lineRule="auto"/>
        <w:jc w:val="both"/>
        <w:rPr>
          <w:rFonts w:ascii="Arial" w:hAnsi="Arial" w:cs="Arial"/>
          <w:b/>
          <w:bCs/>
        </w:rPr>
      </w:pPr>
      <w:r w:rsidRPr="00207280">
        <w:rPr>
          <w:rFonts w:ascii="Arial" w:hAnsi="Arial" w:cs="Arial"/>
          <w:b/>
          <w:bCs/>
        </w:rPr>
        <w:t>4. Resultados</w:t>
      </w:r>
    </w:p>
    <w:p w14:paraId="6B6C23F5" w14:textId="04B46D76" w:rsidR="00207280" w:rsidRPr="00207280" w:rsidRDefault="00207280" w:rsidP="00207280">
      <w:pPr>
        <w:spacing w:line="360" w:lineRule="auto"/>
        <w:jc w:val="both"/>
        <w:rPr>
          <w:rFonts w:ascii="Arial" w:hAnsi="Arial" w:cs="Arial"/>
        </w:rPr>
      </w:pPr>
      <w:r w:rsidRPr="00207280">
        <w:rPr>
          <w:rFonts w:ascii="Arial" w:hAnsi="Arial" w:cs="Arial"/>
        </w:rPr>
        <w:t>La implementación de una plataforma de gestión centralizada de datos, junto con la digitalización de los centros de control, ofrece beneficios concretos que fortalecen la eficiencia operativa y la sostenibilidad del sector minero. Esta solución permite pasar de una supervisión reactiva a una gestión predictiva de las operaciones, maximizando el uso de datos para anticiparse a eventos críticos.</w:t>
      </w:r>
    </w:p>
    <w:p w14:paraId="25215AA1" w14:textId="58B72287" w:rsidR="00207280" w:rsidRPr="00207280" w:rsidRDefault="00207280" w:rsidP="00207280">
      <w:pPr>
        <w:spacing w:line="360" w:lineRule="auto"/>
        <w:jc w:val="both"/>
        <w:rPr>
          <w:rFonts w:ascii="Arial" w:hAnsi="Arial" w:cs="Arial"/>
        </w:rPr>
      </w:pPr>
      <w:r w:rsidRPr="00207280">
        <w:rPr>
          <w:rFonts w:ascii="Arial" w:hAnsi="Arial" w:cs="Arial"/>
        </w:rPr>
        <w:t xml:space="preserve">Entre los beneficios más relevantes se encuentra la capacidad de identificar y actuar sobre problemas operativos incipientes, habilitando la hipervisión en tiempo real de condiciones que afectan la continuidad del proceso. </w:t>
      </w:r>
    </w:p>
    <w:p w14:paraId="5C18BFCE" w14:textId="18D8083C" w:rsidR="00207280" w:rsidRPr="00207280" w:rsidRDefault="00207280" w:rsidP="00207280">
      <w:pPr>
        <w:spacing w:line="360" w:lineRule="auto"/>
        <w:jc w:val="both"/>
        <w:rPr>
          <w:rFonts w:ascii="Arial" w:hAnsi="Arial" w:cs="Arial"/>
        </w:rPr>
      </w:pPr>
      <w:r w:rsidRPr="00207280">
        <w:rPr>
          <w:rFonts w:ascii="Arial" w:hAnsi="Arial" w:cs="Arial"/>
        </w:rPr>
        <w:t>Asimismo, se facilita el monitoreo constante del estado de activos estratégicos, permitiendo evaluar su desempeño bajo condiciones reales y proyectar su vida útil con mayor precisión. De manera concreta, la plataforma permite:</w:t>
      </w:r>
    </w:p>
    <w:p w14:paraId="3C832F3B" w14:textId="77777777" w:rsidR="00207280" w:rsidRPr="00207280" w:rsidRDefault="00207280" w:rsidP="00207280">
      <w:pPr>
        <w:spacing w:line="360" w:lineRule="auto"/>
        <w:jc w:val="both"/>
        <w:rPr>
          <w:rFonts w:ascii="Arial" w:hAnsi="Arial" w:cs="Arial"/>
        </w:rPr>
      </w:pPr>
      <w:r w:rsidRPr="00207280">
        <w:rPr>
          <w:rFonts w:ascii="Arial" w:hAnsi="Arial" w:cs="Arial"/>
        </w:rPr>
        <w:t>•</w:t>
      </w:r>
      <w:r w:rsidRPr="00207280">
        <w:rPr>
          <w:rFonts w:ascii="Arial" w:hAnsi="Arial" w:cs="Arial"/>
        </w:rPr>
        <w:tab/>
        <w:t>Reaccionar y anticiparse a fallos mediante hipervisión integrada.</w:t>
      </w:r>
    </w:p>
    <w:p w14:paraId="0FB7CBC5" w14:textId="77777777" w:rsidR="00207280" w:rsidRPr="00207280" w:rsidRDefault="00207280" w:rsidP="00207280">
      <w:pPr>
        <w:spacing w:line="360" w:lineRule="auto"/>
        <w:jc w:val="both"/>
        <w:rPr>
          <w:rFonts w:ascii="Arial" w:hAnsi="Arial" w:cs="Arial"/>
        </w:rPr>
      </w:pPr>
      <w:r w:rsidRPr="00207280">
        <w:rPr>
          <w:rFonts w:ascii="Arial" w:hAnsi="Arial" w:cs="Arial"/>
        </w:rPr>
        <w:t>•</w:t>
      </w:r>
      <w:r w:rsidRPr="00207280">
        <w:rPr>
          <w:rFonts w:ascii="Arial" w:hAnsi="Arial" w:cs="Arial"/>
        </w:rPr>
        <w:tab/>
        <w:t>Monitorear la condición y comportamiento de activos críticos.</w:t>
      </w:r>
    </w:p>
    <w:p w14:paraId="1910F62C" w14:textId="77777777" w:rsidR="00207280" w:rsidRPr="00207280" w:rsidRDefault="00207280" w:rsidP="00207280">
      <w:pPr>
        <w:spacing w:line="360" w:lineRule="auto"/>
        <w:jc w:val="both"/>
        <w:rPr>
          <w:rFonts w:ascii="Arial" w:hAnsi="Arial" w:cs="Arial"/>
        </w:rPr>
      </w:pPr>
      <w:r w:rsidRPr="00207280">
        <w:rPr>
          <w:rFonts w:ascii="Arial" w:hAnsi="Arial" w:cs="Arial"/>
        </w:rPr>
        <w:t>•</w:t>
      </w:r>
      <w:r w:rsidRPr="00207280">
        <w:rPr>
          <w:rFonts w:ascii="Arial" w:hAnsi="Arial" w:cs="Arial"/>
        </w:rPr>
        <w:tab/>
        <w:t>Predecir la vida útil de equipos en función de sus condiciones operativas actuales.</w:t>
      </w:r>
    </w:p>
    <w:p w14:paraId="3AC0B2E7" w14:textId="77777777" w:rsidR="00207280" w:rsidRPr="00207280" w:rsidRDefault="00207280" w:rsidP="00207280">
      <w:pPr>
        <w:spacing w:line="360" w:lineRule="auto"/>
        <w:jc w:val="both"/>
        <w:rPr>
          <w:rFonts w:ascii="Arial" w:hAnsi="Arial" w:cs="Arial"/>
        </w:rPr>
      </w:pPr>
      <w:r w:rsidRPr="00207280">
        <w:rPr>
          <w:rFonts w:ascii="Arial" w:hAnsi="Arial" w:cs="Arial"/>
        </w:rPr>
        <w:t>•</w:t>
      </w:r>
      <w:r w:rsidRPr="00207280">
        <w:rPr>
          <w:rFonts w:ascii="Arial" w:hAnsi="Arial" w:cs="Arial"/>
        </w:rPr>
        <w:tab/>
        <w:t>Mejorar la toma de decisiones tácticas y estratégicas en entornos complejos.</w:t>
      </w:r>
    </w:p>
    <w:p w14:paraId="37E7D6BF" w14:textId="32C09A66" w:rsidR="00207280" w:rsidRPr="00207280" w:rsidRDefault="00207280" w:rsidP="00207280">
      <w:pPr>
        <w:spacing w:line="360" w:lineRule="auto"/>
        <w:jc w:val="both"/>
        <w:rPr>
          <w:rFonts w:ascii="Arial" w:hAnsi="Arial" w:cs="Arial"/>
        </w:rPr>
      </w:pPr>
      <w:r w:rsidRPr="00207280">
        <w:rPr>
          <w:rFonts w:ascii="Arial" w:hAnsi="Arial" w:cs="Arial"/>
        </w:rPr>
        <w:t>•</w:t>
      </w:r>
      <w:r w:rsidRPr="00207280">
        <w:rPr>
          <w:rFonts w:ascii="Arial" w:hAnsi="Arial" w:cs="Arial"/>
        </w:rPr>
        <w:tab/>
        <w:t>Reducir costos por fallas no planificadas y optimizar los recursos de mantenimiento.</w:t>
      </w:r>
    </w:p>
    <w:p w14:paraId="34FE925E" w14:textId="54263474" w:rsidR="00207280" w:rsidRPr="00207280" w:rsidRDefault="00207280" w:rsidP="00207280">
      <w:pPr>
        <w:spacing w:line="360" w:lineRule="auto"/>
        <w:jc w:val="both"/>
        <w:rPr>
          <w:rFonts w:ascii="Arial" w:hAnsi="Arial" w:cs="Arial"/>
        </w:rPr>
      </w:pPr>
      <w:r w:rsidRPr="00207280">
        <w:rPr>
          <w:rFonts w:ascii="Arial" w:hAnsi="Arial" w:cs="Arial"/>
        </w:rPr>
        <w:lastRenderedPageBreak/>
        <w:t>Estos beneficios fortalecen la transición de la minería peruana hacia una gestión más digital, integrada y resiliente, consolidando una base tecnológica sólida para el futuro del sector.</w:t>
      </w:r>
    </w:p>
    <w:p w14:paraId="0F8FC733" w14:textId="7E4974CC" w:rsidR="00207280" w:rsidRPr="00207280" w:rsidRDefault="00207280" w:rsidP="00207280">
      <w:pPr>
        <w:spacing w:line="360" w:lineRule="auto"/>
        <w:jc w:val="both"/>
        <w:rPr>
          <w:rFonts w:ascii="Arial" w:hAnsi="Arial" w:cs="Arial"/>
          <w:b/>
          <w:bCs/>
        </w:rPr>
      </w:pPr>
      <w:r w:rsidRPr="00207280">
        <w:rPr>
          <w:rFonts w:ascii="Arial" w:hAnsi="Arial" w:cs="Arial"/>
          <w:b/>
          <w:bCs/>
        </w:rPr>
        <w:t>5. Conclusión</w:t>
      </w:r>
    </w:p>
    <w:p w14:paraId="5EAF9AFB" w14:textId="25AF7FFC" w:rsidR="00207280" w:rsidRPr="00207280" w:rsidRDefault="00207280" w:rsidP="00207280">
      <w:pPr>
        <w:spacing w:line="360" w:lineRule="auto"/>
        <w:jc w:val="both"/>
        <w:rPr>
          <w:rFonts w:ascii="Arial" w:hAnsi="Arial" w:cs="Arial"/>
        </w:rPr>
      </w:pPr>
      <w:r w:rsidRPr="00207280">
        <w:rPr>
          <w:rFonts w:ascii="Arial" w:hAnsi="Arial" w:cs="Arial"/>
        </w:rPr>
        <w:t>La minería peruana actualmente genera grandes volúmenes de datos provenientes de diversas fuentes, incluyendo sistemas de control industrial (DCS), plataformas de mantenimiento, sensores IoT, sistemas eléctricos, software de fiabilidad y herramientas de gestión ambiental (HSE). Sin embargo, la falta de integración entre estos sistemas da lugar a silos de información, lo que limita la capacidad de análisis en tiempo real y dificulta la toma de decisiones estratégicas basadas en información consolidada.</w:t>
      </w:r>
    </w:p>
    <w:p w14:paraId="685A67A2" w14:textId="51231F43" w:rsidR="00207280" w:rsidRDefault="00207280" w:rsidP="00207280">
      <w:pPr>
        <w:spacing w:line="360" w:lineRule="auto"/>
        <w:jc w:val="both"/>
        <w:rPr>
          <w:rFonts w:ascii="Arial" w:hAnsi="Arial" w:cs="Arial"/>
        </w:rPr>
      </w:pPr>
      <w:r w:rsidRPr="00207280">
        <w:rPr>
          <w:rFonts w:ascii="Arial" w:hAnsi="Arial" w:cs="Arial"/>
        </w:rPr>
        <w:t>Este enfoque técnico demuestra que la minería peruana puede transitar hacia una operación digital, interconectada y sostenible mediante la implementación progresiva de una plataforma de datos centralizada. Se recomienda adoptar esta arquitectura como base para futuras iniciativas de transformación digital, debido a su impacto directo en la eficiencia, resiliencia operativa y competitividad del sector.</w:t>
      </w:r>
    </w:p>
    <w:p w14:paraId="41F01BE8" w14:textId="7FEE7306" w:rsidR="00207280" w:rsidRPr="00207280" w:rsidRDefault="00207280" w:rsidP="00207280">
      <w:pPr>
        <w:spacing w:line="360" w:lineRule="auto"/>
        <w:jc w:val="both"/>
        <w:rPr>
          <w:rFonts w:ascii="Arial" w:hAnsi="Arial" w:cs="Arial"/>
          <w:b/>
          <w:bCs/>
        </w:rPr>
      </w:pPr>
      <w:r w:rsidRPr="00207280">
        <w:rPr>
          <w:rFonts w:ascii="Arial" w:hAnsi="Arial" w:cs="Arial"/>
          <w:b/>
          <w:bCs/>
        </w:rPr>
        <w:t>6. Autores</w:t>
      </w:r>
    </w:p>
    <w:p w14:paraId="569D2005" w14:textId="54AFE50A" w:rsidR="00207280" w:rsidRPr="00207280" w:rsidRDefault="00207280" w:rsidP="00207280">
      <w:pPr>
        <w:spacing w:line="360" w:lineRule="auto"/>
        <w:jc w:val="both"/>
        <w:rPr>
          <w:rFonts w:ascii="Arial" w:hAnsi="Arial" w:cs="Arial"/>
        </w:rPr>
      </w:pPr>
      <w:r w:rsidRPr="00207280">
        <w:rPr>
          <w:rFonts w:ascii="Arial" w:hAnsi="Arial" w:cs="Arial"/>
          <w:b/>
          <w:bCs/>
          <w:u w:val="single"/>
        </w:rPr>
        <w:t>Primer Autor</w:t>
      </w:r>
      <w:r w:rsidRPr="00207280">
        <w:rPr>
          <w:rFonts w:ascii="Arial" w:hAnsi="Arial" w:cs="Arial"/>
        </w:rPr>
        <w:t xml:space="preserve"> Ing. Carlos Gonzales Diaz. Ingeniero Industrial de la Universidad Ricardo Palma, con 04 años de experiencia en el desarrollo de nuevos negocios y soluciones de innovación en el sector minero y eléctrico; experiencia en la gestión de proyectos de tecnología, automatización y control. Actualmente es Coordinador de Innovación y Transformación Digital y CISO en la Compañía PROCETRADI S.A.C en Lima-Perú.</w:t>
      </w:r>
      <w:r>
        <w:rPr>
          <w:rFonts w:ascii="Arial" w:hAnsi="Arial" w:cs="Arial"/>
        </w:rPr>
        <w:t xml:space="preserve"> Correo corporativo: </w:t>
      </w:r>
      <w:r w:rsidRPr="00207280">
        <w:rPr>
          <w:rFonts w:ascii="Arial" w:hAnsi="Arial" w:cs="Arial"/>
        </w:rPr>
        <w:t>cgonzales@procetradi.com</w:t>
      </w:r>
      <w:r>
        <w:rPr>
          <w:rFonts w:ascii="Arial" w:hAnsi="Arial" w:cs="Arial"/>
        </w:rPr>
        <w:t xml:space="preserve"> / Celular: </w:t>
      </w:r>
      <w:r w:rsidRPr="00207280">
        <w:rPr>
          <w:rFonts w:ascii="Arial" w:hAnsi="Arial" w:cs="Arial"/>
        </w:rPr>
        <w:t>+51 955 120 348</w:t>
      </w:r>
    </w:p>
    <w:p w14:paraId="22F7BCE9" w14:textId="7FD7727E" w:rsidR="00207280" w:rsidRPr="00207280" w:rsidRDefault="00207280" w:rsidP="00207280">
      <w:pPr>
        <w:spacing w:line="360" w:lineRule="auto"/>
        <w:jc w:val="both"/>
        <w:rPr>
          <w:rFonts w:ascii="Arial" w:hAnsi="Arial" w:cs="Arial"/>
        </w:rPr>
      </w:pPr>
      <w:r w:rsidRPr="00207280">
        <w:rPr>
          <w:rFonts w:ascii="Arial" w:hAnsi="Arial" w:cs="Arial"/>
          <w:b/>
          <w:bCs/>
          <w:u w:val="single"/>
        </w:rPr>
        <w:t>Co Autor</w:t>
      </w:r>
      <w:r w:rsidRPr="00207280">
        <w:rPr>
          <w:rFonts w:ascii="Arial" w:hAnsi="Arial" w:cs="Arial"/>
        </w:rPr>
        <w:t xml:space="preserve"> Mba. Ing. CIP Will Medina Peralta. Ingeniero Electrónico de la Universidad Nacional de Ingeniería, con más de 25 años de experiencia en el desarrollo de negocios de ingeniería y soluciones, adaptando con facilidad tecnologías complejas de forma simple a distintos sectores de impacto en el Perú, garantizando su continuidad y continua innovación. Actualmente es CEO en la Compañía PROCETRADI S.A.C en Lima-Perú.</w:t>
      </w:r>
      <w:r>
        <w:rPr>
          <w:rFonts w:ascii="Arial" w:hAnsi="Arial" w:cs="Arial"/>
        </w:rPr>
        <w:t xml:space="preserve"> Correo corporativo: </w:t>
      </w:r>
      <w:r w:rsidRPr="00207280">
        <w:rPr>
          <w:rFonts w:ascii="Arial" w:hAnsi="Arial" w:cs="Arial"/>
        </w:rPr>
        <w:t>wmedina@procetradi.com</w:t>
      </w:r>
      <w:r>
        <w:rPr>
          <w:rFonts w:ascii="Arial" w:hAnsi="Arial" w:cs="Arial"/>
        </w:rPr>
        <w:t xml:space="preserve"> / Celular: </w:t>
      </w:r>
      <w:r w:rsidRPr="00207280">
        <w:rPr>
          <w:rFonts w:ascii="Arial" w:hAnsi="Arial" w:cs="Arial"/>
        </w:rPr>
        <w:t>+51 999 912 136</w:t>
      </w:r>
    </w:p>
    <w:p w14:paraId="184E6450" w14:textId="53A1AC8E" w:rsidR="00207280" w:rsidRPr="00207280" w:rsidRDefault="00207280" w:rsidP="00207280">
      <w:pPr>
        <w:spacing w:line="360" w:lineRule="auto"/>
        <w:jc w:val="both"/>
        <w:rPr>
          <w:rFonts w:ascii="Arial" w:hAnsi="Arial" w:cs="Arial"/>
        </w:rPr>
      </w:pPr>
      <w:r w:rsidRPr="00207280">
        <w:rPr>
          <w:rFonts w:ascii="Arial" w:hAnsi="Arial" w:cs="Arial"/>
          <w:b/>
          <w:bCs/>
          <w:u w:val="single"/>
        </w:rPr>
        <w:t>Co Autor</w:t>
      </w:r>
      <w:r w:rsidRPr="00207280">
        <w:rPr>
          <w:rFonts w:ascii="Arial" w:hAnsi="Arial" w:cs="Arial"/>
        </w:rPr>
        <w:t xml:space="preserve"> Ing. Angel Navarro La Rosa, Ingeniero Eléctrico de la Universidad Nacional de Ingeniería con más de 07 años de experiencia en el área de Automatización de procesos críticos. Actualmente es Sales &amp; Solution Configuration Manager en la Compañía PROCETRADI S.A.C en Lima-Perú.</w:t>
      </w:r>
      <w:r>
        <w:rPr>
          <w:rFonts w:ascii="Arial" w:hAnsi="Arial" w:cs="Arial"/>
        </w:rPr>
        <w:t xml:space="preserve"> Correo corporativo: </w:t>
      </w:r>
      <w:r w:rsidRPr="00207280">
        <w:rPr>
          <w:rFonts w:ascii="Arial" w:hAnsi="Arial" w:cs="Arial"/>
        </w:rPr>
        <w:t>anavarro@procetradi.com</w:t>
      </w:r>
      <w:r>
        <w:rPr>
          <w:rFonts w:ascii="Arial" w:hAnsi="Arial" w:cs="Arial"/>
        </w:rPr>
        <w:t xml:space="preserve"> / Celular: </w:t>
      </w:r>
      <w:r w:rsidRPr="00207280">
        <w:rPr>
          <w:rFonts w:ascii="Arial" w:hAnsi="Arial" w:cs="Arial"/>
        </w:rPr>
        <w:t>+51 947 199 276</w:t>
      </w:r>
    </w:p>
    <w:sectPr w:rsidR="00207280" w:rsidRPr="0020728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E6E"/>
    <w:rsid w:val="001621A7"/>
    <w:rsid w:val="00207280"/>
    <w:rsid w:val="002A2511"/>
    <w:rsid w:val="003807D4"/>
    <w:rsid w:val="003C6315"/>
    <w:rsid w:val="003F2ACF"/>
    <w:rsid w:val="00696E6E"/>
    <w:rsid w:val="00710D57"/>
    <w:rsid w:val="008C42B9"/>
    <w:rsid w:val="008C46DC"/>
    <w:rsid w:val="009005E9"/>
    <w:rsid w:val="00A857FF"/>
    <w:rsid w:val="00AD4EB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C5389"/>
  <w15:chartTrackingRefBased/>
  <w15:docId w15:val="{45754CA7-6A19-490D-845D-5B8392617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96E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96E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96E6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96E6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96E6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96E6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96E6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96E6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96E6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6E6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96E6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96E6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96E6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96E6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96E6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96E6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96E6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96E6E"/>
    <w:rPr>
      <w:rFonts w:eastAsiaTheme="majorEastAsia" w:cstheme="majorBidi"/>
      <w:color w:val="272727" w:themeColor="text1" w:themeTint="D8"/>
    </w:rPr>
  </w:style>
  <w:style w:type="paragraph" w:styleId="Ttulo">
    <w:name w:val="Title"/>
    <w:basedOn w:val="Normal"/>
    <w:next w:val="Normal"/>
    <w:link w:val="TtuloCar"/>
    <w:uiPriority w:val="10"/>
    <w:qFormat/>
    <w:rsid w:val="00696E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96E6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96E6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96E6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96E6E"/>
    <w:pPr>
      <w:spacing w:before="160"/>
      <w:jc w:val="center"/>
    </w:pPr>
    <w:rPr>
      <w:i/>
      <w:iCs/>
      <w:color w:val="404040" w:themeColor="text1" w:themeTint="BF"/>
    </w:rPr>
  </w:style>
  <w:style w:type="character" w:customStyle="1" w:styleId="CitaCar">
    <w:name w:val="Cita Car"/>
    <w:basedOn w:val="Fuentedeprrafopredeter"/>
    <w:link w:val="Cita"/>
    <w:uiPriority w:val="29"/>
    <w:rsid w:val="00696E6E"/>
    <w:rPr>
      <w:i/>
      <w:iCs/>
      <w:color w:val="404040" w:themeColor="text1" w:themeTint="BF"/>
    </w:rPr>
  </w:style>
  <w:style w:type="paragraph" w:styleId="Prrafodelista">
    <w:name w:val="List Paragraph"/>
    <w:basedOn w:val="Normal"/>
    <w:uiPriority w:val="34"/>
    <w:qFormat/>
    <w:rsid w:val="00696E6E"/>
    <w:pPr>
      <w:ind w:left="720"/>
      <w:contextualSpacing/>
    </w:pPr>
  </w:style>
  <w:style w:type="character" w:styleId="nfasisintenso">
    <w:name w:val="Intense Emphasis"/>
    <w:basedOn w:val="Fuentedeprrafopredeter"/>
    <w:uiPriority w:val="21"/>
    <w:qFormat/>
    <w:rsid w:val="00696E6E"/>
    <w:rPr>
      <w:i/>
      <w:iCs/>
      <w:color w:val="0F4761" w:themeColor="accent1" w:themeShade="BF"/>
    </w:rPr>
  </w:style>
  <w:style w:type="paragraph" w:styleId="Citadestacada">
    <w:name w:val="Intense Quote"/>
    <w:basedOn w:val="Normal"/>
    <w:next w:val="Normal"/>
    <w:link w:val="CitadestacadaCar"/>
    <w:uiPriority w:val="30"/>
    <w:qFormat/>
    <w:rsid w:val="00696E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96E6E"/>
    <w:rPr>
      <w:i/>
      <w:iCs/>
      <w:color w:val="0F4761" w:themeColor="accent1" w:themeShade="BF"/>
    </w:rPr>
  </w:style>
  <w:style w:type="character" w:styleId="Referenciaintensa">
    <w:name w:val="Intense Reference"/>
    <w:basedOn w:val="Fuentedeprrafopredeter"/>
    <w:uiPriority w:val="32"/>
    <w:qFormat/>
    <w:rsid w:val="00696E6E"/>
    <w:rPr>
      <w:b/>
      <w:bCs/>
      <w:smallCaps/>
      <w:color w:val="0F4761" w:themeColor="accent1" w:themeShade="BF"/>
      <w:spacing w:val="5"/>
    </w:rPr>
  </w:style>
  <w:style w:type="character" w:styleId="Hipervnculo">
    <w:name w:val="Hyperlink"/>
    <w:basedOn w:val="Fuentedeprrafopredeter"/>
    <w:uiPriority w:val="99"/>
    <w:unhideWhenUsed/>
    <w:rsid w:val="00207280"/>
    <w:rPr>
      <w:color w:val="467886" w:themeColor="hyperlink"/>
      <w:u w:val="single"/>
    </w:rPr>
  </w:style>
  <w:style w:type="character" w:styleId="Mencinsinresolver">
    <w:name w:val="Unresolved Mention"/>
    <w:basedOn w:val="Fuentedeprrafopredeter"/>
    <w:uiPriority w:val="99"/>
    <w:semiHidden/>
    <w:unhideWhenUsed/>
    <w:rsid w:val="002072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1018</Words>
  <Characters>5601</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Gonzales</dc:creator>
  <cp:keywords/>
  <dc:description/>
  <cp:lastModifiedBy>Carla Bustamante</cp:lastModifiedBy>
  <cp:revision>3</cp:revision>
  <dcterms:created xsi:type="dcterms:W3CDTF">2025-04-21T16:01:00Z</dcterms:created>
  <dcterms:modified xsi:type="dcterms:W3CDTF">2025-04-21T16:03:00Z</dcterms:modified>
</cp:coreProperties>
</file>