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4CBE5945"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04210E" w:rsidRPr="0004210E">
        <w:rPr>
          <w:rFonts w:ascii="Arial" w:hAnsi="Arial" w:cs="Arial"/>
          <w:bCs/>
          <w:lang w:val="es-PE"/>
        </w:rPr>
        <w:t>Mejora de recuperación de oro con Injection Leaching en Newmont Yanacocha</w:t>
      </w:r>
    </w:p>
    <w:p w14:paraId="7DD33A35" w14:textId="49A19E34"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2624C8" w:rsidRPr="002624C8">
        <w:rPr>
          <w:rFonts w:ascii="Arial" w:hAnsi="Arial" w:cs="Arial"/>
          <w:lang w:val="es-PE"/>
        </w:rPr>
        <w:t>Procesamiento de Minerales y Metalurgia Extractiva</w:t>
      </w:r>
    </w:p>
    <w:p w14:paraId="438A99A0" w14:textId="6247F3C4"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EF1AF7" w:rsidRPr="00EF1AF7">
        <w:rPr>
          <w:rFonts w:ascii="Arial" w:hAnsi="Arial" w:cs="Arial"/>
          <w:lang w:val="es-PE"/>
        </w:rPr>
        <w:t>Optimización de operaciones y procesos en plantas</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5E5FEF19" w:rsidR="00501E63" w:rsidRDefault="00756128" w:rsidP="004203A0">
      <w:pPr>
        <w:pStyle w:val="Prrafodelista"/>
        <w:numPr>
          <w:ilvl w:val="0"/>
          <w:numId w:val="8"/>
        </w:numPr>
        <w:pBdr>
          <w:bottom w:val="single" w:sz="12" w:space="1" w:color="auto"/>
        </w:pBdr>
        <w:spacing w:after="0" w:line="360" w:lineRule="auto"/>
        <w:ind w:left="284" w:hanging="284"/>
        <w:rPr>
          <w:rFonts w:ascii="Arial" w:hAnsi="Arial" w:cs="Arial"/>
          <w:lang w:val="es-PE"/>
        </w:rPr>
      </w:pPr>
      <w:r>
        <w:rPr>
          <w:rFonts w:ascii="Arial" w:hAnsi="Arial" w:cs="Arial"/>
          <w:lang w:val="es-PE"/>
        </w:rPr>
        <w:t>Fabio Francisco Loyola Moreno</w:t>
      </w:r>
      <w:r w:rsidR="00501E63" w:rsidRPr="00501E63">
        <w:rPr>
          <w:rFonts w:ascii="Arial" w:hAnsi="Arial" w:cs="Arial"/>
          <w:lang w:val="es-PE"/>
        </w:rPr>
        <w:t xml:space="preserve">, </w:t>
      </w:r>
      <w:proofErr w:type="spellStart"/>
      <w:r w:rsidR="00501E63" w:rsidRPr="00501E63">
        <w:rPr>
          <w:rFonts w:ascii="Arial" w:hAnsi="Arial" w:cs="Arial"/>
          <w:lang w:val="es-PE"/>
        </w:rPr>
        <w:t>Newmont</w:t>
      </w:r>
      <w:proofErr w:type="spellEnd"/>
      <w:r w:rsidR="00501E63" w:rsidRPr="00501E63">
        <w:rPr>
          <w:rFonts w:ascii="Arial" w:hAnsi="Arial" w:cs="Arial"/>
          <w:lang w:val="es-PE"/>
        </w:rPr>
        <w:t xml:space="preserve"> - Yanacocha, </w:t>
      </w:r>
      <w:proofErr w:type="spellStart"/>
      <w:r w:rsidR="000A05BF">
        <w:rPr>
          <w:rFonts w:ascii="Arial" w:hAnsi="Arial" w:cs="Arial"/>
          <w:lang w:val="es-PE"/>
        </w:rPr>
        <w:t>Specialist</w:t>
      </w:r>
      <w:proofErr w:type="spellEnd"/>
      <w:r w:rsidR="000A05BF">
        <w:rPr>
          <w:rFonts w:ascii="Arial" w:hAnsi="Arial" w:cs="Arial"/>
          <w:lang w:val="es-PE"/>
        </w:rPr>
        <w:t xml:space="preserve"> </w:t>
      </w:r>
      <w:proofErr w:type="spellStart"/>
      <w:r w:rsidR="000A05BF">
        <w:rPr>
          <w:rFonts w:ascii="Arial" w:hAnsi="Arial" w:cs="Arial"/>
          <w:lang w:val="es-PE"/>
        </w:rPr>
        <w:t>Recovery</w:t>
      </w:r>
      <w:proofErr w:type="spellEnd"/>
      <w:r w:rsidR="000A05BF">
        <w:rPr>
          <w:rFonts w:ascii="Arial" w:hAnsi="Arial" w:cs="Arial"/>
          <w:lang w:val="es-PE"/>
        </w:rPr>
        <w:t xml:space="preserve"> </w:t>
      </w:r>
      <w:proofErr w:type="spellStart"/>
      <w:r w:rsidR="000A05BF">
        <w:rPr>
          <w:rFonts w:ascii="Arial" w:hAnsi="Arial" w:cs="Arial"/>
          <w:lang w:val="es-PE"/>
        </w:rPr>
        <w:t>Planning</w:t>
      </w:r>
      <w:proofErr w:type="spellEnd"/>
      <w:r w:rsidR="00501E63" w:rsidRPr="00501E63">
        <w:rPr>
          <w:rFonts w:ascii="Arial" w:hAnsi="Arial" w:cs="Arial"/>
          <w:lang w:val="es-PE"/>
        </w:rPr>
        <w:t xml:space="preserve">, </w:t>
      </w:r>
      <w:hyperlink r:id="rId8" w:history="1">
        <w:r w:rsidR="009D00D0" w:rsidRPr="00275442">
          <w:rPr>
            <w:rStyle w:val="Hipervnculo"/>
            <w:rFonts w:ascii="Arial" w:hAnsi="Arial" w:cs="Arial"/>
            <w:lang w:val="es-PE"/>
          </w:rPr>
          <w:t>fabio.loyola@newmont.com</w:t>
        </w:r>
      </w:hyperlink>
      <w:r w:rsidR="00501E63" w:rsidRPr="00501E63">
        <w:rPr>
          <w:rFonts w:ascii="Arial" w:hAnsi="Arial" w:cs="Arial"/>
          <w:lang w:val="es-PE"/>
        </w:rPr>
        <w:t xml:space="preserve">, </w:t>
      </w:r>
      <w:r w:rsidR="000A05BF">
        <w:rPr>
          <w:rFonts w:ascii="Arial" w:hAnsi="Arial" w:cs="Arial"/>
          <w:lang w:val="es-PE"/>
        </w:rPr>
        <w:t>976228530</w:t>
      </w:r>
      <w:r w:rsidR="00501E63" w:rsidRPr="00501E63">
        <w:rPr>
          <w:rFonts w:ascii="Arial" w:hAnsi="Arial" w:cs="Arial"/>
          <w:lang w:val="es-PE"/>
        </w:rPr>
        <w:t>.</w:t>
      </w:r>
    </w:p>
    <w:p w14:paraId="3D5E410B" w14:textId="38879CF6" w:rsidR="001F7934" w:rsidRPr="00CF3EDC" w:rsidRDefault="00865E82" w:rsidP="00FE4428">
      <w:pPr>
        <w:pStyle w:val="Prrafodelista"/>
        <w:numPr>
          <w:ilvl w:val="0"/>
          <w:numId w:val="8"/>
        </w:numPr>
        <w:pBdr>
          <w:bottom w:val="single" w:sz="12" w:space="1" w:color="auto"/>
        </w:pBdr>
        <w:spacing w:after="0" w:line="360" w:lineRule="auto"/>
        <w:ind w:left="284" w:hanging="284"/>
        <w:rPr>
          <w:rFonts w:ascii="Arial" w:hAnsi="Arial" w:cs="Arial"/>
          <w:lang w:val="en-US"/>
        </w:rPr>
      </w:pPr>
      <w:r w:rsidRPr="00CF3EDC">
        <w:rPr>
          <w:rFonts w:ascii="Arial" w:hAnsi="Arial" w:cs="Arial"/>
          <w:lang w:val="en-US"/>
        </w:rPr>
        <w:t>Dylan Roberts</w:t>
      </w:r>
      <w:r w:rsidR="00494BC3" w:rsidRPr="00CF3EDC">
        <w:rPr>
          <w:rFonts w:ascii="Arial" w:hAnsi="Arial" w:cs="Arial"/>
          <w:lang w:val="en-US"/>
        </w:rPr>
        <w:t>, Senior Advisor</w:t>
      </w:r>
      <w:r w:rsidR="00CF3EDC" w:rsidRPr="00CF3EDC">
        <w:rPr>
          <w:rFonts w:ascii="Arial" w:hAnsi="Arial" w:cs="Arial"/>
          <w:lang w:val="en-US"/>
        </w:rPr>
        <w:t xml:space="preserve">; </w:t>
      </w:r>
      <w:r w:rsidR="001F7934" w:rsidRPr="00CF3EDC">
        <w:rPr>
          <w:rFonts w:ascii="Arial" w:hAnsi="Arial" w:cs="Arial"/>
          <w:lang w:val="en-US"/>
        </w:rPr>
        <w:t xml:space="preserve">Ryan </w:t>
      </w:r>
      <w:proofErr w:type="spellStart"/>
      <w:proofErr w:type="gramStart"/>
      <w:r w:rsidR="001F7934" w:rsidRPr="00CF3EDC">
        <w:rPr>
          <w:rFonts w:ascii="Arial" w:hAnsi="Arial" w:cs="Arial"/>
          <w:lang w:val="en-US"/>
        </w:rPr>
        <w:t>Turner,</w:t>
      </w:r>
      <w:r w:rsidR="00816F63" w:rsidRPr="00CF3EDC">
        <w:rPr>
          <w:rFonts w:ascii="Arial" w:hAnsi="Arial" w:cs="Arial"/>
          <w:lang w:val="en-US"/>
        </w:rPr>
        <w:t>Injection</w:t>
      </w:r>
      <w:proofErr w:type="spellEnd"/>
      <w:proofErr w:type="gramEnd"/>
      <w:r w:rsidR="00816F63" w:rsidRPr="00CF3EDC">
        <w:rPr>
          <w:rFonts w:ascii="Arial" w:hAnsi="Arial" w:cs="Arial"/>
          <w:lang w:val="en-US"/>
        </w:rPr>
        <w:t xml:space="preserve"> Leaching</w:t>
      </w:r>
      <w:r w:rsidR="001F7934" w:rsidRPr="00CF3EDC">
        <w:rPr>
          <w:rFonts w:ascii="Arial" w:hAnsi="Arial" w:cs="Arial"/>
          <w:lang w:val="en-US"/>
        </w:rPr>
        <w:t xml:space="preserve"> Study Manager</w:t>
      </w:r>
    </w:p>
    <w:p w14:paraId="402EC85C" w14:textId="7C2B532A" w:rsidR="001F7934" w:rsidRPr="00BB3173" w:rsidRDefault="001F7934" w:rsidP="004203A0">
      <w:pPr>
        <w:pStyle w:val="Prrafodelista"/>
        <w:numPr>
          <w:ilvl w:val="0"/>
          <w:numId w:val="8"/>
        </w:numPr>
        <w:pBdr>
          <w:bottom w:val="single" w:sz="12" w:space="1" w:color="auto"/>
        </w:pBdr>
        <w:spacing w:after="0" w:line="360" w:lineRule="auto"/>
        <w:ind w:left="284" w:hanging="284"/>
        <w:rPr>
          <w:rFonts w:ascii="Arial" w:hAnsi="Arial" w:cs="Arial"/>
          <w:lang w:val="en-US"/>
        </w:rPr>
      </w:pPr>
      <w:r w:rsidRPr="00BB3173">
        <w:rPr>
          <w:rFonts w:ascii="Arial" w:hAnsi="Arial" w:cs="Arial"/>
          <w:lang w:val="en-US"/>
        </w:rPr>
        <w:t xml:space="preserve">Kelly Payne, </w:t>
      </w:r>
      <w:r w:rsidR="00BB3173">
        <w:rPr>
          <w:rFonts w:ascii="Arial" w:hAnsi="Arial" w:cs="Arial"/>
          <w:lang w:val="en-US"/>
        </w:rPr>
        <w:t>Closure General Manager</w:t>
      </w:r>
    </w:p>
    <w:p w14:paraId="78CD0140" w14:textId="77777777" w:rsidR="000A238C" w:rsidRPr="000A05BF" w:rsidRDefault="000A238C" w:rsidP="000A238C">
      <w:pPr>
        <w:spacing w:after="0" w:line="360" w:lineRule="auto"/>
        <w:jc w:val="center"/>
        <w:rPr>
          <w:rFonts w:ascii="Arial" w:hAnsi="Arial" w:cs="Arial"/>
          <w:b/>
          <w:lang w:val="en-US"/>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08863C1C" w14:textId="0665370E" w:rsidR="007F0CC2" w:rsidRPr="007F0CC2" w:rsidRDefault="000F6791" w:rsidP="007631CF">
      <w:pPr>
        <w:spacing w:after="0" w:line="360" w:lineRule="auto"/>
        <w:ind w:firstLine="720"/>
        <w:jc w:val="both"/>
        <w:rPr>
          <w:rFonts w:ascii="Arial" w:hAnsi="Arial" w:cs="Arial"/>
          <w:lang w:val="es-PE"/>
        </w:rPr>
      </w:pPr>
      <w:r w:rsidRPr="000F6791">
        <w:rPr>
          <w:rFonts w:ascii="Arial" w:hAnsi="Arial" w:cs="Arial"/>
          <w:lang w:val="es-PE"/>
        </w:rPr>
        <w:t xml:space="preserve">Durante muchos años, Newmont Yanacocha ha estado buscando una tecnología que sea viable para reducir el inventario o incrementar la recuperación de oro de manera segura en los </w:t>
      </w:r>
      <w:proofErr w:type="spellStart"/>
      <w:r w:rsidRPr="000F6791">
        <w:rPr>
          <w:rFonts w:ascii="Arial" w:hAnsi="Arial" w:cs="Arial"/>
          <w:lang w:val="es-PE"/>
        </w:rPr>
        <w:t>Pads</w:t>
      </w:r>
      <w:proofErr w:type="spellEnd"/>
      <w:r w:rsidRPr="000F6791">
        <w:rPr>
          <w:rFonts w:ascii="Arial" w:hAnsi="Arial" w:cs="Arial"/>
          <w:lang w:val="es-PE"/>
        </w:rPr>
        <w:t xml:space="preserve"> de Lixiviación. </w:t>
      </w:r>
      <w:r w:rsidR="000B6F46">
        <w:rPr>
          <w:rFonts w:ascii="Arial" w:hAnsi="Arial" w:cs="Arial"/>
          <w:lang w:val="es-PE"/>
        </w:rPr>
        <w:t>El</w:t>
      </w:r>
      <w:r w:rsidRPr="000F6791">
        <w:rPr>
          <w:rFonts w:ascii="Arial" w:hAnsi="Arial" w:cs="Arial"/>
          <w:lang w:val="es-PE"/>
        </w:rPr>
        <w:t xml:space="preserve"> 2022, </w:t>
      </w:r>
      <w:r w:rsidR="000A4087">
        <w:rPr>
          <w:rFonts w:ascii="Arial" w:hAnsi="Arial" w:cs="Arial"/>
          <w:lang w:val="es-PE"/>
        </w:rPr>
        <w:t xml:space="preserve">se </w:t>
      </w:r>
      <w:r w:rsidRPr="000F6791">
        <w:rPr>
          <w:rFonts w:ascii="Arial" w:hAnsi="Arial" w:cs="Arial"/>
          <w:lang w:val="es-PE"/>
        </w:rPr>
        <w:t xml:space="preserve">inició una prueba piloto en el </w:t>
      </w:r>
      <w:proofErr w:type="spellStart"/>
      <w:r w:rsidRPr="000F6791">
        <w:rPr>
          <w:rFonts w:ascii="Arial" w:hAnsi="Arial" w:cs="Arial"/>
          <w:lang w:val="es-PE"/>
        </w:rPr>
        <w:t>Pad</w:t>
      </w:r>
      <w:proofErr w:type="spellEnd"/>
      <w:r w:rsidRPr="000F6791">
        <w:rPr>
          <w:rFonts w:ascii="Arial" w:hAnsi="Arial" w:cs="Arial"/>
          <w:lang w:val="es-PE"/>
        </w:rPr>
        <w:t xml:space="preserve"> de </w:t>
      </w:r>
      <w:proofErr w:type="spellStart"/>
      <w:r w:rsidRPr="000F6791">
        <w:rPr>
          <w:rFonts w:ascii="Arial" w:hAnsi="Arial" w:cs="Arial"/>
          <w:lang w:val="es-PE"/>
        </w:rPr>
        <w:t>Carachugo</w:t>
      </w:r>
      <w:proofErr w:type="spellEnd"/>
      <w:r w:rsidRPr="000F6791">
        <w:rPr>
          <w:rFonts w:ascii="Arial" w:hAnsi="Arial" w:cs="Arial"/>
          <w:lang w:val="es-PE"/>
        </w:rPr>
        <w:t xml:space="preserve"> 10</w:t>
      </w:r>
      <w:r w:rsidR="000A4087">
        <w:rPr>
          <w:rFonts w:ascii="Arial" w:hAnsi="Arial" w:cs="Arial"/>
          <w:lang w:val="es-PE"/>
        </w:rPr>
        <w:t>,</w:t>
      </w:r>
      <w:r w:rsidRPr="000F6791">
        <w:rPr>
          <w:rFonts w:ascii="Arial" w:hAnsi="Arial" w:cs="Arial"/>
          <w:lang w:val="es-PE"/>
        </w:rPr>
        <w:t xml:space="preserve"> </w:t>
      </w:r>
      <w:r w:rsidR="00C46EB4">
        <w:rPr>
          <w:rFonts w:ascii="Arial" w:hAnsi="Arial" w:cs="Arial"/>
          <w:lang w:val="es-PE"/>
        </w:rPr>
        <w:t>aplicando inyección</w:t>
      </w:r>
      <w:r w:rsidR="00766B51">
        <w:rPr>
          <w:rFonts w:ascii="Arial" w:hAnsi="Arial" w:cs="Arial"/>
          <w:lang w:val="es-PE"/>
        </w:rPr>
        <w:t xml:space="preserve">, y los </w:t>
      </w:r>
      <w:r w:rsidRPr="000F6791">
        <w:rPr>
          <w:rFonts w:ascii="Arial" w:hAnsi="Arial" w:cs="Arial"/>
          <w:lang w:val="es-PE"/>
        </w:rPr>
        <w:t>resultados fueron notables, dado que el inventario disminuyó rápidamente, obteniendo onzas de oro en tan solo un par de semanas</w:t>
      </w:r>
      <w:r w:rsidR="007631CF">
        <w:rPr>
          <w:rFonts w:ascii="Arial" w:hAnsi="Arial" w:cs="Arial"/>
          <w:lang w:val="es-PE"/>
        </w:rPr>
        <w:t>; en tal sentido, se</w:t>
      </w:r>
      <w:r w:rsidRPr="000F6791">
        <w:rPr>
          <w:rFonts w:ascii="Arial" w:hAnsi="Arial" w:cs="Arial"/>
          <w:lang w:val="es-PE"/>
        </w:rPr>
        <w:t xml:space="preserve"> </w:t>
      </w:r>
      <w:r w:rsidR="007631CF">
        <w:rPr>
          <w:rFonts w:ascii="Arial" w:hAnsi="Arial" w:cs="Arial"/>
          <w:lang w:val="es-PE"/>
        </w:rPr>
        <w:t>decidió</w:t>
      </w:r>
      <w:r w:rsidRPr="000F6791">
        <w:rPr>
          <w:rFonts w:ascii="Arial" w:hAnsi="Arial" w:cs="Arial"/>
          <w:lang w:val="es-PE"/>
        </w:rPr>
        <w:t xml:space="preserve"> implementar </w:t>
      </w:r>
      <w:r w:rsidR="00766B51">
        <w:rPr>
          <w:rFonts w:ascii="Arial" w:hAnsi="Arial" w:cs="Arial"/>
          <w:lang w:val="es-PE"/>
        </w:rPr>
        <w:t xml:space="preserve">nuevas pruebas en otros </w:t>
      </w:r>
      <w:proofErr w:type="spellStart"/>
      <w:r w:rsidR="00766B51">
        <w:rPr>
          <w:rFonts w:ascii="Arial" w:hAnsi="Arial" w:cs="Arial"/>
          <w:lang w:val="es-PE"/>
        </w:rPr>
        <w:t>pads</w:t>
      </w:r>
      <w:proofErr w:type="spellEnd"/>
      <w:r w:rsidRPr="000F6791">
        <w:rPr>
          <w:rFonts w:ascii="Arial" w:hAnsi="Arial" w:cs="Arial"/>
          <w:lang w:val="es-PE"/>
        </w:rPr>
        <w:t>. Tras varios meses de ejecución de la prueba piloto, los resultados superaron las expectativas, lo que llevó a Newmont Yanacocha a incorporar onzas adicionales en el plan de producción para 2023.</w:t>
      </w:r>
    </w:p>
    <w:p w14:paraId="5DF48BF1" w14:textId="319A0B57" w:rsidR="00F84A77" w:rsidRPr="000A238C" w:rsidRDefault="00F06FD4" w:rsidP="00F84A77">
      <w:pPr>
        <w:spacing w:before="120" w:after="0" w:line="360" w:lineRule="auto"/>
        <w:jc w:val="both"/>
        <w:rPr>
          <w:rFonts w:ascii="Arial" w:hAnsi="Arial" w:cs="Arial"/>
          <w:b/>
          <w:bCs/>
          <w:lang w:val="es-PE"/>
        </w:rPr>
      </w:pPr>
      <w:r>
        <w:rPr>
          <w:rFonts w:ascii="Arial" w:hAnsi="Arial" w:cs="Arial"/>
          <w:b/>
          <w:bCs/>
          <w:lang w:val="es-PE"/>
        </w:rPr>
        <w:t>Procedimiento o metodología</w:t>
      </w:r>
    </w:p>
    <w:p w14:paraId="0102257C" w14:textId="738873CB" w:rsidR="007D69B2" w:rsidRDefault="007D69B2" w:rsidP="007D69B2">
      <w:pPr>
        <w:spacing w:after="0" w:line="360" w:lineRule="auto"/>
        <w:ind w:firstLine="720"/>
        <w:jc w:val="both"/>
        <w:rPr>
          <w:rFonts w:ascii="Arial" w:hAnsi="Arial" w:cs="Arial"/>
          <w:lang w:val="es-PE"/>
        </w:rPr>
      </w:pPr>
      <w:r w:rsidRPr="007D69B2">
        <w:rPr>
          <w:rFonts w:ascii="Arial" w:hAnsi="Arial" w:cs="Arial"/>
          <w:lang w:val="es-PE"/>
        </w:rPr>
        <w:t xml:space="preserve">El método de Injection Leaching </w:t>
      </w:r>
      <w:r>
        <w:rPr>
          <w:rFonts w:ascii="Arial" w:hAnsi="Arial" w:cs="Arial"/>
          <w:lang w:val="es-PE"/>
        </w:rPr>
        <w:t xml:space="preserve">(lixiviación por inyección), </w:t>
      </w:r>
      <w:r w:rsidRPr="007D69B2">
        <w:rPr>
          <w:rFonts w:ascii="Arial" w:hAnsi="Arial" w:cs="Arial"/>
          <w:lang w:val="es-PE"/>
        </w:rPr>
        <w:t xml:space="preserve">es un método patentado por Newmont para recuperar valores en áreas donde la primera lixiviación no ha sido eficiente. Este método se utiliza como parte de una lixiviación secundaria en </w:t>
      </w:r>
      <w:proofErr w:type="spellStart"/>
      <w:r w:rsidRPr="007D69B2">
        <w:rPr>
          <w:rFonts w:ascii="Arial" w:hAnsi="Arial" w:cs="Arial"/>
          <w:lang w:val="es-PE"/>
        </w:rPr>
        <w:t>Pads</w:t>
      </w:r>
      <w:proofErr w:type="spellEnd"/>
      <w:r w:rsidRPr="007D69B2">
        <w:rPr>
          <w:rFonts w:ascii="Arial" w:hAnsi="Arial" w:cs="Arial"/>
          <w:lang w:val="es-PE"/>
        </w:rPr>
        <w:t>.</w:t>
      </w:r>
      <w:r w:rsidR="008F6B95">
        <w:rPr>
          <w:rFonts w:ascii="Arial" w:hAnsi="Arial" w:cs="Arial"/>
          <w:lang w:val="es-PE"/>
        </w:rPr>
        <w:t xml:space="preserve"> </w:t>
      </w:r>
      <w:r w:rsidRPr="007D69B2">
        <w:rPr>
          <w:rFonts w:ascii="Arial" w:hAnsi="Arial" w:cs="Arial"/>
          <w:lang w:val="es-PE"/>
        </w:rPr>
        <w:t xml:space="preserve">El método inicia con perforaciones en los </w:t>
      </w:r>
      <w:proofErr w:type="spellStart"/>
      <w:r w:rsidRPr="007D69B2">
        <w:rPr>
          <w:rFonts w:ascii="Arial" w:hAnsi="Arial" w:cs="Arial"/>
          <w:lang w:val="es-PE"/>
        </w:rPr>
        <w:t>Pads</w:t>
      </w:r>
      <w:proofErr w:type="spellEnd"/>
      <w:r w:rsidRPr="007D69B2">
        <w:rPr>
          <w:rFonts w:ascii="Arial" w:hAnsi="Arial" w:cs="Arial"/>
          <w:lang w:val="es-PE"/>
        </w:rPr>
        <w:t>, por temas de seguridad geotécnica</w:t>
      </w:r>
      <w:r w:rsidR="008F6B95">
        <w:rPr>
          <w:rFonts w:ascii="Arial" w:hAnsi="Arial" w:cs="Arial"/>
          <w:lang w:val="es-PE"/>
        </w:rPr>
        <w:t>,</w:t>
      </w:r>
      <w:r w:rsidRPr="007D69B2">
        <w:rPr>
          <w:rFonts w:ascii="Arial" w:hAnsi="Arial" w:cs="Arial"/>
          <w:lang w:val="es-PE"/>
        </w:rPr>
        <w:t xml:space="preserve"> </w:t>
      </w:r>
      <w:r w:rsidR="003E0177">
        <w:rPr>
          <w:rFonts w:ascii="Arial" w:hAnsi="Arial" w:cs="Arial"/>
          <w:lang w:val="es-PE"/>
        </w:rPr>
        <w:t>se perfora hasta</w:t>
      </w:r>
      <w:r w:rsidRPr="007D69B2">
        <w:rPr>
          <w:rFonts w:ascii="Arial" w:hAnsi="Arial" w:cs="Arial"/>
          <w:lang w:val="es-PE"/>
        </w:rPr>
        <w:t xml:space="preserve"> 15m de la geomembrana y 50m de los taludes del </w:t>
      </w:r>
      <w:proofErr w:type="spellStart"/>
      <w:r w:rsidRPr="007D69B2">
        <w:rPr>
          <w:rFonts w:ascii="Arial" w:hAnsi="Arial" w:cs="Arial"/>
          <w:lang w:val="es-PE"/>
        </w:rPr>
        <w:t>Pad</w:t>
      </w:r>
      <w:proofErr w:type="spellEnd"/>
      <w:r w:rsidRPr="007D69B2">
        <w:rPr>
          <w:rFonts w:ascii="Arial" w:hAnsi="Arial" w:cs="Arial"/>
          <w:lang w:val="es-PE"/>
        </w:rPr>
        <w:t>. Las perforaciones van acompañadas de tubos de acero al carbono, ranurado que ayudan a que el mineral suelto no caiga tapando el pozo de perforación y a la vez las ranuras, que servirán como única ventana para que salga la solución.</w:t>
      </w:r>
    </w:p>
    <w:p w14:paraId="1CACB8A6" w14:textId="77777777" w:rsidR="003D647E" w:rsidRDefault="003D647E" w:rsidP="003D647E">
      <w:pPr>
        <w:jc w:val="center"/>
        <w:rPr>
          <w:i/>
          <w:iCs/>
          <w:lang w:val="es-419"/>
        </w:rPr>
      </w:pPr>
      <w:r>
        <w:rPr>
          <w:i/>
          <w:iCs/>
          <w:noProof/>
          <w:lang w:val="es-419"/>
        </w:rPr>
        <w:drawing>
          <wp:inline distT="0" distB="0" distL="0" distR="0" wp14:anchorId="293466D6" wp14:editId="5A59F1DD">
            <wp:extent cx="2574446" cy="1846707"/>
            <wp:effectExtent l="0" t="0" r="0" b="1270"/>
            <wp:docPr id="7653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024" cy="1870076"/>
                    </a:xfrm>
                    <a:prstGeom prst="rect">
                      <a:avLst/>
                    </a:prstGeom>
                    <a:noFill/>
                  </pic:spPr>
                </pic:pic>
              </a:graphicData>
            </a:graphic>
          </wp:inline>
        </w:drawing>
      </w:r>
      <w:r>
        <w:rPr>
          <w:i/>
          <w:iCs/>
          <w:noProof/>
          <w:lang w:val="es-419"/>
        </w:rPr>
        <w:drawing>
          <wp:inline distT="0" distB="0" distL="0" distR="0" wp14:anchorId="47A0881F" wp14:editId="7492E91F">
            <wp:extent cx="2472538" cy="1819893"/>
            <wp:effectExtent l="0" t="0" r="4445" b="9525"/>
            <wp:docPr id="426779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87455" cy="1830873"/>
                    </a:xfrm>
                    <a:prstGeom prst="rect">
                      <a:avLst/>
                    </a:prstGeom>
                    <a:noFill/>
                  </pic:spPr>
                </pic:pic>
              </a:graphicData>
            </a:graphic>
          </wp:inline>
        </w:drawing>
      </w:r>
    </w:p>
    <w:p w14:paraId="14D4FF5D" w14:textId="3AF40C66" w:rsidR="007D69B2" w:rsidRPr="007D69B2" w:rsidRDefault="00904B4D" w:rsidP="003D647E">
      <w:pPr>
        <w:spacing w:after="0" w:line="360" w:lineRule="auto"/>
        <w:jc w:val="center"/>
        <w:rPr>
          <w:rFonts w:ascii="Arial" w:hAnsi="Arial" w:cs="Arial"/>
          <w:lang w:val="es-PE"/>
        </w:rPr>
      </w:pPr>
      <w:r>
        <w:rPr>
          <w:i/>
          <w:iCs/>
          <w:noProof/>
          <w:lang w:val="es-419"/>
        </w:rPr>
        <w:lastRenderedPageBreak/>
        <w:drawing>
          <wp:anchor distT="0" distB="0" distL="114300" distR="114300" simplePos="0" relativeHeight="251659264" behindDoc="1" locked="0" layoutInCell="1" allowOverlap="1" wp14:anchorId="4C8C86CA" wp14:editId="79177BEE">
            <wp:simplePos x="0" y="0"/>
            <wp:positionH relativeFrom="column">
              <wp:posOffset>3543300</wp:posOffset>
            </wp:positionH>
            <wp:positionV relativeFrom="paragraph">
              <wp:posOffset>0</wp:posOffset>
            </wp:positionV>
            <wp:extent cx="1635760" cy="2317115"/>
            <wp:effectExtent l="0" t="0" r="2540" b="6985"/>
            <wp:wrapTight wrapText="bothSides">
              <wp:wrapPolygon edited="0">
                <wp:start x="0" y="0"/>
                <wp:lineTo x="0" y="21488"/>
                <wp:lineTo x="21382" y="21488"/>
                <wp:lineTo x="21382" y="0"/>
                <wp:lineTo x="0" y="0"/>
              </wp:wrapPolygon>
            </wp:wrapTight>
            <wp:docPr id="235361952" name="Picture 3"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61952" name="Picture 3" descr="Diagram of a diagram of a pip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5760" cy="2317115"/>
                    </a:xfrm>
                    <a:prstGeom prst="rect">
                      <a:avLst/>
                    </a:prstGeom>
                    <a:noFill/>
                  </pic:spPr>
                </pic:pic>
              </a:graphicData>
            </a:graphic>
          </wp:anchor>
        </w:drawing>
      </w:r>
      <w:r w:rsidRPr="00764821">
        <w:rPr>
          <w:i/>
          <w:iCs/>
          <w:noProof/>
        </w:rPr>
        <w:drawing>
          <wp:anchor distT="0" distB="0" distL="114300" distR="114300" simplePos="0" relativeHeight="251658240" behindDoc="1" locked="0" layoutInCell="1" allowOverlap="1" wp14:anchorId="3215E6F8" wp14:editId="40587070">
            <wp:simplePos x="0" y="0"/>
            <wp:positionH relativeFrom="column">
              <wp:posOffset>5295900</wp:posOffset>
            </wp:positionH>
            <wp:positionV relativeFrom="paragraph">
              <wp:posOffset>19050</wp:posOffset>
            </wp:positionV>
            <wp:extent cx="845820" cy="2310765"/>
            <wp:effectExtent l="19050" t="19050" r="11430" b="13335"/>
            <wp:wrapTight wrapText="bothSides">
              <wp:wrapPolygon edited="0">
                <wp:start x="-486" y="-178"/>
                <wp:lineTo x="-486" y="21547"/>
                <wp:lineTo x="21405" y="21547"/>
                <wp:lineTo x="21405" y="-178"/>
                <wp:lineTo x="-486" y="-178"/>
              </wp:wrapPolygon>
            </wp:wrapTight>
            <wp:docPr id="898626296" name="Picture 14" descr="Diagram of a diagram of a perforation process&#10;&#10;AI-generated content may be incorrect.">
              <a:extLst xmlns:a="http://schemas.openxmlformats.org/drawingml/2006/main">
                <a:ext uri="{FF2B5EF4-FFF2-40B4-BE49-F238E27FC236}">
                  <a16:creationId xmlns:a16="http://schemas.microsoft.com/office/drawing/2014/main" id="{5AA83EAC-0327-4E50-A778-5C8525B39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26296" name="Picture 14" descr="Diagram of a diagram of a perforation process&#10;&#10;AI-generated content may be incorrect.">
                      <a:extLst>
                        <a:ext uri="{FF2B5EF4-FFF2-40B4-BE49-F238E27FC236}">
                          <a16:creationId xmlns:a16="http://schemas.microsoft.com/office/drawing/2014/main" id="{5AA83EAC-0327-4E50-A778-5C8525B39596}"/>
                        </a:ext>
                      </a:extLst>
                    </pic:cNvPr>
                    <pic:cNvPicPr>
                      <a:picLocks noChangeAspect="1"/>
                    </pic:cNvPicPr>
                  </pic:nvPicPr>
                  <pic:blipFill>
                    <a:blip r:embed="rId12" cstate="screen">
                      <a:extLst>
                        <a:ext uri="{28A0092B-C50C-407E-A947-70E740481C1C}">
                          <a14:useLocalDpi xmlns:a14="http://schemas.microsoft.com/office/drawing/2010/main" val="0"/>
                        </a:ext>
                      </a:extLst>
                    </a:blip>
                    <a:stretch>
                      <a:fillRect/>
                    </a:stretch>
                  </pic:blipFill>
                  <pic:spPr>
                    <a:xfrm>
                      <a:off x="0" y="0"/>
                      <a:ext cx="845820" cy="2310765"/>
                    </a:xfrm>
                    <a:prstGeom prst="rect">
                      <a:avLst/>
                    </a:prstGeom>
                    <a:ln>
                      <a:solidFill>
                        <a:schemeClr val="tx1"/>
                      </a:solidFill>
                    </a:ln>
                  </pic:spPr>
                </pic:pic>
              </a:graphicData>
            </a:graphic>
          </wp:anchor>
        </w:drawing>
      </w:r>
      <w:r w:rsidR="007D69B2" w:rsidRPr="007D69B2">
        <w:rPr>
          <w:rFonts w:ascii="Arial" w:hAnsi="Arial" w:cs="Arial"/>
          <w:lang w:val="es-PE"/>
        </w:rPr>
        <w:t>Figura 1. Ejemplo del diseño de un pozo de perforación.</w:t>
      </w:r>
    </w:p>
    <w:p w14:paraId="4801A125" w14:textId="3D387BD9" w:rsidR="007D69B2" w:rsidRPr="007D69B2" w:rsidRDefault="007D69B2" w:rsidP="007D69B2">
      <w:pPr>
        <w:spacing w:after="0" w:line="360" w:lineRule="auto"/>
        <w:ind w:firstLine="720"/>
        <w:jc w:val="both"/>
        <w:rPr>
          <w:rFonts w:ascii="Arial" w:hAnsi="Arial" w:cs="Arial"/>
          <w:lang w:val="es-PE"/>
        </w:rPr>
      </w:pPr>
      <w:r w:rsidRPr="007D69B2">
        <w:rPr>
          <w:rFonts w:ascii="Arial" w:hAnsi="Arial" w:cs="Arial"/>
          <w:lang w:val="es-PE"/>
        </w:rPr>
        <w:t>Una vez finalizados los pozos de perforación, el sistema de inyección se ingresa por las tuberías del pozo para comenzar a inyectar desde la parte más profunda del pozo hacia la superficie. Para evitar que la solución salga hacia la superficie, los últimos 15 metros no se inyectan.</w:t>
      </w:r>
      <w:r w:rsidR="0072194B">
        <w:rPr>
          <w:rFonts w:ascii="Arial" w:hAnsi="Arial" w:cs="Arial"/>
          <w:lang w:val="es-PE"/>
        </w:rPr>
        <w:t xml:space="preserve"> </w:t>
      </w:r>
      <w:r w:rsidRPr="007D69B2">
        <w:rPr>
          <w:rFonts w:ascii="Arial" w:hAnsi="Arial" w:cs="Arial"/>
          <w:lang w:val="es-PE"/>
        </w:rPr>
        <w:t xml:space="preserve">Además, el sistema cuenta con dos </w:t>
      </w:r>
      <w:proofErr w:type="spellStart"/>
      <w:r w:rsidRPr="0072194B">
        <w:rPr>
          <w:rFonts w:ascii="Arial" w:hAnsi="Arial" w:cs="Arial"/>
          <w:i/>
          <w:iCs/>
          <w:lang w:val="es-PE"/>
        </w:rPr>
        <w:t>packers</w:t>
      </w:r>
      <w:proofErr w:type="spellEnd"/>
      <w:r w:rsidRPr="007D69B2">
        <w:rPr>
          <w:rFonts w:ascii="Arial" w:hAnsi="Arial" w:cs="Arial"/>
          <w:lang w:val="es-PE"/>
        </w:rPr>
        <w:t xml:space="preserve"> de jebe en ambos extremos, los cuales se inflan para aislar la zona de inyección, como se muestra en la figura 2.</w:t>
      </w:r>
    </w:p>
    <w:p w14:paraId="0827F2FD" w14:textId="77777777" w:rsidR="007D69B2" w:rsidRPr="007D69B2" w:rsidRDefault="007D69B2" w:rsidP="005F2B6E">
      <w:pPr>
        <w:spacing w:after="0" w:line="360" w:lineRule="auto"/>
        <w:jc w:val="center"/>
        <w:rPr>
          <w:rFonts w:ascii="Arial" w:hAnsi="Arial" w:cs="Arial"/>
          <w:lang w:val="es-PE"/>
        </w:rPr>
      </w:pPr>
      <w:r w:rsidRPr="007D69B2">
        <w:rPr>
          <w:rFonts w:ascii="Arial" w:hAnsi="Arial" w:cs="Arial"/>
          <w:lang w:val="es-PE"/>
        </w:rPr>
        <w:t>Figura 2. Diseño del sistema de inyección.</w:t>
      </w:r>
    </w:p>
    <w:p w14:paraId="7A73AA81" w14:textId="12DF8711" w:rsidR="00891E4F" w:rsidRDefault="007D69B2" w:rsidP="007D69B2">
      <w:pPr>
        <w:spacing w:after="0" w:line="360" w:lineRule="auto"/>
        <w:ind w:firstLine="720"/>
        <w:jc w:val="both"/>
        <w:rPr>
          <w:rFonts w:ascii="Arial" w:hAnsi="Arial" w:cs="Arial"/>
          <w:lang w:val="es-PE"/>
        </w:rPr>
      </w:pPr>
      <w:r w:rsidRPr="007D69B2">
        <w:rPr>
          <w:rFonts w:ascii="Arial" w:hAnsi="Arial" w:cs="Arial"/>
          <w:lang w:val="es-PE"/>
        </w:rPr>
        <w:t>La solución cianurada se inyecta utilizando una motobomba de alta potencia, y el tiempo de inyección varía entre 3 y 8 horas, dependiendo del mineral a inyectar. Una vez completado el ciclo de inyección, el sistema se eleva hacia la zona superior para continuar con el proceso.</w:t>
      </w:r>
    </w:p>
    <w:p w14:paraId="2139CBE2" w14:textId="5AA4A56E" w:rsidR="005F2B6E" w:rsidRPr="000A238C" w:rsidRDefault="005F2B6E" w:rsidP="005F2B6E">
      <w:pPr>
        <w:spacing w:before="120" w:after="0" w:line="360" w:lineRule="auto"/>
        <w:jc w:val="both"/>
        <w:rPr>
          <w:rFonts w:ascii="Arial" w:hAnsi="Arial" w:cs="Arial"/>
          <w:b/>
          <w:bCs/>
          <w:lang w:val="es-PE"/>
        </w:rPr>
      </w:pPr>
      <w:r>
        <w:rPr>
          <w:rFonts w:ascii="Arial" w:hAnsi="Arial" w:cs="Arial"/>
          <w:b/>
          <w:bCs/>
          <w:lang w:val="es-PE"/>
        </w:rPr>
        <w:t>Resultados</w:t>
      </w:r>
    </w:p>
    <w:p w14:paraId="23145FE0" w14:textId="1B0EE3C0" w:rsidR="00034FC8" w:rsidRDefault="00904B4D" w:rsidP="008006AE">
      <w:pPr>
        <w:spacing w:after="0" w:line="360" w:lineRule="auto"/>
        <w:ind w:firstLine="720"/>
        <w:jc w:val="both"/>
        <w:rPr>
          <w:rFonts w:ascii="Arial" w:hAnsi="Arial" w:cs="Arial"/>
          <w:lang w:val="es-PE"/>
        </w:rPr>
      </w:pPr>
      <w:r>
        <w:rPr>
          <w:i/>
          <w:noProof/>
        </w:rPr>
        <w:drawing>
          <wp:anchor distT="0" distB="0" distL="114300" distR="114300" simplePos="0" relativeHeight="251660288" behindDoc="1" locked="0" layoutInCell="1" allowOverlap="1" wp14:anchorId="5BD89459" wp14:editId="2543EA3C">
            <wp:simplePos x="0" y="0"/>
            <wp:positionH relativeFrom="margin">
              <wp:align>right</wp:align>
            </wp:positionH>
            <wp:positionV relativeFrom="paragraph">
              <wp:posOffset>535940</wp:posOffset>
            </wp:positionV>
            <wp:extent cx="3489350" cy="2060376"/>
            <wp:effectExtent l="0" t="0" r="0" b="0"/>
            <wp:wrapTight wrapText="bothSides">
              <wp:wrapPolygon edited="0">
                <wp:start x="0" y="0"/>
                <wp:lineTo x="0" y="21374"/>
                <wp:lineTo x="21462" y="21374"/>
                <wp:lineTo x="21462" y="0"/>
                <wp:lineTo x="0" y="0"/>
              </wp:wrapPolygon>
            </wp:wrapTight>
            <wp:docPr id="1607666190" name="Picture 1" descr="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66190" name="Picture 1" descr="A graph of a solu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9350" cy="2060376"/>
                    </a:xfrm>
                    <a:prstGeom prst="rect">
                      <a:avLst/>
                    </a:prstGeom>
                    <a:noFill/>
                  </pic:spPr>
                </pic:pic>
              </a:graphicData>
            </a:graphic>
          </wp:anchor>
        </w:drawing>
      </w:r>
      <w:r w:rsidR="00034FC8" w:rsidRPr="00034FC8">
        <w:rPr>
          <w:rFonts w:ascii="Arial" w:hAnsi="Arial" w:cs="Arial"/>
          <w:u w:val="single"/>
          <w:lang w:val="es-PE"/>
        </w:rPr>
        <w:t xml:space="preserve">Prueba Piloto de </w:t>
      </w:r>
      <w:proofErr w:type="spellStart"/>
      <w:r w:rsidR="00034FC8" w:rsidRPr="00034FC8">
        <w:rPr>
          <w:rFonts w:ascii="Arial" w:hAnsi="Arial" w:cs="Arial"/>
          <w:u w:val="single"/>
          <w:lang w:val="es-PE"/>
        </w:rPr>
        <w:t>Injection</w:t>
      </w:r>
      <w:proofErr w:type="spellEnd"/>
      <w:r w:rsidR="00034FC8" w:rsidRPr="00034FC8">
        <w:rPr>
          <w:rFonts w:ascii="Arial" w:hAnsi="Arial" w:cs="Arial"/>
          <w:u w:val="single"/>
          <w:lang w:val="es-PE"/>
        </w:rPr>
        <w:t xml:space="preserve"> </w:t>
      </w:r>
      <w:proofErr w:type="spellStart"/>
      <w:r w:rsidR="00034FC8" w:rsidRPr="00034FC8">
        <w:rPr>
          <w:rFonts w:ascii="Arial" w:hAnsi="Arial" w:cs="Arial"/>
          <w:u w:val="single"/>
          <w:lang w:val="es-PE"/>
        </w:rPr>
        <w:t>Leaching</w:t>
      </w:r>
      <w:proofErr w:type="spellEnd"/>
      <w:r w:rsidR="00034FC8" w:rsidRPr="00034FC8">
        <w:rPr>
          <w:rFonts w:ascii="Arial" w:hAnsi="Arial" w:cs="Arial"/>
          <w:u w:val="single"/>
          <w:lang w:val="es-PE"/>
        </w:rPr>
        <w:t xml:space="preserve"> en un </w:t>
      </w:r>
      <w:proofErr w:type="spellStart"/>
      <w:r w:rsidR="00034FC8" w:rsidRPr="00034FC8">
        <w:rPr>
          <w:rFonts w:ascii="Arial" w:hAnsi="Arial" w:cs="Arial"/>
          <w:u w:val="single"/>
          <w:lang w:val="es-PE"/>
        </w:rPr>
        <w:t>Pad</w:t>
      </w:r>
      <w:proofErr w:type="spellEnd"/>
      <w:r w:rsidR="00034FC8" w:rsidRPr="00034FC8">
        <w:rPr>
          <w:rFonts w:ascii="Arial" w:hAnsi="Arial" w:cs="Arial"/>
          <w:u w:val="single"/>
          <w:lang w:val="es-PE"/>
        </w:rPr>
        <w:t xml:space="preserve"> con inventario</w:t>
      </w:r>
      <w:r w:rsidR="00034FC8">
        <w:rPr>
          <w:rFonts w:ascii="Arial" w:hAnsi="Arial" w:cs="Arial"/>
          <w:lang w:val="es-PE"/>
        </w:rPr>
        <w:t xml:space="preserve">. </w:t>
      </w:r>
      <w:r w:rsidR="008006AE">
        <w:rPr>
          <w:rFonts w:ascii="Arial" w:hAnsi="Arial" w:cs="Arial"/>
          <w:lang w:val="es-PE"/>
        </w:rPr>
        <w:t>En l</w:t>
      </w:r>
      <w:r w:rsidR="008006AE" w:rsidRPr="00034FC8">
        <w:rPr>
          <w:rFonts w:ascii="Arial" w:hAnsi="Arial" w:cs="Arial"/>
          <w:lang w:val="es-PE"/>
        </w:rPr>
        <w:t>a Figura 3</w:t>
      </w:r>
      <w:r w:rsidR="0057237E">
        <w:rPr>
          <w:rFonts w:ascii="Arial" w:hAnsi="Arial" w:cs="Arial"/>
          <w:lang w:val="es-PE"/>
        </w:rPr>
        <w:t>,</w:t>
      </w:r>
      <w:r w:rsidR="008006AE" w:rsidRPr="00034FC8">
        <w:rPr>
          <w:rFonts w:ascii="Arial" w:hAnsi="Arial" w:cs="Arial"/>
          <w:lang w:val="es-PE"/>
        </w:rPr>
        <w:t xml:space="preserve"> </w:t>
      </w:r>
      <w:r w:rsidR="008006AE">
        <w:rPr>
          <w:rFonts w:ascii="Arial" w:hAnsi="Arial" w:cs="Arial"/>
          <w:lang w:val="es-PE"/>
        </w:rPr>
        <w:t>se muestra</w:t>
      </w:r>
      <w:r w:rsidR="008006AE" w:rsidRPr="00034FC8">
        <w:rPr>
          <w:rFonts w:ascii="Arial" w:hAnsi="Arial" w:cs="Arial"/>
          <w:lang w:val="es-PE"/>
        </w:rPr>
        <w:t xml:space="preserve"> los valores de oro en la solución de descarga del </w:t>
      </w:r>
      <w:proofErr w:type="spellStart"/>
      <w:r w:rsidR="008006AE" w:rsidRPr="00034FC8">
        <w:rPr>
          <w:rFonts w:ascii="Arial" w:hAnsi="Arial" w:cs="Arial"/>
          <w:lang w:val="es-PE"/>
        </w:rPr>
        <w:t>Pad</w:t>
      </w:r>
      <w:proofErr w:type="spellEnd"/>
      <w:r w:rsidR="008006AE" w:rsidRPr="00034FC8">
        <w:rPr>
          <w:rFonts w:ascii="Arial" w:hAnsi="Arial" w:cs="Arial"/>
          <w:lang w:val="es-PE"/>
        </w:rPr>
        <w:t xml:space="preserve"> de lixiviación</w:t>
      </w:r>
      <w:r w:rsidR="008006AE">
        <w:rPr>
          <w:rFonts w:ascii="Arial" w:hAnsi="Arial" w:cs="Arial"/>
          <w:lang w:val="es-PE"/>
        </w:rPr>
        <w:t xml:space="preserve"> incrementado</w:t>
      </w:r>
      <w:r w:rsidR="008006AE" w:rsidRPr="00034FC8">
        <w:rPr>
          <w:rFonts w:ascii="Arial" w:hAnsi="Arial" w:cs="Arial"/>
          <w:lang w:val="es-PE"/>
        </w:rPr>
        <w:t xml:space="preserve"> a partir del 30 de abril, un día después de haber comenzado el nuevo proceso de Injection Leaching</w:t>
      </w:r>
      <w:r w:rsidR="000011E2">
        <w:rPr>
          <w:rFonts w:ascii="Arial" w:hAnsi="Arial" w:cs="Arial"/>
          <w:lang w:val="es-PE"/>
        </w:rPr>
        <w:t xml:space="preserve">, </w:t>
      </w:r>
      <w:r w:rsidR="008006AE" w:rsidRPr="00034FC8">
        <w:rPr>
          <w:rFonts w:ascii="Arial" w:hAnsi="Arial" w:cs="Arial"/>
          <w:lang w:val="es-PE"/>
        </w:rPr>
        <w:t>hasta alcanzar niveles estables entre 0.5 y 0.6 ppm</w:t>
      </w:r>
      <w:r w:rsidR="006C21ED">
        <w:rPr>
          <w:rFonts w:ascii="Arial" w:hAnsi="Arial" w:cs="Arial"/>
          <w:lang w:val="es-PE"/>
        </w:rPr>
        <w:t>.</w:t>
      </w:r>
      <w:r w:rsidR="008006AE" w:rsidRPr="00034FC8">
        <w:rPr>
          <w:rFonts w:ascii="Arial" w:hAnsi="Arial" w:cs="Arial"/>
          <w:lang w:val="es-PE"/>
        </w:rPr>
        <w:t xml:space="preserve"> </w:t>
      </w:r>
      <w:r w:rsidR="0057237E">
        <w:rPr>
          <w:rFonts w:ascii="Arial" w:hAnsi="Arial" w:cs="Arial"/>
          <w:lang w:val="es-PE"/>
        </w:rPr>
        <w:t>L</w:t>
      </w:r>
      <w:r w:rsidR="008006AE" w:rsidRPr="00034FC8">
        <w:rPr>
          <w:rFonts w:ascii="Arial" w:hAnsi="Arial" w:cs="Arial"/>
          <w:lang w:val="es-PE"/>
        </w:rPr>
        <w:t>a cinética de recuperación de oro mediante el método de Injection Leaching es más rápida que la lixiviación convencional</w:t>
      </w:r>
      <w:r w:rsidR="00751072">
        <w:rPr>
          <w:rFonts w:ascii="Arial" w:hAnsi="Arial" w:cs="Arial"/>
          <w:lang w:val="es-PE"/>
        </w:rPr>
        <w:t xml:space="preserve">, debido </w:t>
      </w:r>
      <w:r w:rsidR="008006AE" w:rsidRPr="00034FC8">
        <w:rPr>
          <w:rFonts w:ascii="Arial" w:hAnsi="Arial" w:cs="Arial"/>
          <w:lang w:val="es-PE"/>
        </w:rPr>
        <w:t>a que una corriente de solución cianurada entra en contacto directo con el mineral.</w:t>
      </w:r>
    </w:p>
    <w:p w14:paraId="532C7A37" w14:textId="77777777" w:rsidR="00034FC8" w:rsidRPr="00034FC8" w:rsidRDefault="00034FC8" w:rsidP="007E2BD9">
      <w:pPr>
        <w:spacing w:after="0" w:line="360" w:lineRule="auto"/>
        <w:jc w:val="center"/>
        <w:rPr>
          <w:rFonts w:ascii="Arial" w:hAnsi="Arial" w:cs="Arial"/>
          <w:lang w:val="es-PE"/>
        </w:rPr>
      </w:pPr>
      <w:r w:rsidRPr="00034FC8">
        <w:rPr>
          <w:rFonts w:ascii="Arial" w:hAnsi="Arial" w:cs="Arial"/>
          <w:lang w:val="es-PE"/>
        </w:rPr>
        <w:t>Figura 3. Efecto del Injection Leaching en el incremento de ley de oro en CA10.</w:t>
      </w:r>
    </w:p>
    <w:p w14:paraId="386B0CF3" w14:textId="1CD05433" w:rsidR="00034FC8" w:rsidRPr="00034FC8" w:rsidRDefault="00034FC8" w:rsidP="00975D20">
      <w:pPr>
        <w:spacing w:after="0" w:line="360" w:lineRule="auto"/>
        <w:ind w:firstLine="720"/>
        <w:jc w:val="both"/>
        <w:rPr>
          <w:rFonts w:ascii="Arial" w:hAnsi="Arial" w:cs="Arial"/>
          <w:lang w:val="es-PE"/>
        </w:rPr>
      </w:pPr>
      <w:r w:rsidRPr="006C21ED">
        <w:rPr>
          <w:rFonts w:ascii="Arial" w:hAnsi="Arial" w:cs="Arial"/>
          <w:u w:val="single"/>
          <w:lang w:val="es-PE"/>
        </w:rPr>
        <w:t xml:space="preserve">Prueba Piloto en un </w:t>
      </w:r>
      <w:proofErr w:type="spellStart"/>
      <w:r w:rsidRPr="006C21ED">
        <w:rPr>
          <w:rFonts w:ascii="Arial" w:hAnsi="Arial" w:cs="Arial"/>
          <w:u w:val="single"/>
          <w:lang w:val="es-PE"/>
        </w:rPr>
        <w:t>Pad</w:t>
      </w:r>
      <w:proofErr w:type="spellEnd"/>
      <w:r w:rsidRPr="006C21ED">
        <w:rPr>
          <w:rFonts w:ascii="Arial" w:hAnsi="Arial" w:cs="Arial"/>
          <w:u w:val="single"/>
          <w:lang w:val="es-PE"/>
        </w:rPr>
        <w:t xml:space="preserve"> sin inventario</w:t>
      </w:r>
      <w:r w:rsidR="006C21ED">
        <w:rPr>
          <w:rFonts w:ascii="Arial" w:hAnsi="Arial" w:cs="Arial"/>
          <w:lang w:val="es-PE"/>
        </w:rPr>
        <w:t xml:space="preserve">. </w:t>
      </w:r>
      <w:r w:rsidR="00751D50">
        <w:rPr>
          <w:rFonts w:ascii="Arial" w:hAnsi="Arial" w:cs="Arial"/>
          <w:lang w:val="es-PE"/>
        </w:rPr>
        <w:t>Ya con los buenos resultados del Injection</w:t>
      </w:r>
      <w:r w:rsidR="008E1C08">
        <w:rPr>
          <w:rFonts w:ascii="Arial" w:hAnsi="Arial" w:cs="Arial"/>
          <w:lang w:val="es-PE"/>
        </w:rPr>
        <w:t xml:space="preserve"> Leaching, s</w:t>
      </w:r>
      <w:r w:rsidR="00C76C12">
        <w:rPr>
          <w:rFonts w:ascii="Arial" w:hAnsi="Arial" w:cs="Arial"/>
          <w:lang w:val="es-PE"/>
        </w:rPr>
        <w:t>e decidió inyectar</w:t>
      </w:r>
      <w:r w:rsidRPr="00034FC8">
        <w:rPr>
          <w:rFonts w:ascii="Arial" w:hAnsi="Arial" w:cs="Arial"/>
          <w:lang w:val="es-PE"/>
        </w:rPr>
        <w:t xml:space="preserve"> en un </w:t>
      </w:r>
      <w:proofErr w:type="spellStart"/>
      <w:r w:rsidRPr="00034FC8">
        <w:rPr>
          <w:rFonts w:ascii="Arial" w:hAnsi="Arial" w:cs="Arial"/>
          <w:lang w:val="es-PE"/>
        </w:rPr>
        <w:t>Pad</w:t>
      </w:r>
      <w:proofErr w:type="spellEnd"/>
      <w:r w:rsidRPr="00034FC8">
        <w:rPr>
          <w:rFonts w:ascii="Arial" w:hAnsi="Arial" w:cs="Arial"/>
          <w:lang w:val="es-PE"/>
        </w:rPr>
        <w:t xml:space="preserve"> que carecía de inventario. Durante la contabilidad metalúrgica de cada pozo, se identificó que algunos pozos de inyección no eran rentables, poniendo en riesgo la continuidad del proyecto. No obstante, al evaluar los grupos de pozos, se comprobó la posibilidad de una producción rentable, ya que la baja producción de ciertos pozos se compensaba con la alta producción de otros.</w:t>
      </w:r>
    </w:p>
    <w:p w14:paraId="7DDC9A58" w14:textId="294C19C5" w:rsidR="00034FC8" w:rsidRPr="00034FC8" w:rsidRDefault="003B1398" w:rsidP="003B1398">
      <w:pPr>
        <w:spacing w:after="0" w:line="360" w:lineRule="auto"/>
        <w:jc w:val="center"/>
        <w:rPr>
          <w:rFonts w:ascii="Arial" w:hAnsi="Arial" w:cs="Arial"/>
          <w:lang w:val="es-PE"/>
        </w:rPr>
      </w:pPr>
      <w:r>
        <w:rPr>
          <w:i/>
          <w:noProof/>
          <w:lang w:val="en-US"/>
        </w:rPr>
        <w:lastRenderedPageBreak/>
        <w:drawing>
          <wp:anchor distT="0" distB="0" distL="114300" distR="114300" simplePos="0" relativeHeight="251661312" behindDoc="1" locked="0" layoutInCell="1" allowOverlap="1" wp14:anchorId="4537A222" wp14:editId="161AB62B">
            <wp:simplePos x="0" y="0"/>
            <wp:positionH relativeFrom="column">
              <wp:posOffset>28575</wp:posOffset>
            </wp:positionH>
            <wp:positionV relativeFrom="paragraph">
              <wp:posOffset>0</wp:posOffset>
            </wp:positionV>
            <wp:extent cx="3549794" cy="2084698"/>
            <wp:effectExtent l="0" t="0" r="0" b="0"/>
            <wp:wrapTight wrapText="bothSides">
              <wp:wrapPolygon edited="0">
                <wp:start x="0" y="0"/>
                <wp:lineTo x="0" y="21324"/>
                <wp:lineTo x="21445" y="21324"/>
                <wp:lineTo x="21445" y="0"/>
                <wp:lineTo x="0" y="0"/>
              </wp:wrapPolygon>
            </wp:wrapTight>
            <wp:docPr id="516788539" name="Picture 4" descr="A graph of a so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8539" name="Picture 4" descr="A graph of a solu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49794" cy="2084698"/>
                    </a:xfrm>
                    <a:prstGeom prst="rect">
                      <a:avLst/>
                    </a:prstGeom>
                    <a:noFill/>
                  </pic:spPr>
                </pic:pic>
              </a:graphicData>
            </a:graphic>
          </wp:anchor>
        </w:drawing>
      </w:r>
    </w:p>
    <w:p w14:paraId="131A1A88" w14:textId="77777777" w:rsidR="00034FC8" w:rsidRPr="00034FC8" w:rsidRDefault="00034FC8" w:rsidP="003B1398">
      <w:pPr>
        <w:spacing w:after="0" w:line="360" w:lineRule="auto"/>
        <w:jc w:val="center"/>
        <w:rPr>
          <w:rFonts w:ascii="Arial" w:hAnsi="Arial" w:cs="Arial"/>
          <w:lang w:val="es-PE"/>
        </w:rPr>
      </w:pPr>
      <w:r w:rsidRPr="00034FC8">
        <w:rPr>
          <w:rFonts w:ascii="Arial" w:hAnsi="Arial" w:cs="Arial"/>
          <w:lang w:val="es-PE"/>
        </w:rPr>
        <w:t>Figura 4. Concentraciones de oro en la descarga de LQ8</w:t>
      </w:r>
    </w:p>
    <w:p w14:paraId="1A8BA7BD" w14:textId="33899C12" w:rsidR="00DE0ED2" w:rsidRPr="00034FC8" w:rsidRDefault="00904B4D" w:rsidP="00DE0ED2">
      <w:pPr>
        <w:spacing w:after="0" w:line="360" w:lineRule="auto"/>
        <w:ind w:firstLine="720"/>
        <w:jc w:val="both"/>
        <w:rPr>
          <w:rFonts w:ascii="Arial" w:hAnsi="Arial" w:cs="Arial"/>
          <w:lang w:val="es-PE"/>
        </w:rPr>
      </w:pPr>
      <w:r>
        <w:rPr>
          <w:i/>
          <w:noProof/>
          <w:lang w:val="es-419"/>
        </w:rPr>
        <w:drawing>
          <wp:anchor distT="0" distB="0" distL="114300" distR="114300" simplePos="0" relativeHeight="251662336" behindDoc="1" locked="0" layoutInCell="1" allowOverlap="1" wp14:anchorId="2FF39C21" wp14:editId="307CCED3">
            <wp:simplePos x="0" y="0"/>
            <wp:positionH relativeFrom="margin">
              <wp:align>right</wp:align>
            </wp:positionH>
            <wp:positionV relativeFrom="paragraph">
              <wp:posOffset>2134870</wp:posOffset>
            </wp:positionV>
            <wp:extent cx="5195570" cy="2428875"/>
            <wp:effectExtent l="0" t="0" r="5080" b="9525"/>
            <wp:wrapTight wrapText="bothSides">
              <wp:wrapPolygon edited="0">
                <wp:start x="0" y="0"/>
                <wp:lineTo x="0" y="21515"/>
                <wp:lineTo x="21542" y="21515"/>
                <wp:lineTo x="21542" y="0"/>
                <wp:lineTo x="0" y="0"/>
              </wp:wrapPolygon>
            </wp:wrapTight>
            <wp:docPr id="68272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5570" cy="2428875"/>
                    </a:xfrm>
                    <a:prstGeom prst="rect">
                      <a:avLst/>
                    </a:prstGeom>
                    <a:noFill/>
                  </pic:spPr>
                </pic:pic>
              </a:graphicData>
            </a:graphic>
            <wp14:sizeRelH relativeFrom="margin">
              <wp14:pctWidth>0</wp14:pctWidth>
            </wp14:sizeRelH>
            <wp14:sizeRelV relativeFrom="margin">
              <wp14:pctHeight>0</wp14:pctHeight>
            </wp14:sizeRelV>
          </wp:anchor>
        </w:drawing>
      </w:r>
      <w:r w:rsidR="00034FC8" w:rsidRPr="0071648C">
        <w:rPr>
          <w:rFonts w:ascii="Arial" w:hAnsi="Arial" w:cs="Arial"/>
          <w:u w:val="single"/>
          <w:lang w:val="es-PE"/>
        </w:rPr>
        <w:t>Inicio de operaciones de Injection Leaching</w:t>
      </w:r>
      <w:r w:rsidR="0071648C">
        <w:rPr>
          <w:rFonts w:ascii="Arial" w:hAnsi="Arial" w:cs="Arial"/>
          <w:lang w:val="es-PE"/>
        </w:rPr>
        <w:t xml:space="preserve">. </w:t>
      </w:r>
      <w:r w:rsidR="00034FC8" w:rsidRPr="00034FC8">
        <w:rPr>
          <w:rFonts w:ascii="Arial" w:hAnsi="Arial" w:cs="Arial"/>
          <w:lang w:val="es-PE"/>
        </w:rPr>
        <w:t xml:space="preserve">Las operaciones comenzaron en </w:t>
      </w:r>
      <w:proofErr w:type="gramStart"/>
      <w:r w:rsidR="003E69C9">
        <w:rPr>
          <w:rFonts w:ascii="Arial" w:hAnsi="Arial" w:cs="Arial"/>
          <w:lang w:val="es-PE"/>
        </w:rPr>
        <w:t>M</w:t>
      </w:r>
      <w:r w:rsidR="00034FC8" w:rsidRPr="00034FC8">
        <w:rPr>
          <w:rFonts w:ascii="Arial" w:hAnsi="Arial" w:cs="Arial"/>
          <w:lang w:val="es-PE"/>
        </w:rPr>
        <w:t>arzo</w:t>
      </w:r>
      <w:proofErr w:type="gramEnd"/>
      <w:r w:rsidR="00034FC8" w:rsidRPr="00034FC8">
        <w:rPr>
          <w:rFonts w:ascii="Arial" w:hAnsi="Arial" w:cs="Arial"/>
          <w:lang w:val="es-PE"/>
        </w:rPr>
        <w:t xml:space="preserve"> de 2023.</w:t>
      </w:r>
      <w:r w:rsidR="00C81C39">
        <w:rPr>
          <w:rFonts w:ascii="Arial" w:hAnsi="Arial" w:cs="Arial"/>
          <w:lang w:val="es-PE"/>
        </w:rPr>
        <w:t xml:space="preserve"> </w:t>
      </w:r>
      <w:r w:rsidR="00034FC8" w:rsidRPr="00034FC8">
        <w:rPr>
          <w:rFonts w:ascii="Arial" w:hAnsi="Arial" w:cs="Arial"/>
          <w:lang w:val="es-PE"/>
        </w:rPr>
        <w:t xml:space="preserve">Durante </w:t>
      </w:r>
      <w:r w:rsidR="0085086D">
        <w:rPr>
          <w:rFonts w:ascii="Arial" w:hAnsi="Arial" w:cs="Arial"/>
          <w:lang w:val="es-PE"/>
        </w:rPr>
        <w:t>la operación</w:t>
      </w:r>
      <w:r w:rsidR="00DB73F0">
        <w:rPr>
          <w:rFonts w:ascii="Arial" w:hAnsi="Arial" w:cs="Arial"/>
          <w:lang w:val="es-PE"/>
        </w:rPr>
        <w:t>,</w:t>
      </w:r>
      <w:r w:rsidR="00034FC8" w:rsidRPr="00034FC8">
        <w:rPr>
          <w:rFonts w:ascii="Arial" w:hAnsi="Arial" w:cs="Arial"/>
          <w:lang w:val="es-PE"/>
        </w:rPr>
        <w:t xml:space="preserve"> se implementaron controles a las restricciones geotécnicas, lo cual resultó en un incremento de los costos del proceso de Injection Leaching</w:t>
      </w:r>
      <w:r w:rsidR="00C81C39">
        <w:rPr>
          <w:rFonts w:ascii="Arial" w:hAnsi="Arial" w:cs="Arial"/>
          <w:lang w:val="es-PE"/>
        </w:rPr>
        <w:t>;</w:t>
      </w:r>
      <w:r w:rsidR="00034FC8" w:rsidRPr="00034FC8">
        <w:rPr>
          <w:rFonts w:ascii="Arial" w:hAnsi="Arial" w:cs="Arial"/>
          <w:lang w:val="es-PE"/>
        </w:rPr>
        <w:t xml:space="preserve"> </w:t>
      </w:r>
      <w:r w:rsidR="00C81C39">
        <w:rPr>
          <w:rFonts w:ascii="Arial" w:hAnsi="Arial" w:cs="Arial"/>
          <w:lang w:val="es-PE"/>
        </w:rPr>
        <w:t>a</w:t>
      </w:r>
      <w:r w:rsidR="00034FC8" w:rsidRPr="00034FC8">
        <w:rPr>
          <w:rFonts w:ascii="Arial" w:hAnsi="Arial" w:cs="Arial"/>
          <w:lang w:val="es-PE"/>
        </w:rPr>
        <w:t>un así, el proceso mantenía su rentabilidad. La operación adquirió muchos aprendizajes y actualmente el sistema está funcionando adecuadamente.</w:t>
      </w:r>
      <w:r w:rsidR="00947E6D">
        <w:rPr>
          <w:rFonts w:ascii="Arial" w:hAnsi="Arial" w:cs="Arial"/>
          <w:lang w:val="es-PE"/>
        </w:rPr>
        <w:t xml:space="preserve"> </w:t>
      </w:r>
      <w:r w:rsidR="00DE0ED2">
        <w:rPr>
          <w:rFonts w:ascii="Arial" w:hAnsi="Arial" w:cs="Arial"/>
          <w:lang w:val="es-PE"/>
        </w:rPr>
        <w:t xml:space="preserve">Desde que se </w:t>
      </w:r>
      <w:r w:rsidR="0085086D">
        <w:rPr>
          <w:rFonts w:ascii="Arial" w:hAnsi="Arial" w:cs="Arial"/>
          <w:lang w:val="es-PE"/>
        </w:rPr>
        <w:t>inició este proceso</w:t>
      </w:r>
      <w:r w:rsidR="00DE0ED2">
        <w:rPr>
          <w:rFonts w:ascii="Arial" w:hAnsi="Arial" w:cs="Arial"/>
          <w:lang w:val="es-PE"/>
        </w:rPr>
        <w:t xml:space="preserve">, se han logrado </w:t>
      </w:r>
      <w:r w:rsidR="0085086D">
        <w:rPr>
          <w:rFonts w:ascii="Arial" w:hAnsi="Arial" w:cs="Arial"/>
          <w:lang w:val="es-PE"/>
        </w:rPr>
        <w:t>alrededor</w:t>
      </w:r>
      <w:r w:rsidR="00DE0ED2">
        <w:rPr>
          <w:rFonts w:ascii="Arial" w:hAnsi="Arial" w:cs="Arial"/>
          <w:lang w:val="es-PE"/>
        </w:rPr>
        <w:t xml:space="preserve"> de 2</w:t>
      </w:r>
      <w:r w:rsidR="00B50FA9">
        <w:rPr>
          <w:rFonts w:ascii="Arial" w:hAnsi="Arial" w:cs="Arial"/>
          <w:lang w:val="es-PE"/>
        </w:rPr>
        <w:t>60</w:t>
      </w:r>
      <w:r w:rsidR="0085086D">
        <w:rPr>
          <w:rFonts w:ascii="Arial" w:hAnsi="Arial" w:cs="Arial"/>
          <w:lang w:val="es-PE"/>
        </w:rPr>
        <w:t>mil</w:t>
      </w:r>
      <w:r w:rsidR="00B50FA9">
        <w:rPr>
          <w:rFonts w:ascii="Arial" w:hAnsi="Arial" w:cs="Arial"/>
          <w:lang w:val="es-PE"/>
        </w:rPr>
        <w:t xml:space="preserve"> onzas</w:t>
      </w:r>
      <w:r w:rsidR="003F791F">
        <w:rPr>
          <w:rFonts w:ascii="Arial" w:hAnsi="Arial" w:cs="Arial"/>
          <w:lang w:val="es-PE"/>
        </w:rPr>
        <w:t xml:space="preserve"> hasta marzo del 2025.</w:t>
      </w:r>
    </w:p>
    <w:p w14:paraId="66114463" w14:textId="5DE84AC7" w:rsidR="00DE0ED2" w:rsidRDefault="00DE0ED2" w:rsidP="00DE0ED2">
      <w:pPr>
        <w:spacing w:after="0" w:line="360" w:lineRule="auto"/>
        <w:jc w:val="center"/>
        <w:rPr>
          <w:rFonts w:ascii="Arial" w:hAnsi="Arial" w:cs="Arial"/>
          <w:lang w:val="es-PE"/>
        </w:rPr>
      </w:pPr>
    </w:p>
    <w:p w14:paraId="05F17DC8" w14:textId="1603F408" w:rsidR="00034FC8" w:rsidRPr="00034FC8" w:rsidRDefault="00034FC8" w:rsidP="00DE0ED2">
      <w:pPr>
        <w:spacing w:after="0" w:line="360" w:lineRule="auto"/>
        <w:jc w:val="center"/>
        <w:rPr>
          <w:rFonts w:ascii="Arial" w:hAnsi="Arial" w:cs="Arial"/>
          <w:lang w:val="es-PE"/>
        </w:rPr>
      </w:pPr>
      <w:r w:rsidRPr="00034FC8">
        <w:rPr>
          <w:rFonts w:ascii="Arial" w:hAnsi="Arial" w:cs="Arial"/>
          <w:lang w:val="es-PE"/>
        </w:rPr>
        <w:t xml:space="preserve">Figura </w:t>
      </w:r>
      <w:r w:rsidR="00DE0ED2">
        <w:rPr>
          <w:rFonts w:ascii="Arial" w:hAnsi="Arial" w:cs="Arial"/>
          <w:lang w:val="es-PE"/>
        </w:rPr>
        <w:t>6</w:t>
      </w:r>
      <w:r w:rsidRPr="00034FC8">
        <w:rPr>
          <w:rFonts w:ascii="Arial" w:hAnsi="Arial" w:cs="Arial"/>
          <w:lang w:val="es-PE"/>
        </w:rPr>
        <w:t>. Producción de oro histórica de Injection Leaching</w:t>
      </w:r>
    </w:p>
    <w:p w14:paraId="5F0E68FD" w14:textId="0D13E7A5" w:rsidR="00EF6654" w:rsidRPr="009C08CC" w:rsidRDefault="00EF6654" w:rsidP="00EF6654">
      <w:pPr>
        <w:pBdr>
          <w:bottom w:val="single" w:sz="12" w:space="1" w:color="auto"/>
        </w:pBdr>
        <w:spacing w:before="120" w:after="0" w:line="360" w:lineRule="auto"/>
        <w:jc w:val="both"/>
        <w:rPr>
          <w:rFonts w:ascii="Arial" w:hAnsi="Arial" w:cs="Arial"/>
          <w:b/>
          <w:bCs/>
          <w:lang w:val="es-PE"/>
        </w:rPr>
      </w:pPr>
      <w:r>
        <w:rPr>
          <w:rFonts w:ascii="Arial" w:hAnsi="Arial" w:cs="Arial"/>
          <w:b/>
          <w:bCs/>
          <w:lang w:val="es-PE"/>
        </w:rPr>
        <w:t>Conclusiones</w:t>
      </w:r>
    </w:p>
    <w:p w14:paraId="05226475" w14:textId="16A0D5C8" w:rsidR="00EC4EF3" w:rsidRPr="00EC4EF3" w:rsidRDefault="00EC4EF3" w:rsidP="00EC4EF3">
      <w:pPr>
        <w:pStyle w:val="Prrafodelista"/>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La recuperación de oro mediante Injection Leaching</w:t>
      </w:r>
      <w:r>
        <w:rPr>
          <w:rFonts w:ascii="Arial" w:hAnsi="Arial" w:cs="Arial"/>
          <w:lang w:val="es-PE"/>
        </w:rPr>
        <w:t>,</w:t>
      </w:r>
      <w:r w:rsidRPr="00EC4EF3">
        <w:rPr>
          <w:rFonts w:ascii="Arial" w:hAnsi="Arial" w:cs="Arial"/>
          <w:lang w:val="es-PE"/>
        </w:rPr>
        <w:t xml:space="preserve"> representa un método de lixiviación secundaria eficiente en costos, facilitando la explotación óptima de recursos minerales.</w:t>
      </w:r>
    </w:p>
    <w:p w14:paraId="13749C1F" w14:textId="77777777" w:rsidR="00EC4EF3" w:rsidRPr="00EC4EF3" w:rsidRDefault="00EC4EF3" w:rsidP="00EC4EF3">
      <w:pPr>
        <w:pStyle w:val="Prrafodelista"/>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Solo con tres pozos no es suficiente para analizar bien la viabilidad de la nueva tecnología de Injection Leaching. Se necesitan al menos siete pozos para obtener datos de mejor calidad.</w:t>
      </w:r>
    </w:p>
    <w:p w14:paraId="7B960CE7" w14:textId="77777777" w:rsidR="00EC4EF3" w:rsidRPr="00EC4EF3" w:rsidRDefault="00EC4EF3" w:rsidP="00EC4EF3">
      <w:pPr>
        <w:pStyle w:val="Prrafodelista"/>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El Injection Leaching libera metales contaminantes, por lo que es necesario incluir pruebas de tratamiento de agua, como ósmosis inversa, durante el pilotaje.</w:t>
      </w:r>
    </w:p>
    <w:p w14:paraId="4679EA3C" w14:textId="77777777" w:rsidR="00EC4EF3" w:rsidRPr="00EC4EF3" w:rsidRDefault="00EC4EF3" w:rsidP="00EC4EF3">
      <w:pPr>
        <w:pStyle w:val="Prrafodelista"/>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La recuperación secundaria mediante el método de Injection Leaching ha sido exitosa en la extracción de 259,345 onzas de oro (</w:t>
      </w:r>
      <w:proofErr w:type="gramStart"/>
      <w:r w:rsidRPr="00EC4EF3">
        <w:rPr>
          <w:rFonts w:ascii="Arial" w:hAnsi="Arial" w:cs="Arial"/>
          <w:lang w:val="es-PE"/>
        </w:rPr>
        <w:t>Marzo</w:t>
      </w:r>
      <w:proofErr w:type="gramEnd"/>
      <w:r w:rsidRPr="00EC4EF3">
        <w:rPr>
          <w:rFonts w:ascii="Arial" w:hAnsi="Arial" w:cs="Arial"/>
          <w:lang w:val="es-PE"/>
        </w:rPr>
        <w:t xml:space="preserve"> 2025). Estas onzas habrían permanecido en el </w:t>
      </w:r>
      <w:proofErr w:type="spellStart"/>
      <w:r w:rsidRPr="00EC4EF3">
        <w:rPr>
          <w:rFonts w:ascii="Arial" w:hAnsi="Arial" w:cs="Arial"/>
          <w:lang w:val="es-PE"/>
        </w:rPr>
        <w:t>Pad</w:t>
      </w:r>
      <w:proofErr w:type="spellEnd"/>
      <w:r w:rsidRPr="00EC4EF3">
        <w:rPr>
          <w:rFonts w:ascii="Arial" w:hAnsi="Arial" w:cs="Arial"/>
          <w:lang w:val="es-PE"/>
        </w:rPr>
        <w:t xml:space="preserve"> al momento del cierre de la mina, resultando en ineficiencias de extracción de recursos.</w:t>
      </w:r>
    </w:p>
    <w:p w14:paraId="1AFD96F1" w14:textId="4E1BE46D" w:rsidR="006366DF" w:rsidRPr="00EC4EF3" w:rsidRDefault="00EC4EF3" w:rsidP="00EC4EF3">
      <w:pPr>
        <w:pStyle w:val="Prrafodelista"/>
        <w:numPr>
          <w:ilvl w:val="0"/>
          <w:numId w:val="13"/>
        </w:numPr>
        <w:pBdr>
          <w:bottom w:val="single" w:sz="12" w:space="1" w:color="auto"/>
        </w:pBdr>
        <w:spacing w:after="0" w:line="360" w:lineRule="auto"/>
        <w:ind w:left="426" w:hanging="426"/>
        <w:jc w:val="both"/>
        <w:rPr>
          <w:rFonts w:ascii="Arial" w:hAnsi="Arial" w:cs="Arial"/>
          <w:lang w:val="es-PE"/>
        </w:rPr>
      </w:pPr>
      <w:r w:rsidRPr="00EC4EF3">
        <w:rPr>
          <w:rFonts w:ascii="Arial" w:hAnsi="Arial" w:cs="Arial"/>
          <w:lang w:val="es-PE"/>
        </w:rPr>
        <w:t>Se sugiere realizar la Lixiviación por Injection Leaching inmediatamente después de la lixiviación primaria y también evaluar esta tecnología en minas de lixiviación de cobre.</w:t>
      </w:r>
    </w:p>
    <w:p w14:paraId="17E1E07F" w14:textId="68B59B7B" w:rsidR="00A702A8" w:rsidRPr="000A238C" w:rsidRDefault="00A702A8" w:rsidP="00C0049C">
      <w:pPr>
        <w:pBdr>
          <w:bottom w:val="single" w:sz="12" w:space="1" w:color="auto"/>
        </w:pBdr>
        <w:spacing w:after="0" w:line="360" w:lineRule="auto"/>
        <w:jc w:val="center"/>
        <w:rPr>
          <w:rFonts w:ascii="Arial" w:hAnsi="Arial" w:cs="Arial"/>
          <w:lang w:val="es-PE"/>
        </w:rPr>
      </w:pPr>
    </w:p>
    <w:p w14:paraId="2E0C73C7" w14:textId="166B19D1" w:rsidR="00A5761F" w:rsidRPr="00B65E26" w:rsidRDefault="00A5761F" w:rsidP="000A238C">
      <w:pPr>
        <w:spacing w:after="0" w:line="360" w:lineRule="auto"/>
        <w:rPr>
          <w:rFonts w:ascii="Arial" w:hAnsi="Arial" w:cs="Arial"/>
          <w:lang w:val="es-PE"/>
        </w:rPr>
      </w:pPr>
    </w:p>
    <w:sectPr w:rsidR="00A5761F" w:rsidRPr="00B65E26"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7152639">
    <w:abstractNumId w:val="9"/>
  </w:num>
  <w:num w:numId="2" w16cid:durableId="1986203495">
    <w:abstractNumId w:val="12"/>
  </w:num>
  <w:num w:numId="3" w16cid:durableId="967315925">
    <w:abstractNumId w:val="8"/>
  </w:num>
  <w:num w:numId="4" w16cid:durableId="905846131">
    <w:abstractNumId w:val="7"/>
  </w:num>
  <w:num w:numId="5" w16cid:durableId="1690838353">
    <w:abstractNumId w:val="6"/>
  </w:num>
  <w:num w:numId="6" w16cid:durableId="954873902">
    <w:abstractNumId w:val="0"/>
  </w:num>
  <w:num w:numId="7" w16cid:durableId="127747534">
    <w:abstractNumId w:val="5"/>
  </w:num>
  <w:num w:numId="8" w16cid:durableId="48455140">
    <w:abstractNumId w:val="4"/>
  </w:num>
  <w:num w:numId="9" w16cid:durableId="539560103">
    <w:abstractNumId w:val="1"/>
  </w:num>
  <w:num w:numId="10" w16cid:durableId="2078938286">
    <w:abstractNumId w:val="10"/>
  </w:num>
  <w:num w:numId="11" w16cid:durableId="422147868">
    <w:abstractNumId w:val="2"/>
  </w:num>
  <w:num w:numId="12" w16cid:durableId="1905406728">
    <w:abstractNumId w:val="11"/>
  </w:num>
  <w:num w:numId="13" w16cid:durableId="1321882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11E2"/>
    <w:rsid w:val="00021CDE"/>
    <w:rsid w:val="00022D65"/>
    <w:rsid w:val="00032718"/>
    <w:rsid w:val="00034FC8"/>
    <w:rsid w:val="0004210E"/>
    <w:rsid w:val="000577E4"/>
    <w:rsid w:val="00063693"/>
    <w:rsid w:val="0008454D"/>
    <w:rsid w:val="000A05BF"/>
    <w:rsid w:val="000A238C"/>
    <w:rsid w:val="000A4087"/>
    <w:rsid w:val="000A45F5"/>
    <w:rsid w:val="000B53B7"/>
    <w:rsid w:val="000B6F46"/>
    <w:rsid w:val="000D2AC1"/>
    <w:rsid w:val="000D2ED6"/>
    <w:rsid w:val="000D5240"/>
    <w:rsid w:val="000D67F1"/>
    <w:rsid w:val="000E1E14"/>
    <w:rsid w:val="000F277F"/>
    <w:rsid w:val="000F6791"/>
    <w:rsid w:val="00125162"/>
    <w:rsid w:val="00130065"/>
    <w:rsid w:val="00134B3C"/>
    <w:rsid w:val="00153799"/>
    <w:rsid w:val="0015571D"/>
    <w:rsid w:val="001559DF"/>
    <w:rsid w:val="001603A0"/>
    <w:rsid w:val="00162901"/>
    <w:rsid w:val="00164DF1"/>
    <w:rsid w:val="0017662A"/>
    <w:rsid w:val="0017725F"/>
    <w:rsid w:val="001809DF"/>
    <w:rsid w:val="00183B49"/>
    <w:rsid w:val="001908A3"/>
    <w:rsid w:val="00191F7B"/>
    <w:rsid w:val="001C3446"/>
    <w:rsid w:val="001D429F"/>
    <w:rsid w:val="001E3859"/>
    <w:rsid w:val="001E64BE"/>
    <w:rsid w:val="001F3768"/>
    <w:rsid w:val="001F3EC1"/>
    <w:rsid w:val="001F5F10"/>
    <w:rsid w:val="001F7934"/>
    <w:rsid w:val="00204932"/>
    <w:rsid w:val="00224F5D"/>
    <w:rsid w:val="00230573"/>
    <w:rsid w:val="00235C0B"/>
    <w:rsid w:val="00237440"/>
    <w:rsid w:val="00247462"/>
    <w:rsid w:val="002475D4"/>
    <w:rsid w:val="002624C8"/>
    <w:rsid w:val="00276006"/>
    <w:rsid w:val="002C21F6"/>
    <w:rsid w:val="002C4823"/>
    <w:rsid w:val="00310553"/>
    <w:rsid w:val="00323E8D"/>
    <w:rsid w:val="0033226C"/>
    <w:rsid w:val="003330EC"/>
    <w:rsid w:val="0033485D"/>
    <w:rsid w:val="003505F2"/>
    <w:rsid w:val="00355409"/>
    <w:rsid w:val="00360759"/>
    <w:rsid w:val="00365351"/>
    <w:rsid w:val="00366149"/>
    <w:rsid w:val="003803C1"/>
    <w:rsid w:val="00393ED8"/>
    <w:rsid w:val="00397D05"/>
    <w:rsid w:val="003A3DA2"/>
    <w:rsid w:val="003A52A9"/>
    <w:rsid w:val="003B0B5D"/>
    <w:rsid w:val="003B1398"/>
    <w:rsid w:val="003B71C2"/>
    <w:rsid w:val="003C2B27"/>
    <w:rsid w:val="003C32F8"/>
    <w:rsid w:val="003C34C6"/>
    <w:rsid w:val="003D647E"/>
    <w:rsid w:val="003D7668"/>
    <w:rsid w:val="003E0177"/>
    <w:rsid w:val="003E06EE"/>
    <w:rsid w:val="003E16C6"/>
    <w:rsid w:val="003E1C6A"/>
    <w:rsid w:val="003E69C9"/>
    <w:rsid w:val="003F31DB"/>
    <w:rsid w:val="003F6BFE"/>
    <w:rsid w:val="003F791F"/>
    <w:rsid w:val="004027B6"/>
    <w:rsid w:val="00402808"/>
    <w:rsid w:val="004203A0"/>
    <w:rsid w:val="00434898"/>
    <w:rsid w:val="00443FB2"/>
    <w:rsid w:val="00445736"/>
    <w:rsid w:val="00461024"/>
    <w:rsid w:val="004741DE"/>
    <w:rsid w:val="004754E9"/>
    <w:rsid w:val="00477D46"/>
    <w:rsid w:val="0048534F"/>
    <w:rsid w:val="0049288A"/>
    <w:rsid w:val="00494BC3"/>
    <w:rsid w:val="004A5C7A"/>
    <w:rsid w:val="004B6E55"/>
    <w:rsid w:val="004C038E"/>
    <w:rsid w:val="004C20E3"/>
    <w:rsid w:val="004C3CF0"/>
    <w:rsid w:val="004C735C"/>
    <w:rsid w:val="004C7596"/>
    <w:rsid w:val="004D59AC"/>
    <w:rsid w:val="004E74D8"/>
    <w:rsid w:val="004F225C"/>
    <w:rsid w:val="004F46DC"/>
    <w:rsid w:val="004F789C"/>
    <w:rsid w:val="00501E63"/>
    <w:rsid w:val="005023E4"/>
    <w:rsid w:val="00507EB0"/>
    <w:rsid w:val="00510B80"/>
    <w:rsid w:val="005110E3"/>
    <w:rsid w:val="00513101"/>
    <w:rsid w:val="0052329A"/>
    <w:rsid w:val="005234FE"/>
    <w:rsid w:val="00526E60"/>
    <w:rsid w:val="00527C23"/>
    <w:rsid w:val="005312C9"/>
    <w:rsid w:val="00541765"/>
    <w:rsid w:val="0055015F"/>
    <w:rsid w:val="0055065D"/>
    <w:rsid w:val="0055307E"/>
    <w:rsid w:val="00555F91"/>
    <w:rsid w:val="0057237E"/>
    <w:rsid w:val="00577960"/>
    <w:rsid w:val="00581539"/>
    <w:rsid w:val="00594019"/>
    <w:rsid w:val="005940B4"/>
    <w:rsid w:val="00595E69"/>
    <w:rsid w:val="00596635"/>
    <w:rsid w:val="005F2B6E"/>
    <w:rsid w:val="00606935"/>
    <w:rsid w:val="00610075"/>
    <w:rsid w:val="00625303"/>
    <w:rsid w:val="006366DF"/>
    <w:rsid w:val="00637862"/>
    <w:rsid w:val="0064166F"/>
    <w:rsid w:val="00642B3A"/>
    <w:rsid w:val="006448D2"/>
    <w:rsid w:val="0066067D"/>
    <w:rsid w:val="00660A18"/>
    <w:rsid w:val="00666B53"/>
    <w:rsid w:val="00684BAE"/>
    <w:rsid w:val="0069457D"/>
    <w:rsid w:val="00694E75"/>
    <w:rsid w:val="006A5CD8"/>
    <w:rsid w:val="006C21ED"/>
    <w:rsid w:val="006C2620"/>
    <w:rsid w:val="006F0F38"/>
    <w:rsid w:val="006F1DD4"/>
    <w:rsid w:val="006F2C6A"/>
    <w:rsid w:val="00706531"/>
    <w:rsid w:val="00710AEA"/>
    <w:rsid w:val="00715783"/>
    <w:rsid w:val="00715C93"/>
    <w:rsid w:val="0071648C"/>
    <w:rsid w:val="0072194B"/>
    <w:rsid w:val="007342AF"/>
    <w:rsid w:val="00744720"/>
    <w:rsid w:val="00751072"/>
    <w:rsid w:val="00751D50"/>
    <w:rsid w:val="00756128"/>
    <w:rsid w:val="0076244F"/>
    <w:rsid w:val="007631CF"/>
    <w:rsid w:val="00765D53"/>
    <w:rsid w:val="00766B51"/>
    <w:rsid w:val="00776E2B"/>
    <w:rsid w:val="0078065B"/>
    <w:rsid w:val="00787AF5"/>
    <w:rsid w:val="00795492"/>
    <w:rsid w:val="007A0A7C"/>
    <w:rsid w:val="007B1FEE"/>
    <w:rsid w:val="007B5010"/>
    <w:rsid w:val="007C0DC2"/>
    <w:rsid w:val="007C34F7"/>
    <w:rsid w:val="007D69B2"/>
    <w:rsid w:val="007D79DD"/>
    <w:rsid w:val="007E001E"/>
    <w:rsid w:val="007E2BD9"/>
    <w:rsid w:val="007E6F16"/>
    <w:rsid w:val="007F0BBB"/>
    <w:rsid w:val="007F0CC2"/>
    <w:rsid w:val="007F3E97"/>
    <w:rsid w:val="008006AE"/>
    <w:rsid w:val="008052CB"/>
    <w:rsid w:val="00816F63"/>
    <w:rsid w:val="00823917"/>
    <w:rsid w:val="008248AC"/>
    <w:rsid w:val="008327D5"/>
    <w:rsid w:val="00847F71"/>
    <w:rsid w:val="0085086D"/>
    <w:rsid w:val="00865E82"/>
    <w:rsid w:val="00867EF3"/>
    <w:rsid w:val="0087503B"/>
    <w:rsid w:val="008902DA"/>
    <w:rsid w:val="00891E4F"/>
    <w:rsid w:val="00893431"/>
    <w:rsid w:val="008960C6"/>
    <w:rsid w:val="008A2020"/>
    <w:rsid w:val="008A4C76"/>
    <w:rsid w:val="008A6BE4"/>
    <w:rsid w:val="008A7E37"/>
    <w:rsid w:val="008B6694"/>
    <w:rsid w:val="008E1C08"/>
    <w:rsid w:val="008E37C1"/>
    <w:rsid w:val="008F119C"/>
    <w:rsid w:val="008F6B95"/>
    <w:rsid w:val="00902446"/>
    <w:rsid w:val="00904B4D"/>
    <w:rsid w:val="009058DE"/>
    <w:rsid w:val="009107AA"/>
    <w:rsid w:val="00912CF4"/>
    <w:rsid w:val="00912E33"/>
    <w:rsid w:val="0091540B"/>
    <w:rsid w:val="009201EB"/>
    <w:rsid w:val="009255EB"/>
    <w:rsid w:val="009269D3"/>
    <w:rsid w:val="00947C0C"/>
    <w:rsid w:val="00947E6D"/>
    <w:rsid w:val="00965067"/>
    <w:rsid w:val="00967A20"/>
    <w:rsid w:val="00975D20"/>
    <w:rsid w:val="00984DC5"/>
    <w:rsid w:val="0099305C"/>
    <w:rsid w:val="009A0DB2"/>
    <w:rsid w:val="009B3824"/>
    <w:rsid w:val="009B394C"/>
    <w:rsid w:val="009C08CC"/>
    <w:rsid w:val="009D00D0"/>
    <w:rsid w:val="009E0462"/>
    <w:rsid w:val="009E6A1F"/>
    <w:rsid w:val="009F5BF5"/>
    <w:rsid w:val="00A06D12"/>
    <w:rsid w:val="00A11CD4"/>
    <w:rsid w:val="00A241D7"/>
    <w:rsid w:val="00A25EEF"/>
    <w:rsid w:val="00A27737"/>
    <w:rsid w:val="00A34A53"/>
    <w:rsid w:val="00A4568B"/>
    <w:rsid w:val="00A5761F"/>
    <w:rsid w:val="00A576A1"/>
    <w:rsid w:val="00A61ADB"/>
    <w:rsid w:val="00A702A8"/>
    <w:rsid w:val="00A92CA5"/>
    <w:rsid w:val="00AC6824"/>
    <w:rsid w:val="00AE7A78"/>
    <w:rsid w:val="00B01BFE"/>
    <w:rsid w:val="00B040C5"/>
    <w:rsid w:val="00B04F54"/>
    <w:rsid w:val="00B50F1C"/>
    <w:rsid w:val="00B50FA9"/>
    <w:rsid w:val="00B52442"/>
    <w:rsid w:val="00B53511"/>
    <w:rsid w:val="00B55152"/>
    <w:rsid w:val="00B63F35"/>
    <w:rsid w:val="00B65E26"/>
    <w:rsid w:val="00B660F7"/>
    <w:rsid w:val="00B66E5F"/>
    <w:rsid w:val="00B756FA"/>
    <w:rsid w:val="00B77A53"/>
    <w:rsid w:val="00B81E8B"/>
    <w:rsid w:val="00B841C4"/>
    <w:rsid w:val="00BA786C"/>
    <w:rsid w:val="00BB3173"/>
    <w:rsid w:val="00BB32C8"/>
    <w:rsid w:val="00BC6060"/>
    <w:rsid w:val="00BC6C23"/>
    <w:rsid w:val="00C0049C"/>
    <w:rsid w:val="00C05D7B"/>
    <w:rsid w:val="00C10E47"/>
    <w:rsid w:val="00C20BBC"/>
    <w:rsid w:val="00C236B5"/>
    <w:rsid w:val="00C31A66"/>
    <w:rsid w:val="00C33535"/>
    <w:rsid w:val="00C426C8"/>
    <w:rsid w:val="00C42895"/>
    <w:rsid w:val="00C46EB4"/>
    <w:rsid w:val="00C54E53"/>
    <w:rsid w:val="00C558A5"/>
    <w:rsid w:val="00C716BD"/>
    <w:rsid w:val="00C7191D"/>
    <w:rsid w:val="00C73770"/>
    <w:rsid w:val="00C75C0C"/>
    <w:rsid w:val="00C76C12"/>
    <w:rsid w:val="00C772AE"/>
    <w:rsid w:val="00C81C39"/>
    <w:rsid w:val="00C822F9"/>
    <w:rsid w:val="00C84ECF"/>
    <w:rsid w:val="00C85D72"/>
    <w:rsid w:val="00CA1B3A"/>
    <w:rsid w:val="00CA25D0"/>
    <w:rsid w:val="00CA67CF"/>
    <w:rsid w:val="00CC1057"/>
    <w:rsid w:val="00CC5DE1"/>
    <w:rsid w:val="00CE0F0E"/>
    <w:rsid w:val="00CE4261"/>
    <w:rsid w:val="00CF05D0"/>
    <w:rsid w:val="00CF3EDC"/>
    <w:rsid w:val="00D04616"/>
    <w:rsid w:val="00D07AA5"/>
    <w:rsid w:val="00D13B04"/>
    <w:rsid w:val="00D14107"/>
    <w:rsid w:val="00D20835"/>
    <w:rsid w:val="00D23118"/>
    <w:rsid w:val="00D23EEE"/>
    <w:rsid w:val="00D32A4D"/>
    <w:rsid w:val="00D33F8A"/>
    <w:rsid w:val="00D456D5"/>
    <w:rsid w:val="00D54112"/>
    <w:rsid w:val="00D57297"/>
    <w:rsid w:val="00D61092"/>
    <w:rsid w:val="00D61F0C"/>
    <w:rsid w:val="00D62E16"/>
    <w:rsid w:val="00D64617"/>
    <w:rsid w:val="00D84BE3"/>
    <w:rsid w:val="00DB2AC9"/>
    <w:rsid w:val="00DB73F0"/>
    <w:rsid w:val="00DC38DD"/>
    <w:rsid w:val="00DD488B"/>
    <w:rsid w:val="00DE0ED2"/>
    <w:rsid w:val="00DE10C2"/>
    <w:rsid w:val="00DF3F22"/>
    <w:rsid w:val="00DF4EDF"/>
    <w:rsid w:val="00E044CD"/>
    <w:rsid w:val="00E10A9F"/>
    <w:rsid w:val="00E1256D"/>
    <w:rsid w:val="00E13607"/>
    <w:rsid w:val="00E16DF1"/>
    <w:rsid w:val="00E220EB"/>
    <w:rsid w:val="00E27FED"/>
    <w:rsid w:val="00E30F7E"/>
    <w:rsid w:val="00E37590"/>
    <w:rsid w:val="00E44F78"/>
    <w:rsid w:val="00E47ADD"/>
    <w:rsid w:val="00E521D8"/>
    <w:rsid w:val="00E52365"/>
    <w:rsid w:val="00E66A7A"/>
    <w:rsid w:val="00E66C49"/>
    <w:rsid w:val="00E67B77"/>
    <w:rsid w:val="00E91F6E"/>
    <w:rsid w:val="00E93869"/>
    <w:rsid w:val="00EA376F"/>
    <w:rsid w:val="00EB16C8"/>
    <w:rsid w:val="00EB7999"/>
    <w:rsid w:val="00EC00DB"/>
    <w:rsid w:val="00EC4EF3"/>
    <w:rsid w:val="00ED13EC"/>
    <w:rsid w:val="00ED279D"/>
    <w:rsid w:val="00ED41A5"/>
    <w:rsid w:val="00ED5CA8"/>
    <w:rsid w:val="00ED6269"/>
    <w:rsid w:val="00ED726D"/>
    <w:rsid w:val="00EF120F"/>
    <w:rsid w:val="00EF1AF7"/>
    <w:rsid w:val="00EF4ADC"/>
    <w:rsid w:val="00EF510E"/>
    <w:rsid w:val="00EF6654"/>
    <w:rsid w:val="00F06CAB"/>
    <w:rsid w:val="00F06FD4"/>
    <w:rsid w:val="00F23955"/>
    <w:rsid w:val="00F444FF"/>
    <w:rsid w:val="00F447A2"/>
    <w:rsid w:val="00F4541F"/>
    <w:rsid w:val="00F671EE"/>
    <w:rsid w:val="00F67889"/>
    <w:rsid w:val="00F72740"/>
    <w:rsid w:val="00F73B63"/>
    <w:rsid w:val="00F778F3"/>
    <w:rsid w:val="00F84A77"/>
    <w:rsid w:val="00F90C8D"/>
    <w:rsid w:val="00F9297A"/>
    <w:rsid w:val="00FC24AE"/>
    <w:rsid w:val="00FD3D9F"/>
    <w:rsid w:val="00FE1396"/>
    <w:rsid w:val="00FE177A"/>
    <w:rsid w:val="00FE5FB5"/>
    <w:rsid w:val="00FE6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A5761F"/>
    <w:pPr>
      <w:ind w:left="720"/>
      <w:contextualSpacing/>
    </w:pPr>
  </w:style>
  <w:style w:type="character" w:styleId="Hipervnculo">
    <w:name w:val="Hyperlink"/>
    <w:basedOn w:val="Fuentedeprrafopredeter"/>
    <w:uiPriority w:val="99"/>
    <w:unhideWhenUsed/>
    <w:rsid w:val="00A5761F"/>
    <w:rPr>
      <w:color w:val="0563C1" w:themeColor="hyperlink"/>
      <w:u w:val="single"/>
    </w:rPr>
  </w:style>
  <w:style w:type="paragraph" w:styleId="Textodeglobo">
    <w:name w:val="Balloon Text"/>
    <w:basedOn w:val="Normal"/>
    <w:link w:val="TextodegloboCar"/>
    <w:uiPriority w:val="99"/>
    <w:semiHidden/>
    <w:unhideWhenUsed/>
    <w:rsid w:val="00B841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841C4"/>
    <w:rPr>
      <w:rFonts w:ascii="Tahoma" w:hAnsi="Tahoma" w:cs="Tahoma"/>
      <w:sz w:val="16"/>
      <w:szCs w:val="16"/>
    </w:rPr>
  </w:style>
  <w:style w:type="paragraph" w:styleId="Ttulo">
    <w:name w:val="Title"/>
    <w:basedOn w:val="Normal"/>
    <w:next w:val="Normal"/>
    <w:link w:val="TtuloC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277F"/>
    <w:rPr>
      <w:rFonts w:asciiTheme="majorHAnsi" w:eastAsiaTheme="majorEastAsia" w:hAnsiTheme="majorHAnsi" w:cstheme="majorBidi"/>
      <w:spacing w:val="-10"/>
      <w:kern w:val="28"/>
      <w:sz w:val="56"/>
      <w:szCs w:val="56"/>
    </w:rPr>
  </w:style>
  <w:style w:type="paragraph" w:styleId="Revisin">
    <w:name w:val="Revision"/>
    <w:hidden/>
    <w:uiPriority w:val="99"/>
    <w:semiHidden/>
    <w:rsid w:val="008960C6"/>
    <w:pPr>
      <w:spacing w:after="0" w:line="240" w:lineRule="auto"/>
    </w:pPr>
  </w:style>
  <w:style w:type="character" w:styleId="Refdecomentario">
    <w:name w:val="annotation reference"/>
    <w:basedOn w:val="Fuentedeprrafopredeter"/>
    <w:uiPriority w:val="99"/>
    <w:semiHidden/>
    <w:unhideWhenUsed/>
    <w:rsid w:val="001D429F"/>
    <w:rPr>
      <w:sz w:val="16"/>
      <w:szCs w:val="16"/>
    </w:rPr>
  </w:style>
  <w:style w:type="paragraph" w:styleId="Textocomentario">
    <w:name w:val="annotation text"/>
    <w:basedOn w:val="Normal"/>
    <w:link w:val="TextocomentarioCar"/>
    <w:uiPriority w:val="99"/>
    <w:unhideWhenUsed/>
    <w:rsid w:val="001D429F"/>
    <w:pPr>
      <w:spacing w:line="240" w:lineRule="auto"/>
    </w:pPr>
    <w:rPr>
      <w:sz w:val="20"/>
      <w:szCs w:val="20"/>
    </w:rPr>
  </w:style>
  <w:style w:type="character" w:customStyle="1" w:styleId="TextocomentarioCar">
    <w:name w:val="Texto comentario Car"/>
    <w:basedOn w:val="Fuentedeprrafopredeter"/>
    <w:link w:val="Textocomentario"/>
    <w:uiPriority w:val="99"/>
    <w:rsid w:val="001D429F"/>
    <w:rPr>
      <w:sz w:val="20"/>
      <w:szCs w:val="20"/>
    </w:rPr>
  </w:style>
  <w:style w:type="paragraph" w:styleId="Asuntodelcomentario">
    <w:name w:val="annotation subject"/>
    <w:basedOn w:val="Textocomentario"/>
    <w:next w:val="Textocomentario"/>
    <w:link w:val="AsuntodelcomentarioCar"/>
    <w:uiPriority w:val="99"/>
    <w:semiHidden/>
    <w:unhideWhenUsed/>
    <w:rsid w:val="001D429F"/>
    <w:rPr>
      <w:b/>
      <w:bCs/>
    </w:rPr>
  </w:style>
  <w:style w:type="character" w:customStyle="1" w:styleId="AsuntodelcomentarioCar">
    <w:name w:val="Asunto del comentario Car"/>
    <w:basedOn w:val="TextocomentarioCar"/>
    <w:link w:val="Asuntodelcomentario"/>
    <w:uiPriority w:val="99"/>
    <w:semiHidden/>
    <w:rsid w:val="001D429F"/>
    <w:rPr>
      <w:b/>
      <w:bCs/>
      <w:sz w:val="20"/>
      <w:szCs w:val="20"/>
    </w:rPr>
  </w:style>
  <w:style w:type="character" w:styleId="Mencinsinresolver">
    <w:name w:val="Unresolved Mention"/>
    <w:basedOn w:val="Fuentedeprrafopredeter"/>
    <w:uiPriority w:val="99"/>
    <w:semiHidden/>
    <w:unhideWhenUsed/>
    <w:rsid w:val="0049288A"/>
    <w:rPr>
      <w:color w:val="605E5C"/>
      <w:shd w:val="clear" w:color="auto" w:fill="E1DFDD"/>
    </w:rPr>
  </w:style>
  <w:style w:type="character" w:customStyle="1" w:styleId="PrrafodelistaCar">
    <w:name w:val="Párrafo de lista Car"/>
    <w:link w:val="Prrafodelista"/>
    <w:uiPriority w:val="34"/>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bio.loyola@newmont.com" TargetMode="Externa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943391C2C9C8E4A9C21DC700E5AC91F" ma:contentTypeVersion="6" ma:contentTypeDescription="Create a new document." ma:contentTypeScope="" ma:versionID="22ce801abb43a7f9f27e1c02b4e968c2">
  <xsd:schema xmlns:xsd="http://www.w3.org/2001/XMLSchema" xmlns:xs="http://www.w3.org/2001/XMLSchema" xmlns:p="http://schemas.microsoft.com/office/2006/metadata/properties" xmlns:ns2="0dc20caa-d5be-470d-93a0-d9e09f04ddc7" xmlns:ns3="dd3dc995-e1c6-4379-b19e-97a9d9587c5b" targetNamespace="http://schemas.microsoft.com/office/2006/metadata/properties" ma:root="true" ma:fieldsID="2677668adc264435f01b1728a74c3ba6" ns2:_="" ns3:_="">
    <xsd:import namespace="0dc20caa-d5be-470d-93a0-d9e09f04ddc7"/>
    <xsd:import namespace="dd3dc995-e1c6-4379-b19e-97a9d9587c5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20caa-d5be-470d-93a0-d9e09f04dd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d3dc995-e1c6-4379-b19e-97a9d9587c5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A0C154-A840-409C-84E6-286A5E590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20caa-d5be-470d-93a0-d9e09f04ddc7"/>
    <ds:schemaRef ds:uri="dd3dc995-e1c6-4379-b19e-97a9d9587c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5473D-E87F-4410-ACCF-91AFDDBF7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844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Redefining operational excellence at Peru's largest gold mine</vt:lpstr>
    </vt:vector>
  </TitlesOfParts>
  <Company>Newmont Mining Corp</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Carla Bustamante</cp:lastModifiedBy>
  <cp:revision>3</cp:revision>
  <dcterms:created xsi:type="dcterms:W3CDTF">2025-05-06T13:15:00Z</dcterms:created>
  <dcterms:modified xsi:type="dcterms:W3CDTF">2025-05-11T04:22:00Z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0x010100A943391C2C9C8E4A9C21DC700E5AC91F</vt:lpwstr>
  </property>
</Properties>
</file>