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0C60" w14:textId="77777777" w:rsidR="00D3736A" w:rsidRDefault="00D3736A" w:rsidP="00A201D7">
      <w:pPr>
        <w:jc w:val="center"/>
        <w:rPr>
          <w:rFonts w:ascii="Arial" w:hAnsi="Arial" w:cs="Arial"/>
          <w:bCs/>
          <w:sz w:val="22"/>
          <w:szCs w:val="22"/>
          <w:lang w:val="es-PE"/>
        </w:rPr>
      </w:pPr>
      <w:r w:rsidRPr="00D3736A">
        <w:rPr>
          <w:rFonts w:ascii="Arial" w:hAnsi="Arial" w:cs="Arial"/>
          <w:bCs/>
          <w:sz w:val="22"/>
          <w:szCs w:val="22"/>
          <w:lang w:val="es-PE"/>
        </w:rPr>
        <w:t>Control y Manejo de Stocks de Mineral en Operaciones Mineras: Caso de Éxito en Marcobre</w:t>
      </w:r>
    </w:p>
    <w:p w14:paraId="18655DEC" w14:textId="515B884F" w:rsidR="007373B8" w:rsidRPr="000270E6" w:rsidRDefault="00A201D7" w:rsidP="00A201D7">
      <w:pPr>
        <w:jc w:val="center"/>
        <w:rPr>
          <w:rFonts w:ascii="Arial" w:hAnsi="Arial" w:cs="Arial"/>
          <w:sz w:val="22"/>
          <w:szCs w:val="22"/>
          <w:lang w:val="es-PE"/>
        </w:rPr>
      </w:pPr>
      <w:r w:rsidRPr="000270E6">
        <w:rPr>
          <w:rFonts w:ascii="Arial" w:hAnsi="Arial" w:cs="Arial"/>
          <w:sz w:val="22"/>
          <w:szCs w:val="22"/>
          <w:lang w:val="es-PE"/>
        </w:rPr>
        <w:t>(</w:t>
      </w:r>
      <w:r w:rsidR="009A0148">
        <w:rPr>
          <w:rFonts w:ascii="Arial" w:hAnsi="Arial" w:cs="Arial"/>
          <w:sz w:val="22"/>
          <w:szCs w:val="22"/>
          <w:lang w:val="es-PE"/>
        </w:rPr>
        <w:t xml:space="preserve">Operaciones Mineras </w:t>
      </w:r>
      <w:r w:rsidR="004A00B7">
        <w:rPr>
          <w:rFonts w:ascii="Arial" w:hAnsi="Arial" w:cs="Arial"/>
          <w:sz w:val="22"/>
          <w:szCs w:val="22"/>
          <w:lang w:val="es-PE"/>
        </w:rPr>
        <w:t>y</w:t>
      </w:r>
      <w:r w:rsidR="009A0148">
        <w:rPr>
          <w:rFonts w:ascii="Arial" w:hAnsi="Arial" w:cs="Arial"/>
          <w:sz w:val="22"/>
          <w:szCs w:val="22"/>
          <w:lang w:val="es-PE"/>
        </w:rPr>
        <w:t xml:space="preserve"> Gestión de Activos</w:t>
      </w:r>
      <w:r w:rsidRPr="000270E6">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26026134" w:rsidR="0087565A" w:rsidRPr="000270E6" w:rsidRDefault="00D3736A" w:rsidP="0087565A">
      <w:pPr>
        <w:jc w:val="center"/>
        <w:rPr>
          <w:rFonts w:ascii="Arial" w:hAnsi="Arial" w:cs="Arial"/>
          <w:b/>
          <w:bCs/>
          <w:sz w:val="22"/>
          <w:szCs w:val="22"/>
          <w:lang w:val="es-PE"/>
        </w:rPr>
      </w:pPr>
      <w:r>
        <w:rPr>
          <w:rFonts w:ascii="Arial" w:hAnsi="Arial" w:cs="Arial"/>
          <w:b/>
          <w:bCs/>
          <w:sz w:val="22"/>
          <w:szCs w:val="22"/>
          <w:lang w:val="es-PE"/>
        </w:rPr>
        <w:t>Alexander Quinto Francia</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sidR="00C8688E">
        <w:rPr>
          <w:rFonts w:ascii="Arial" w:hAnsi="Arial" w:cs="Arial"/>
          <w:b/>
          <w:bCs/>
          <w:sz w:val="22"/>
          <w:szCs w:val="22"/>
          <w:lang w:val="es-PE"/>
        </w:rPr>
        <w:t>Filadelfo Horna Díaz</w:t>
      </w:r>
      <w:r w:rsidR="0087565A" w:rsidRPr="000270E6">
        <w:rPr>
          <w:rFonts w:ascii="Arial" w:hAnsi="Arial" w:cs="Arial"/>
          <w:b/>
          <w:bCs/>
          <w:sz w:val="22"/>
          <w:szCs w:val="22"/>
          <w:vertAlign w:val="superscript"/>
          <w:lang w:val="es-PE"/>
        </w:rPr>
        <w:t>2</w:t>
      </w:r>
      <w:r w:rsidR="00C8688E" w:rsidRPr="00C8688E">
        <w:rPr>
          <w:rFonts w:ascii="Arial" w:hAnsi="Arial" w:cs="Arial"/>
          <w:b/>
          <w:bCs/>
          <w:sz w:val="22"/>
          <w:szCs w:val="22"/>
          <w:lang w:val="es-PE"/>
        </w:rPr>
        <w:t xml:space="preserve"> </w:t>
      </w:r>
      <w:r w:rsidR="00C8688E">
        <w:rPr>
          <w:rFonts w:ascii="Arial" w:hAnsi="Arial" w:cs="Arial"/>
          <w:b/>
          <w:bCs/>
          <w:sz w:val="22"/>
          <w:szCs w:val="22"/>
          <w:lang w:val="es-PE"/>
        </w:rPr>
        <w:t>y Angello Rivera Calle</w:t>
      </w:r>
      <w:r w:rsidR="00C8688E">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74FB08D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Autor: </w:t>
      </w:r>
      <w:r w:rsidR="00767FDA">
        <w:rPr>
          <w:rFonts w:ascii="Arial" w:hAnsi="Arial" w:cs="Arial"/>
          <w:sz w:val="22"/>
          <w:szCs w:val="22"/>
          <w:lang w:val="es-PE"/>
        </w:rPr>
        <w:t>Marcobre</w:t>
      </w:r>
      <w:r w:rsidR="00047A63" w:rsidRPr="000270E6">
        <w:rPr>
          <w:rFonts w:ascii="Arial" w:hAnsi="Arial" w:cs="Arial"/>
          <w:sz w:val="22"/>
          <w:szCs w:val="22"/>
          <w:lang w:val="es-PE"/>
        </w:rPr>
        <w:t xml:space="preserve">, </w:t>
      </w:r>
      <w:r w:rsidR="00354849" w:rsidRPr="00354849">
        <w:rPr>
          <w:rFonts w:ascii="Arial" w:hAnsi="Arial" w:cs="Arial"/>
          <w:sz w:val="22"/>
          <w:szCs w:val="22"/>
          <w:lang w:val="es-PE"/>
        </w:rPr>
        <w:t>Jr. Lorenzo Bernini 149</w:t>
      </w:r>
      <w:r w:rsidR="00047A63" w:rsidRPr="000270E6">
        <w:rPr>
          <w:rFonts w:ascii="Arial" w:hAnsi="Arial" w:cs="Arial"/>
          <w:sz w:val="22"/>
          <w:szCs w:val="22"/>
          <w:lang w:val="es-PE"/>
        </w:rPr>
        <w:t xml:space="preserve">, </w:t>
      </w:r>
      <w:r w:rsidR="00407A81">
        <w:rPr>
          <w:rFonts w:ascii="Arial" w:hAnsi="Arial" w:cs="Arial"/>
          <w:sz w:val="22"/>
          <w:szCs w:val="22"/>
          <w:lang w:val="es-PE"/>
        </w:rPr>
        <w:t>Lima</w:t>
      </w:r>
      <w:r w:rsidR="00047A63" w:rsidRPr="000270E6">
        <w:rPr>
          <w:rFonts w:ascii="Arial" w:hAnsi="Arial" w:cs="Arial"/>
          <w:sz w:val="22"/>
          <w:szCs w:val="22"/>
          <w:lang w:val="es-PE"/>
        </w:rPr>
        <w:t xml:space="preserve">, </w:t>
      </w:r>
      <w:r w:rsidR="00407A81">
        <w:rPr>
          <w:rFonts w:ascii="Arial" w:hAnsi="Arial" w:cs="Arial"/>
          <w:sz w:val="22"/>
          <w:szCs w:val="22"/>
          <w:lang w:val="es-PE"/>
        </w:rPr>
        <w:t>Perú</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r w:rsidR="004F5DC3" w:rsidRPr="004F5DC3">
        <w:rPr>
          <w:rFonts w:ascii="Arial" w:hAnsi="Arial" w:cs="Arial"/>
          <w:sz w:val="22"/>
          <w:szCs w:val="22"/>
          <w:lang w:val="es-PE"/>
        </w:rPr>
        <w:t>alexander.quintofr@marcobre.com</w:t>
      </w:r>
      <w:r w:rsidR="004F5DC3">
        <w:rPr>
          <w:rFonts w:ascii="Arial" w:hAnsi="Arial" w:cs="Arial"/>
          <w:sz w:val="22"/>
          <w:szCs w:val="22"/>
          <w:lang w:val="es-PE"/>
        </w:rPr>
        <w:t xml:space="preserve"> </w:t>
      </w:r>
      <w:r w:rsidR="00A201D7" w:rsidRPr="000270E6">
        <w:rPr>
          <w:rFonts w:ascii="Arial" w:hAnsi="Arial" w:cs="Arial"/>
          <w:sz w:val="22"/>
          <w:szCs w:val="22"/>
          <w:lang w:val="es-PE"/>
        </w:rPr>
        <w:t xml:space="preserve">y </w:t>
      </w:r>
      <w:r w:rsidR="00690D3E" w:rsidRPr="00690D3E">
        <w:rPr>
          <w:rFonts w:ascii="Arial" w:hAnsi="Arial" w:cs="Arial"/>
          <w:sz w:val="22"/>
          <w:szCs w:val="22"/>
          <w:lang w:val="es-PE"/>
        </w:rPr>
        <w:t>987108061</w:t>
      </w:r>
      <w:r w:rsidR="003C6D44" w:rsidRPr="000270E6">
        <w:rPr>
          <w:rFonts w:ascii="Arial" w:hAnsi="Arial" w:cs="Arial"/>
          <w:sz w:val="22"/>
          <w:szCs w:val="22"/>
          <w:lang w:val="es-PE"/>
        </w:rPr>
        <w:t>)</w:t>
      </w:r>
    </w:p>
    <w:p w14:paraId="791CF854" w14:textId="6E3C6583" w:rsidR="007373B8"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767FDA">
        <w:rPr>
          <w:rFonts w:ascii="Arial" w:hAnsi="Arial" w:cs="Arial"/>
          <w:sz w:val="22"/>
          <w:szCs w:val="22"/>
          <w:lang w:val="es-PE"/>
        </w:rPr>
        <w:t>Marcobre</w:t>
      </w:r>
      <w:r w:rsidR="003C6D44" w:rsidRPr="000270E6">
        <w:rPr>
          <w:rFonts w:ascii="Arial" w:hAnsi="Arial" w:cs="Arial"/>
          <w:sz w:val="22"/>
          <w:szCs w:val="22"/>
          <w:lang w:val="es-PE"/>
        </w:rPr>
        <w:t xml:space="preserve">, </w:t>
      </w:r>
      <w:r w:rsidR="00354849" w:rsidRPr="00354849">
        <w:rPr>
          <w:rFonts w:ascii="Arial" w:hAnsi="Arial" w:cs="Arial"/>
          <w:sz w:val="22"/>
          <w:szCs w:val="22"/>
          <w:lang w:val="es-PE"/>
        </w:rPr>
        <w:t>Jr. Lorenzo Bernini 149</w:t>
      </w:r>
      <w:r w:rsidR="00047A63" w:rsidRPr="000270E6">
        <w:rPr>
          <w:rFonts w:ascii="Arial" w:hAnsi="Arial" w:cs="Arial"/>
          <w:sz w:val="22"/>
          <w:szCs w:val="22"/>
          <w:lang w:val="es-PE"/>
        </w:rPr>
        <w:t xml:space="preserve">, </w:t>
      </w:r>
      <w:r w:rsidR="00407A81">
        <w:rPr>
          <w:rFonts w:ascii="Arial" w:hAnsi="Arial" w:cs="Arial"/>
          <w:sz w:val="22"/>
          <w:szCs w:val="22"/>
          <w:lang w:val="es-PE"/>
        </w:rPr>
        <w:t>Lima</w:t>
      </w:r>
      <w:r w:rsidR="00047A63" w:rsidRPr="000270E6">
        <w:rPr>
          <w:rFonts w:ascii="Arial" w:hAnsi="Arial" w:cs="Arial"/>
          <w:sz w:val="22"/>
          <w:szCs w:val="22"/>
          <w:lang w:val="es-PE"/>
        </w:rPr>
        <w:t xml:space="preserve">, </w:t>
      </w:r>
      <w:r w:rsidR="00407A81">
        <w:rPr>
          <w:rFonts w:ascii="Arial" w:hAnsi="Arial" w:cs="Arial"/>
          <w:sz w:val="22"/>
          <w:szCs w:val="22"/>
          <w:lang w:val="es-PE"/>
        </w:rPr>
        <w:t xml:space="preserve">Perú </w:t>
      </w:r>
      <w:r w:rsidR="003C6D44" w:rsidRPr="000270E6">
        <w:rPr>
          <w:rFonts w:ascii="Arial" w:hAnsi="Arial" w:cs="Arial"/>
          <w:sz w:val="22"/>
          <w:szCs w:val="22"/>
          <w:lang w:val="es-PE"/>
        </w:rPr>
        <w:t>(</w:t>
      </w:r>
      <w:r w:rsidR="001A64B3" w:rsidRPr="001A64B3">
        <w:rPr>
          <w:rFonts w:ascii="Arial" w:hAnsi="Arial" w:cs="Arial"/>
          <w:sz w:val="22"/>
          <w:szCs w:val="22"/>
          <w:lang w:val="es-PE"/>
        </w:rPr>
        <w:t>filadelfo.horna@marcobre.com</w:t>
      </w:r>
      <w:r w:rsidR="00A201D7" w:rsidRPr="000270E6">
        <w:rPr>
          <w:rFonts w:ascii="Arial" w:hAnsi="Arial" w:cs="Arial"/>
          <w:sz w:val="22"/>
          <w:szCs w:val="22"/>
          <w:lang w:val="es-PE"/>
        </w:rPr>
        <w:t xml:space="preserve">y </w:t>
      </w:r>
      <w:r w:rsidR="00BB54DA" w:rsidRPr="00BB54DA">
        <w:rPr>
          <w:rFonts w:ascii="Arial" w:hAnsi="Arial" w:cs="Arial"/>
          <w:sz w:val="22"/>
          <w:szCs w:val="22"/>
          <w:lang w:val="es-PE"/>
        </w:rPr>
        <w:t>989400357</w:t>
      </w:r>
      <w:r w:rsidR="00BB54DA">
        <w:rPr>
          <w:rFonts w:ascii="Arial" w:hAnsi="Arial" w:cs="Arial"/>
          <w:sz w:val="22"/>
          <w:szCs w:val="22"/>
          <w:lang w:val="es-PE"/>
        </w:rPr>
        <w:t>)</w:t>
      </w:r>
    </w:p>
    <w:p w14:paraId="2AD997F1" w14:textId="754B905A" w:rsidR="00C8688E" w:rsidRPr="000270E6" w:rsidRDefault="00C8688E" w:rsidP="00C8688E">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Pr="000270E6">
        <w:rPr>
          <w:rFonts w:ascii="Arial" w:hAnsi="Arial" w:cs="Arial"/>
          <w:sz w:val="22"/>
          <w:szCs w:val="22"/>
          <w:lang w:val="es-PE"/>
        </w:rPr>
        <w:t xml:space="preserve"> Coautor </w:t>
      </w:r>
      <w:r>
        <w:rPr>
          <w:rFonts w:ascii="Arial" w:hAnsi="Arial" w:cs="Arial"/>
          <w:sz w:val="22"/>
          <w:szCs w:val="22"/>
          <w:lang w:val="es-PE"/>
        </w:rPr>
        <w:t>2</w:t>
      </w:r>
      <w:r w:rsidRPr="000270E6">
        <w:rPr>
          <w:rFonts w:ascii="Arial" w:hAnsi="Arial" w:cs="Arial"/>
          <w:sz w:val="22"/>
          <w:szCs w:val="22"/>
          <w:lang w:val="es-PE"/>
        </w:rPr>
        <w:t xml:space="preserve">: </w:t>
      </w:r>
      <w:r>
        <w:rPr>
          <w:rFonts w:ascii="Arial" w:hAnsi="Arial" w:cs="Arial"/>
          <w:sz w:val="22"/>
          <w:szCs w:val="22"/>
          <w:lang w:val="es-PE"/>
        </w:rPr>
        <w:t>Marcobre</w:t>
      </w:r>
      <w:r w:rsidRPr="000270E6">
        <w:rPr>
          <w:rFonts w:ascii="Arial" w:hAnsi="Arial" w:cs="Arial"/>
          <w:sz w:val="22"/>
          <w:szCs w:val="22"/>
          <w:lang w:val="es-PE"/>
        </w:rPr>
        <w:t xml:space="preserve">, </w:t>
      </w:r>
      <w:r w:rsidRPr="00354849">
        <w:rPr>
          <w:rFonts w:ascii="Arial" w:hAnsi="Arial" w:cs="Arial"/>
          <w:sz w:val="22"/>
          <w:szCs w:val="22"/>
          <w:lang w:val="es-PE"/>
        </w:rPr>
        <w:t>Jr. Lorenzo Bernini 149</w:t>
      </w:r>
      <w:r w:rsidRPr="000270E6">
        <w:rPr>
          <w:rFonts w:ascii="Arial" w:hAnsi="Arial" w:cs="Arial"/>
          <w:sz w:val="22"/>
          <w:szCs w:val="22"/>
          <w:lang w:val="es-PE"/>
        </w:rPr>
        <w:t xml:space="preserve">, </w:t>
      </w:r>
      <w:r>
        <w:rPr>
          <w:rFonts w:ascii="Arial" w:hAnsi="Arial" w:cs="Arial"/>
          <w:sz w:val="22"/>
          <w:szCs w:val="22"/>
          <w:lang w:val="es-PE"/>
        </w:rPr>
        <w:t>Lima</w:t>
      </w:r>
      <w:r w:rsidRPr="000270E6">
        <w:rPr>
          <w:rFonts w:ascii="Arial" w:hAnsi="Arial" w:cs="Arial"/>
          <w:sz w:val="22"/>
          <w:szCs w:val="22"/>
          <w:lang w:val="es-PE"/>
        </w:rPr>
        <w:t xml:space="preserve">, </w:t>
      </w:r>
      <w:r>
        <w:rPr>
          <w:rFonts w:ascii="Arial" w:hAnsi="Arial" w:cs="Arial"/>
          <w:sz w:val="22"/>
          <w:szCs w:val="22"/>
          <w:lang w:val="es-PE"/>
        </w:rPr>
        <w:t xml:space="preserve">Perú </w:t>
      </w:r>
      <w:r w:rsidRPr="000270E6">
        <w:rPr>
          <w:rFonts w:ascii="Arial" w:hAnsi="Arial" w:cs="Arial"/>
          <w:sz w:val="22"/>
          <w:szCs w:val="22"/>
          <w:lang w:val="es-PE"/>
        </w:rPr>
        <w:t>(</w:t>
      </w:r>
      <w:r>
        <w:rPr>
          <w:rFonts w:ascii="Arial" w:hAnsi="Arial" w:cs="Arial"/>
          <w:sz w:val="22"/>
          <w:szCs w:val="22"/>
          <w:lang w:val="es-PE"/>
        </w:rPr>
        <w:t>angello.rivera@marcobre.com</w:t>
      </w:r>
      <w:r w:rsidRPr="000270E6">
        <w:rPr>
          <w:rFonts w:ascii="Arial" w:hAnsi="Arial" w:cs="Arial"/>
          <w:sz w:val="22"/>
          <w:szCs w:val="22"/>
          <w:lang w:val="es-PE"/>
        </w:rPr>
        <w:t xml:space="preserve"> y </w:t>
      </w:r>
      <w:r>
        <w:rPr>
          <w:rFonts w:ascii="Arial" w:hAnsi="Arial" w:cs="Arial"/>
          <w:sz w:val="22"/>
          <w:szCs w:val="22"/>
          <w:lang w:val="es-PE"/>
        </w:rPr>
        <w:t>960569200</w:t>
      </w:r>
      <w:r w:rsidRPr="000270E6">
        <w:rPr>
          <w:rFonts w:ascii="Arial" w:hAnsi="Arial" w:cs="Arial"/>
          <w:sz w:val="22"/>
          <w:szCs w:val="22"/>
          <w:lang w:val="es-PE"/>
        </w:rPr>
        <w:t>)</w:t>
      </w:r>
    </w:p>
    <w:p w14:paraId="15F9CA7B" w14:textId="77777777" w:rsidR="00C8688E" w:rsidRPr="000270E6" w:rsidRDefault="00C8688E" w:rsidP="006975E0">
      <w:pPr>
        <w:ind w:left="142" w:hanging="142"/>
        <w:jc w:val="both"/>
        <w:rPr>
          <w:rFonts w:ascii="Arial" w:hAnsi="Arial" w:cs="Arial"/>
          <w:sz w:val="22"/>
          <w:szCs w:val="22"/>
          <w:lang w:val="es-PE"/>
        </w:rPr>
      </w:pPr>
    </w:p>
    <w:p w14:paraId="42271F3F" w14:textId="20ADD2E2"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FF437D">
      <w:pPr>
        <w:spacing w:line="360" w:lineRule="auto"/>
        <w:jc w:val="both"/>
        <w:rPr>
          <w:rFonts w:ascii="Arial" w:hAnsi="Arial" w:cs="Arial"/>
          <w:b/>
          <w:sz w:val="22"/>
          <w:szCs w:val="22"/>
          <w:lang w:val="es-PE"/>
        </w:rPr>
      </w:pPr>
      <w:r w:rsidRPr="000270E6">
        <w:rPr>
          <w:rFonts w:ascii="Arial" w:hAnsi="Arial" w:cs="Arial"/>
          <w:b/>
          <w:sz w:val="22"/>
          <w:szCs w:val="22"/>
          <w:lang w:val="es-PE"/>
        </w:rPr>
        <w:t>RESUMEN</w:t>
      </w:r>
    </w:p>
    <w:p w14:paraId="03B9D903" w14:textId="77777777" w:rsidR="00AC2C43" w:rsidRPr="000270E6" w:rsidRDefault="00AC2C43" w:rsidP="00FF437D">
      <w:pPr>
        <w:spacing w:line="360" w:lineRule="auto"/>
        <w:jc w:val="both"/>
        <w:rPr>
          <w:rFonts w:ascii="Arial" w:hAnsi="Arial" w:cs="Arial"/>
          <w:b/>
          <w:sz w:val="22"/>
          <w:szCs w:val="22"/>
          <w:lang w:val="es-PE"/>
        </w:rPr>
      </w:pPr>
    </w:p>
    <w:p w14:paraId="510A3F73" w14:textId="49321134" w:rsidR="00BC4D43" w:rsidRDefault="00AC2C43" w:rsidP="00FF437D">
      <w:pPr>
        <w:spacing w:line="360" w:lineRule="auto"/>
        <w:jc w:val="both"/>
        <w:rPr>
          <w:rFonts w:ascii="Arial" w:hAnsi="Arial" w:cs="Arial"/>
          <w:bCs/>
          <w:sz w:val="22"/>
          <w:szCs w:val="22"/>
          <w:lang w:val="es-PE"/>
        </w:rPr>
      </w:pPr>
      <w:r w:rsidRPr="00AC2C43">
        <w:rPr>
          <w:rFonts w:ascii="Arial" w:hAnsi="Arial" w:cs="Arial"/>
          <w:bCs/>
          <w:sz w:val="22"/>
          <w:szCs w:val="22"/>
          <w:lang w:val="es-PE"/>
        </w:rPr>
        <w:t>El control eficiente de los stocks de mineral es fundamental en operaciones mineras que requieren almacenar, por estrategias de ley de corte y/o blending, temporalmente mineral para su posterior proceso en las plantas. Marcobre ha implementado un proceso innovador basado en tecnología de última generación para garantizar que la información sobre los stocks sea altamente confiable, asegurando una alimentación continua y controlada a sus plantas. Este trabajo describe la metodología adoptada, los beneficios obtenidos y cómo la modernización del control de stocks permitió superar problemas históricos</w:t>
      </w:r>
      <w:r w:rsidR="00EC3A7B">
        <w:rPr>
          <w:rFonts w:ascii="Arial" w:hAnsi="Arial" w:cs="Arial"/>
          <w:bCs/>
          <w:sz w:val="22"/>
          <w:szCs w:val="22"/>
          <w:lang w:val="es-PE"/>
        </w:rPr>
        <w:t xml:space="preserve"> de diversas operaciones mineras</w:t>
      </w:r>
      <w:r w:rsidRPr="00AC2C43">
        <w:rPr>
          <w:rFonts w:ascii="Arial" w:hAnsi="Arial" w:cs="Arial"/>
          <w:bCs/>
          <w:sz w:val="22"/>
          <w:szCs w:val="22"/>
          <w:lang w:val="es-PE"/>
        </w:rPr>
        <w:t xml:space="preserve"> asociad</w:t>
      </w:r>
      <w:r w:rsidR="00EC3A7B">
        <w:rPr>
          <w:rFonts w:ascii="Arial" w:hAnsi="Arial" w:cs="Arial"/>
          <w:bCs/>
          <w:sz w:val="22"/>
          <w:szCs w:val="22"/>
          <w:lang w:val="es-PE"/>
        </w:rPr>
        <w:t>o</w:t>
      </w:r>
      <w:r w:rsidRPr="00AC2C43">
        <w:rPr>
          <w:rFonts w:ascii="Arial" w:hAnsi="Arial" w:cs="Arial"/>
          <w:bCs/>
          <w:sz w:val="22"/>
          <w:szCs w:val="22"/>
          <w:lang w:val="es-PE"/>
        </w:rPr>
        <w:t>s a la falta de precisión en la ley y el tonelaje de mineral almacenado</w:t>
      </w:r>
      <w:r w:rsidR="00945E99">
        <w:rPr>
          <w:rFonts w:ascii="Arial" w:hAnsi="Arial" w:cs="Arial"/>
          <w:bCs/>
          <w:sz w:val="22"/>
          <w:szCs w:val="22"/>
          <w:lang w:val="es-PE"/>
        </w:rPr>
        <w:t>.</w:t>
      </w:r>
    </w:p>
    <w:p w14:paraId="2B0438B3" w14:textId="77777777" w:rsidR="00AC2C43" w:rsidRPr="000270E6" w:rsidRDefault="00AC2C43" w:rsidP="00FF437D">
      <w:pPr>
        <w:spacing w:line="360" w:lineRule="auto"/>
        <w:jc w:val="both"/>
        <w:rPr>
          <w:rFonts w:ascii="Arial" w:hAnsi="Arial" w:cs="Arial"/>
          <w:b/>
          <w:sz w:val="22"/>
          <w:szCs w:val="22"/>
          <w:lang w:val="es-PE"/>
        </w:rPr>
      </w:pPr>
    </w:p>
    <w:p w14:paraId="113109B4" w14:textId="77777777" w:rsidR="00441B34" w:rsidRPr="000270E6" w:rsidRDefault="00F7409F" w:rsidP="00FF437D">
      <w:pPr>
        <w:spacing w:line="360" w:lineRule="auto"/>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FF437D">
      <w:pPr>
        <w:spacing w:line="360" w:lineRule="auto"/>
        <w:jc w:val="both"/>
        <w:rPr>
          <w:rFonts w:ascii="Arial" w:hAnsi="Arial" w:cs="Arial"/>
          <w:sz w:val="22"/>
          <w:szCs w:val="22"/>
          <w:lang w:val="es-PE"/>
        </w:rPr>
      </w:pPr>
    </w:p>
    <w:p w14:paraId="68266E73" w14:textId="55CC1046" w:rsidR="00376FD6" w:rsidRDefault="00B53B53" w:rsidP="00FF437D">
      <w:pPr>
        <w:spacing w:line="360" w:lineRule="auto"/>
        <w:jc w:val="both"/>
        <w:rPr>
          <w:rFonts w:ascii="Arial" w:hAnsi="Arial" w:cs="Arial"/>
          <w:sz w:val="22"/>
          <w:szCs w:val="22"/>
          <w:lang w:val="es-PE"/>
        </w:rPr>
      </w:pPr>
      <w:r w:rsidRPr="00B53B53">
        <w:rPr>
          <w:rFonts w:ascii="Arial" w:hAnsi="Arial" w:cs="Arial"/>
          <w:sz w:val="22"/>
          <w:szCs w:val="22"/>
          <w:lang w:val="es-PE"/>
        </w:rPr>
        <w:t xml:space="preserve">Mina Justa es una operación minera a tajo abierto ubicada en el departamento de Ica. Este yacimiento se caracteriza por la extracción de minerales de cobre en forma de óxidos y sulfuros, los cuales son procesados en diferentes instalaciones según su naturaleza mineralógica. Los óxidos de cobre se tratan en una planta de lixiviación para producir cátodos de alta pureza mediante procesos hidrometalúrgicos, mientras que los sulfuros son procesados en una planta concentradora que </w:t>
      </w:r>
      <w:r w:rsidRPr="00B53B53">
        <w:rPr>
          <w:rFonts w:ascii="Arial" w:hAnsi="Arial" w:cs="Arial"/>
          <w:sz w:val="22"/>
          <w:szCs w:val="22"/>
          <w:lang w:val="es-PE"/>
        </w:rPr>
        <w:t>permite obtener concentrados de cobre mediante flotación.</w:t>
      </w:r>
    </w:p>
    <w:p w14:paraId="4DD4E8E1" w14:textId="77777777" w:rsidR="00B53B53" w:rsidRDefault="00B53B53" w:rsidP="00FF437D">
      <w:pPr>
        <w:spacing w:line="360" w:lineRule="auto"/>
        <w:jc w:val="both"/>
        <w:rPr>
          <w:rFonts w:ascii="Arial" w:hAnsi="Arial" w:cs="Arial"/>
          <w:sz w:val="22"/>
          <w:szCs w:val="22"/>
          <w:lang w:val="es-PE"/>
        </w:rPr>
      </w:pPr>
    </w:p>
    <w:p w14:paraId="124823A1" w14:textId="5C7C3B17" w:rsidR="00965CA8" w:rsidRDefault="00965CA8" w:rsidP="00FF437D">
      <w:pPr>
        <w:spacing w:line="360" w:lineRule="auto"/>
        <w:jc w:val="both"/>
        <w:rPr>
          <w:rFonts w:ascii="Arial" w:hAnsi="Arial" w:cs="Arial"/>
          <w:sz w:val="22"/>
          <w:szCs w:val="22"/>
          <w:lang w:val="es-PE"/>
        </w:rPr>
      </w:pPr>
      <w:r w:rsidRPr="00965CA8">
        <w:rPr>
          <w:rFonts w:ascii="Arial" w:hAnsi="Arial" w:cs="Arial"/>
          <w:sz w:val="22"/>
          <w:szCs w:val="22"/>
          <w:lang w:val="es-PE"/>
        </w:rPr>
        <w:t>El yacimiento ha sido clasificado como un depósito del tipo IOCG (Iron Oxide Copper Gold), una tipología geológica que presenta desafíos particulares para la operación minera a gran escala. Entre sus principales características geológicas se encuentra una mineralización altamente heterogénea, compuesta por una combinación compleja de óxidos, sulfuros transicionales, sulfuros secundarios y sulfuros primarios. Esta diversidad mineralógica implica una planificación y control de mineral más rigurosos, ya que cada tipo de mineral requiere un tratamiento específico y tiene un comportamiento distinto durante el procesamiento.</w:t>
      </w:r>
    </w:p>
    <w:p w14:paraId="516A66A3" w14:textId="77777777" w:rsidR="00965CA8" w:rsidRDefault="00965CA8" w:rsidP="00FF437D">
      <w:pPr>
        <w:spacing w:line="360" w:lineRule="auto"/>
        <w:jc w:val="both"/>
        <w:rPr>
          <w:rFonts w:ascii="Arial" w:hAnsi="Arial" w:cs="Arial"/>
          <w:sz w:val="22"/>
          <w:szCs w:val="22"/>
          <w:lang w:val="es-PE"/>
        </w:rPr>
      </w:pPr>
    </w:p>
    <w:p w14:paraId="481D3167" w14:textId="724FB4A6" w:rsidR="007A368C" w:rsidRDefault="007A368C" w:rsidP="00FF437D">
      <w:pPr>
        <w:spacing w:line="360" w:lineRule="auto"/>
        <w:jc w:val="both"/>
        <w:rPr>
          <w:rFonts w:ascii="Arial" w:hAnsi="Arial" w:cs="Arial"/>
          <w:sz w:val="22"/>
          <w:szCs w:val="22"/>
          <w:lang w:val="es-PE"/>
        </w:rPr>
      </w:pPr>
      <w:r w:rsidRPr="007A368C">
        <w:rPr>
          <w:rFonts w:ascii="Arial" w:hAnsi="Arial" w:cs="Arial"/>
          <w:sz w:val="22"/>
          <w:szCs w:val="22"/>
          <w:lang w:val="es-PE"/>
        </w:rPr>
        <w:t>Además, la ley de cobre en el yacimiento presenta una alta variabilidad, con valores que oscilan entre 0.20% y 5.00%, lo que complica la homogenización del mineral alimentado a planta y exige una estrategia de clasificación y mezcla eficiente. Otro factor geológico que añade complejidad a la operación es la presencia de diques de ocoíta, los cuales atraviesan la mineralización y actúan como fronteras duras entre el mineral y el material estéril, dificultando la delimitación precisa de las zonas económicamente explotables.</w:t>
      </w:r>
    </w:p>
    <w:p w14:paraId="498A2263" w14:textId="77777777" w:rsidR="001433A4" w:rsidRDefault="001433A4" w:rsidP="00FF437D">
      <w:pPr>
        <w:spacing w:line="360" w:lineRule="auto"/>
        <w:jc w:val="both"/>
        <w:rPr>
          <w:rFonts w:ascii="Arial" w:hAnsi="Arial" w:cs="Arial"/>
          <w:sz w:val="22"/>
          <w:szCs w:val="22"/>
          <w:lang w:val="es-PE"/>
        </w:rPr>
      </w:pPr>
    </w:p>
    <w:p w14:paraId="6CAE2007" w14:textId="77777777" w:rsidR="001433A4" w:rsidRDefault="001433A4" w:rsidP="00FF437D">
      <w:pPr>
        <w:spacing w:line="360" w:lineRule="auto"/>
        <w:jc w:val="center"/>
        <w:rPr>
          <w:rFonts w:ascii="Arial" w:hAnsi="Arial" w:cs="Arial"/>
          <w:sz w:val="22"/>
          <w:szCs w:val="22"/>
          <w:lang w:val="es-PE"/>
        </w:rPr>
      </w:pPr>
      <w:r w:rsidRPr="00D12033">
        <w:rPr>
          <w:rFonts w:ascii="Arial" w:hAnsi="Arial" w:cs="Arial"/>
          <w:noProof/>
          <w:sz w:val="22"/>
          <w:szCs w:val="22"/>
        </w:rPr>
        <w:lastRenderedPageBreak/>
        <w:drawing>
          <wp:inline distT="0" distB="0" distL="0" distR="0" wp14:anchorId="47490E5F" wp14:editId="58B938A3">
            <wp:extent cx="3168000" cy="2356620"/>
            <wp:effectExtent l="0" t="0" r="0" b="5715"/>
            <wp:docPr id="3" name="Imagen 2" descr="Gráfico, Gráfico de cajas y bigotes&#10;&#10;El contenido generado por IA puede ser incorrecto.">
              <a:extLst xmlns:a="http://schemas.openxmlformats.org/drawingml/2006/main">
                <a:ext uri="{FF2B5EF4-FFF2-40B4-BE49-F238E27FC236}">
                  <a16:creationId xmlns:a16="http://schemas.microsoft.com/office/drawing/2014/main" id="{51D1D35E-4E4A-3048-BC44-49FA346B79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descr="Gráfico, Gráfico de cajas y bigotes&#10;&#10;El contenido generado por IA puede ser incorrecto.">
                      <a:extLst>
                        <a:ext uri="{FF2B5EF4-FFF2-40B4-BE49-F238E27FC236}">
                          <a16:creationId xmlns:a16="http://schemas.microsoft.com/office/drawing/2014/main" id="{51D1D35E-4E4A-3048-BC44-49FA346B79A1}"/>
                        </a:ext>
                      </a:extLst>
                    </pic:cNvPr>
                    <pic:cNvPicPr>
                      <a:picLocks noChangeAspect="1"/>
                    </pic:cNvPicPr>
                  </pic:nvPicPr>
                  <pic:blipFill>
                    <a:blip r:embed="rId12"/>
                    <a:srcRect/>
                    <a:stretch/>
                  </pic:blipFill>
                  <pic:spPr>
                    <a:xfrm>
                      <a:off x="0" y="0"/>
                      <a:ext cx="3168000" cy="2356620"/>
                    </a:xfrm>
                    <a:prstGeom prst="rect">
                      <a:avLst/>
                    </a:prstGeom>
                  </pic:spPr>
                </pic:pic>
              </a:graphicData>
            </a:graphic>
          </wp:inline>
        </w:drawing>
      </w:r>
    </w:p>
    <w:p w14:paraId="2963973F" w14:textId="7F94005B" w:rsidR="001433A4" w:rsidRPr="001433A4" w:rsidRDefault="001433A4"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01</w:t>
      </w:r>
      <w:r>
        <w:rPr>
          <w:rFonts w:ascii="Arial" w:hAnsi="Arial" w:cs="Arial"/>
          <w:b/>
          <w:bCs/>
          <w:sz w:val="20"/>
          <w:szCs w:val="20"/>
          <w:lang w:val="es-PE"/>
        </w:rPr>
        <w:t xml:space="preserve">. </w:t>
      </w:r>
      <w:r>
        <w:rPr>
          <w:rFonts w:ascii="Arial" w:hAnsi="Arial" w:cs="Arial"/>
          <w:sz w:val="20"/>
          <w:szCs w:val="20"/>
          <w:lang w:val="es-PE"/>
        </w:rPr>
        <w:t>Distribución de la ley de cobre en los distintos tipos de sulfuros del modelo de Reservas</w:t>
      </w:r>
    </w:p>
    <w:p w14:paraId="76DE5293" w14:textId="77777777" w:rsidR="00965CA8" w:rsidRDefault="00965CA8" w:rsidP="00FF437D">
      <w:pPr>
        <w:spacing w:line="360" w:lineRule="auto"/>
        <w:jc w:val="both"/>
        <w:rPr>
          <w:rFonts w:ascii="Arial" w:hAnsi="Arial" w:cs="Arial"/>
          <w:sz w:val="22"/>
          <w:szCs w:val="22"/>
          <w:lang w:val="es-PE"/>
        </w:rPr>
      </w:pPr>
    </w:p>
    <w:p w14:paraId="581D2F15" w14:textId="476FC540" w:rsidR="007A368C" w:rsidRDefault="007A368C" w:rsidP="00FF437D">
      <w:pPr>
        <w:spacing w:line="360" w:lineRule="auto"/>
        <w:jc w:val="both"/>
        <w:rPr>
          <w:rFonts w:ascii="Arial" w:hAnsi="Arial" w:cs="Arial"/>
          <w:sz w:val="22"/>
          <w:szCs w:val="22"/>
          <w:lang w:val="es-PE"/>
        </w:rPr>
      </w:pPr>
      <w:r w:rsidRPr="007A368C">
        <w:rPr>
          <w:rFonts w:ascii="Arial" w:hAnsi="Arial" w:cs="Arial"/>
          <w:sz w:val="22"/>
          <w:szCs w:val="22"/>
          <w:lang w:val="es-PE"/>
        </w:rPr>
        <w:t>Como resultado de diversos estudios técnicos y económicos orientados a definir la política de ley de corte, se ha determinado que existe una discrepancia entre la tasa de extracción de la mina y la capacidad de procesamiento de las plantas. Esta diferencia ha llevado a la implementación de una estrategia de almacenamiento temporal mediante la construcción de stockpiles o pilas de acopio, donde se deposita el mineral clasificado según su tipo y ley para su posterior procesamiento.</w:t>
      </w:r>
    </w:p>
    <w:p w14:paraId="0F9B9CDA" w14:textId="77777777" w:rsidR="007A368C" w:rsidRDefault="007A368C" w:rsidP="00FF437D">
      <w:pPr>
        <w:spacing w:line="360" w:lineRule="auto"/>
        <w:jc w:val="both"/>
        <w:rPr>
          <w:rFonts w:ascii="Arial" w:hAnsi="Arial" w:cs="Arial"/>
          <w:sz w:val="22"/>
          <w:szCs w:val="22"/>
          <w:lang w:val="es-PE"/>
        </w:rPr>
      </w:pPr>
    </w:p>
    <w:p w14:paraId="1635FC82" w14:textId="77777777" w:rsidR="001433A4" w:rsidRPr="001433A4" w:rsidRDefault="001433A4" w:rsidP="00FF437D">
      <w:pPr>
        <w:spacing w:line="360" w:lineRule="auto"/>
        <w:jc w:val="both"/>
        <w:rPr>
          <w:rFonts w:ascii="Arial" w:hAnsi="Arial" w:cs="Arial"/>
          <w:sz w:val="22"/>
          <w:szCs w:val="22"/>
          <w:lang w:val="es-PE"/>
        </w:rPr>
      </w:pPr>
      <w:r w:rsidRPr="001433A4">
        <w:rPr>
          <w:rFonts w:ascii="Arial" w:hAnsi="Arial" w:cs="Arial"/>
          <w:sz w:val="22"/>
          <w:szCs w:val="22"/>
          <w:lang w:val="es-PE"/>
        </w:rPr>
        <w:t>En este contexto, la gestión eficiente de los stockpiles se convierte en un elemento crítico para garantizar la continuidad operativa y la calidad del proceso productivo. En Marcobre, empresa operadora de Mina Justa, se han desarrollado sistemas de control y monitoreo que permiten optimizar el uso de estos acopios, asegurando una alimentación constante y balanceada a las plantas, minimizando las pérdidas metalúrgicas y maximizando la recuperación del cobre.</w:t>
      </w:r>
    </w:p>
    <w:p w14:paraId="3024C56B" w14:textId="77777777" w:rsidR="001433A4" w:rsidRPr="001433A4" w:rsidRDefault="001433A4" w:rsidP="00FF437D">
      <w:pPr>
        <w:spacing w:line="360" w:lineRule="auto"/>
        <w:jc w:val="both"/>
        <w:rPr>
          <w:rFonts w:ascii="Arial" w:hAnsi="Arial" w:cs="Arial"/>
          <w:sz w:val="22"/>
          <w:szCs w:val="22"/>
          <w:lang w:val="es-PE"/>
        </w:rPr>
      </w:pPr>
    </w:p>
    <w:p w14:paraId="7944B47C" w14:textId="6F689A30" w:rsidR="00170607" w:rsidRDefault="001433A4" w:rsidP="00FF437D">
      <w:pPr>
        <w:spacing w:line="360" w:lineRule="auto"/>
        <w:jc w:val="both"/>
        <w:rPr>
          <w:rFonts w:ascii="Arial" w:hAnsi="Arial" w:cs="Arial"/>
          <w:sz w:val="22"/>
          <w:szCs w:val="22"/>
          <w:lang w:val="es-PE"/>
        </w:rPr>
      </w:pPr>
      <w:r w:rsidRPr="001433A4">
        <w:rPr>
          <w:rFonts w:ascii="Arial" w:hAnsi="Arial" w:cs="Arial"/>
          <w:sz w:val="22"/>
          <w:szCs w:val="22"/>
          <w:lang w:val="es-PE"/>
        </w:rPr>
        <w:t>Asimismo, la operación incorpora herramientas tecnológicas avanzadas como modelos geometalúrgic</w:t>
      </w:r>
      <w:r>
        <w:rPr>
          <w:rFonts w:ascii="Arial" w:hAnsi="Arial" w:cs="Arial"/>
          <w:sz w:val="22"/>
          <w:szCs w:val="22"/>
          <w:lang w:val="es-PE"/>
        </w:rPr>
        <w:t>o</w:t>
      </w:r>
      <w:r w:rsidRPr="001433A4">
        <w:rPr>
          <w:rFonts w:ascii="Arial" w:hAnsi="Arial" w:cs="Arial"/>
          <w:sz w:val="22"/>
          <w:szCs w:val="22"/>
          <w:lang w:val="es-PE"/>
        </w:rPr>
        <w:t xml:space="preserve">s, sistemas de control de calidad del mineral y plataformas digitales de gestión minera, </w:t>
      </w:r>
      <w:r w:rsidRPr="001433A4">
        <w:rPr>
          <w:rFonts w:ascii="Arial" w:hAnsi="Arial" w:cs="Arial"/>
          <w:sz w:val="22"/>
          <w:szCs w:val="22"/>
          <w:lang w:val="es-PE"/>
        </w:rPr>
        <w:t>que permiten tomar decisiones informadas en tiempo real. Todo esto contribuye a una operación más eficiente, sostenible y alineada con los estándares internacionales de la industria minera moderna.</w:t>
      </w:r>
    </w:p>
    <w:p w14:paraId="581E738F" w14:textId="77777777" w:rsidR="001433A4" w:rsidRDefault="001433A4" w:rsidP="00FF437D">
      <w:pPr>
        <w:spacing w:line="360" w:lineRule="auto"/>
        <w:jc w:val="both"/>
        <w:rPr>
          <w:rFonts w:ascii="Arial" w:hAnsi="Arial" w:cs="Arial"/>
          <w:sz w:val="22"/>
          <w:szCs w:val="22"/>
          <w:lang w:val="es-PE"/>
        </w:rPr>
      </w:pPr>
    </w:p>
    <w:p w14:paraId="557693EB" w14:textId="0B393ADE" w:rsidR="00E60A19" w:rsidRDefault="00CC0861" w:rsidP="00FF437D">
      <w:pPr>
        <w:spacing w:line="360" w:lineRule="auto"/>
        <w:jc w:val="both"/>
        <w:rPr>
          <w:rFonts w:ascii="Arial" w:hAnsi="Arial" w:cs="Arial"/>
          <w:bCs/>
          <w:sz w:val="22"/>
          <w:szCs w:val="22"/>
          <w:lang w:val="es-PE"/>
        </w:rPr>
      </w:pPr>
      <w:r w:rsidRPr="00CC0861">
        <w:rPr>
          <w:rFonts w:ascii="Arial" w:hAnsi="Arial" w:cs="Arial"/>
          <w:bCs/>
          <w:sz w:val="22"/>
          <w:szCs w:val="22"/>
          <w:lang w:val="es-PE"/>
        </w:rPr>
        <w:t>Históricamente, el manejo de los stocks de mineral en operaciones mineras a tajo abierto ha adoptado diversas metodologías, dependiendo principalmente de la temporalidad de su conformación y del tipo de remanejo requerido. Esta gestión diferenciada responde a la necesidad de mantener un control adecuado sobre la calidad y cantidad del mineral almacenado, asegurando así una alimentación eficiente y continua a las plantas de procesamiento.</w:t>
      </w:r>
    </w:p>
    <w:p w14:paraId="61183F64" w14:textId="77777777" w:rsidR="00CC0861" w:rsidRDefault="00CC0861" w:rsidP="00FF437D">
      <w:pPr>
        <w:spacing w:line="360" w:lineRule="auto"/>
        <w:jc w:val="both"/>
        <w:rPr>
          <w:rFonts w:ascii="Arial" w:hAnsi="Arial" w:cs="Arial"/>
          <w:bCs/>
          <w:sz w:val="22"/>
          <w:szCs w:val="22"/>
          <w:lang w:val="es-PE"/>
        </w:rPr>
      </w:pPr>
    </w:p>
    <w:p w14:paraId="139979C8" w14:textId="47F84F15" w:rsidR="00F95716" w:rsidRDefault="00F95716" w:rsidP="00FF437D">
      <w:pPr>
        <w:spacing w:line="360" w:lineRule="auto"/>
        <w:jc w:val="both"/>
        <w:rPr>
          <w:rFonts w:ascii="Arial" w:hAnsi="Arial" w:cs="Arial"/>
          <w:bCs/>
          <w:sz w:val="22"/>
          <w:szCs w:val="22"/>
          <w:lang w:val="es-PE"/>
        </w:rPr>
      </w:pPr>
      <w:r w:rsidRPr="00F95716">
        <w:rPr>
          <w:rFonts w:ascii="Arial" w:hAnsi="Arial" w:cs="Arial"/>
          <w:bCs/>
          <w:sz w:val="22"/>
          <w:szCs w:val="22"/>
          <w:lang w:val="es-PE"/>
        </w:rPr>
        <w:t>En el caso de los stocks de largo plazo, que generalmente contienen mineral de baja ley acumulado durante varios años, se requiere una caracterización detallada del material antes de su remanejo hacia planta. Para ello, se realizan campañas de muestreo representativo mediante perforaciones diamantinas o calicatas, con el objetivo de obtener información confiable sobre la ley del mineral, su mineralogía y otras propiedades geometalúrgicas relevantes. Esta caracterización es fundamental para minimizar la incertidumbre en la planificación del procesamiento y evitar desviaciones en la recuperación metalúrgica.</w:t>
      </w:r>
    </w:p>
    <w:p w14:paraId="18885855" w14:textId="77777777" w:rsidR="00F95716" w:rsidRDefault="00F95716" w:rsidP="00FF437D">
      <w:pPr>
        <w:spacing w:line="360" w:lineRule="auto"/>
        <w:jc w:val="both"/>
        <w:rPr>
          <w:rFonts w:ascii="Arial" w:hAnsi="Arial" w:cs="Arial"/>
          <w:bCs/>
          <w:sz w:val="22"/>
          <w:szCs w:val="22"/>
          <w:lang w:val="es-PE"/>
        </w:rPr>
      </w:pPr>
    </w:p>
    <w:p w14:paraId="6C61628F" w14:textId="7C417760" w:rsidR="003A1817" w:rsidRDefault="00122023" w:rsidP="00FF437D">
      <w:pPr>
        <w:spacing w:line="360" w:lineRule="auto"/>
        <w:jc w:val="both"/>
        <w:rPr>
          <w:rFonts w:ascii="Arial" w:hAnsi="Arial" w:cs="Arial"/>
          <w:bCs/>
          <w:sz w:val="22"/>
          <w:szCs w:val="22"/>
          <w:lang w:val="es-PE"/>
        </w:rPr>
      </w:pPr>
      <w:r w:rsidRPr="00122023">
        <w:rPr>
          <w:rFonts w:ascii="Arial" w:hAnsi="Arial" w:cs="Arial"/>
          <w:bCs/>
          <w:sz w:val="22"/>
          <w:szCs w:val="22"/>
          <w:lang w:val="es-PE"/>
        </w:rPr>
        <w:t xml:space="preserve">Por otro lado, los stocks de corto plazo se conforman y remueven en ciclos operativos más breves, generalmente en cuestión de días o semanas. En estos casos, el control del inventario se realiza mediante un balance aritmético, considerando las entradas y salidas de material registradas durante la operación. Este balance se complementa con levantamientos topográficos </w:t>
      </w:r>
      <w:r w:rsidRPr="00122023">
        <w:rPr>
          <w:rFonts w:ascii="Arial" w:hAnsi="Arial" w:cs="Arial"/>
          <w:bCs/>
          <w:sz w:val="22"/>
          <w:szCs w:val="22"/>
          <w:lang w:val="es-PE"/>
        </w:rPr>
        <w:lastRenderedPageBreak/>
        <w:t>periódicos que permiten ajustar el volumen real del stock y corregir posibles desviaciones en los cálculos.</w:t>
      </w:r>
    </w:p>
    <w:p w14:paraId="13253754" w14:textId="77777777" w:rsidR="00122023" w:rsidRDefault="00122023" w:rsidP="00FF437D">
      <w:pPr>
        <w:spacing w:line="360" w:lineRule="auto"/>
        <w:jc w:val="both"/>
        <w:rPr>
          <w:rFonts w:ascii="Arial" w:hAnsi="Arial" w:cs="Arial"/>
          <w:bCs/>
          <w:sz w:val="22"/>
          <w:szCs w:val="22"/>
          <w:lang w:val="es-PE"/>
        </w:rPr>
      </w:pPr>
    </w:p>
    <w:p w14:paraId="02FB1EE8" w14:textId="77777777" w:rsidR="00032E53" w:rsidRPr="00032E53" w:rsidRDefault="00032E53" w:rsidP="00FF437D">
      <w:pPr>
        <w:spacing w:line="360" w:lineRule="auto"/>
        <w:jc w:val="both"/>
        <w:rPr>
          <w:rFonts w:ascii="Arial" w:hAnsi="Arial" w:cs="Arial"/>
          <w:bCs/>
          <w:sz w:val="22"/>
          <w:szCs w:val="22"/>
          <w:lang w:val="es-PE"/>
        </w:rPr>
      </w:pPr>
      <w:r w:rsidRPr="00032E53">
        <w:rPr>
          <w:rFonts w:ascii="Arial" w:hAnsi="Arial" w:cs="Arial"/>
          <w:bCs/>
          <w:sz w:val="22"/>
          <w:szCs w:val="22"/>
          <w:lang w:val="es-PE"/>
        </w:rPr>
        <w:t>Sin embargo, estas metodologías tradicionales presentan limitaciones importantes cuando se aplican a las condiciones específicas del yacimiento y del modelo operativo de Marcobre. El plan de minado de Mina Justa ha sido diseñado con una estrategia que prioriza la exposición y extracción de mineral de alta ley en los primeros años de operación, con el objetivo de maximizar el Valor Presente Neto (VPN) del proyecto. Esta estrategia implica una tasa de extracción minera superior a la capacidad de procesamiento de las plantas, lo que genera la necesidad de conformar tanto stocks de largo como de corto plazo.</w:t>
      </w:r>
    </w:p>
    <w:p w14:paraId="76DD4913" w14:textId="77777777" w:rsidR="00032E53" w:rsidRPr="00032E53" w:rsidRDefault="00032E53" w:rsidP="00FF437D">
      <w:pPr>
        <w:spacing w:line="360" w:lineRule="auto"/>
        <w:jc w:val="both"/>
        <w:rPr>
          <w:rFonts w:ascii="Arial" w:hAnsi="Arial" w:cs="Arial"/>
          <w:bCs/>
          <w:sz w:val="22"/>
          <w:szCs w:val="22"/>
          <w:lang w:val="es-PE"/>
        </w:rPr>
      </w:pPr>
    </w:p>
    <w:p w14:paraId="07DD4717" w14:textId="5F3ABCDF" w:rsidR="00032E53" w:rsidRDefault="00032E53" w:rsidP="00FF437D">
      <w:pPr>
        <w:spacing w:line="360" w:lineRule="auto"/>
        <w:jc w:val="both"/>
        <w:rPr>
          <w:rFonts w:ascii="Arial" w:hAnsi="Arial" w:cs="Arial"/>
          <w:bCs/>
          <w:sz w:val="22"/>
          <w:szCs w:val="22"/>
          <w:lang w:val="es-PE"/>
        </w:rPr>
      </w:pPr>
      <w:r w:rsidRPr="00032E53">
        <w:rPr>
          <w:rFonts w:ascii="Arial" w:hAnsi="Arial" w:cs="Arial"/>
          <w:bCs/>
          <w:sz w:val="22"/>
          <w:szCs w:val="22"/>
          <w:lang w:val="es-PE"/>
        </w:rPr>
        <w:t>Además, existen diferencias operativas entre la productividad de los equipos de carguío y acarreo (como las palas) y la capacidad de tratamiento de la planta, así como exigencias estrictas en cuanto a la calidad del mineral alimentado. Como resultado, una proporción significativa del mineral que ingresa a planta —aproximadamente el 95% del tonelaje total— proviene del remanejo de los stocks. Esto convierte al manejo y control de los acopios en una actividad crítica para garantizar la continuidad del proceso productivo y el cumplimiento de los parámetros de calidad establecidos.</w:t>
      </w:r>
    </w:p>
    <w:p w14:paraId="07170406" w14:textId="77777777" w:rsidR="003A1817" w:rsidRDefault="003A1817" w:rsidP="00FF437D">
      <w:pPr>
        <w:spacing w:line="360" w:lineRule="auto"/>
        <w:jc w:val="both"/>
        <w:rPr>
          <w:rFonts w:ascii="Arial" w:hAnsi="Arial" w:cs="Arial"/>
          <w:bCs/>
          <w:sz w:val="22"/>
          <w:szCs w:val="22"/>
          <w:lang w:val="es-PE"/>
        </w:rPr>
      </w:pPr>
    </w:p>
    <w:p w14:paraId="19021F57" w14:textId="77777777" w:rsidR="003A1817" w:rsidRDefault="003A1817" w:rsidP="00FF437D">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19B4AFBD" wp14:editId="096FF836">
            <wp:extent cx="3204000" cy="1410013"/>
            <wp:effectExtent l="0" t="0" r="0" b="0"/>
            <wp:docPr id="441682809" name="Imagen 3"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82809" name="Imagen 3" descr="Imagen de la pantalla de un video jueg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04000" cy="1410013"/>
                    </a:xfrm>
                    <a:prstGeom prst="rect">
                      <a:avLst/>
                    </a:prstGeom>
                    <a:noFill/>
                  </pic:spPr>
                </pic:pic>
              </a:graphicData>
            </a:graphic>
          </wp:inline>
        </w:drawing>
      </w:r>
    </w:p>
    <w:p w14:paraId="4F8E10AC" w14:textId="75852A49" w:rsidR="00773683" w:rsidRDefault="003A1817"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Pr>
          <w:rFonts w:ascii="Arial" w:hAnsi="Arial" w:cs="Arial"/>
          <w:b/>
          <w:bCs/>
          <w:sz w:val="20"/>
          <w:szCs w:val="20"/>
          <w:lang w:val="es-PE"/>
        </w:rPr>
        <w:t xml:space="preserve">2. </w:t>
      </w:r>
      <w:r>
        <w:rPr>
          <w:rFonts w:ascii="Arial" w:hAnsi="Arial" w:cs="Arial"/>
          <w:sz w:val="20"/>
          <w:szCs w:val="20"/>
          <w:lang w:val="es-PE"/>
        </w:rPr>
        <w:t>Flujograma de la alimentación a planta de sulfuros</w:t>
      </w:r>
    </w:p>
    <w:p w14:paraId="2FD3ED7B" w14:textId="2D5D7C63" w:rsidR="00441B34" w:rsidRPr="000270E6" w:rsidRDefault="00F7409F" w:rsidP="00FF437D">
      <w:pPr>
        <w:spacing w:line="360" w:lineRule="auto"/>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FF437D">
      <w:pPr>
        <w:spacing w:line="360" w:lineRule="auto"/>
        <w:jc w:val="both"/>
        <w:rPr>
          <w:rFonts w:ascii="Arial" w:hAnsi="Arial" w:cs="Arial"/>
          <w:b/>
          <w:bCs/>
          <w:sz w:val="22"/>
          <w:szCs w:val="22"/>
          <w:lang w:val="es-PE"/>
        </w:rPr>
      </w:pPr>
    </w:p>
    <w:p w14:paraId="3CAD6544" w14:textId="77777777" w:rsidR="00D6745A" w:rsidRPr="00D6745A" w:rsidRDefault="00D6745A" w:rsidP="00FF437D">
      <w:pPr>
        <w:spacing w:line="360" w:lineRule="auto"/>
        <w:jc w:val="both"/>
        <w:rPr>
          <w:rFonts w:ascii="Arial" w:hAnsi="Arial" w:cs="Arial"/>
          <w:bCs/>
          <w:sz w:val="22"/>
          <w:szCs w:val="22"/>
          <w:lang w:val="es-PE"/>
        </w:rPr>
      </w:pPr>
      <w:r w:rsidRPr="00D6745A">
        <w:rPr>
          <w:rFonts w:ascii="Arial" w:hAnsi="Arial" w:cs="Arial"/>
          <w:bCs/>
          <w:sz w:val="22"/>
          <w:szCs w:val="22"/>
          <w:lang w:val="es-PE"/>
        </w:rPr>
        <w:t>El objetivo principal de este documento es describir el proceso implementado por Marcobre para el control y manejo de los stocks de mineral, con el fin de asegurar una alta precisión en la estimación de la ley y las características del mineral almacenado. Esta precisión es fundamental para maximizar la eficiencia operativa de las plantas de procesamiento, garantizar la continuidad del proceso productivo y optimizar la recuperación metalúrgica.</w:t>
      </w:r>
    </w:p>
    <w:p w14:paraId="6312AB95" w14:textId="77777777" w:rsidR="00D6745A" w:rsidRPr="00D6745A" w:rsidRDefault="00D6745A" w:rsidP="00FF437D">
      <w:pPr>
        <w:spacing w:line="360" w:lineRule="auto"/>
        <w:jc w:val="both"/>
        <w:rPr>
          <w:rFonts w:ascii="Arial" w:hAnsi="Arial" w:cs="Arial"/>
          <w:bCs/>
          <w:sz w:val="22"/>
          <w:szCs w:val="22"/>
          <w:lang w:val="es-PE"/>
        </w:rPr>
      </w:pPr>
    </w:p>
    <w:p w14:paraId="459A4EE6" w14:textId="5E4D50B6" w:rsidR="00D87F0E" w:rsidRDefault="00D6745A" w:rsidP="00FF437D">
      <w:pPr>
        <w:spacing w:line="360" w:lineRule="auto"/>
        <w:jc w:val="both"/>
        <w:rPr>
          <w:rFonts w:ascii="Arial" w:hAnsi="Arial" w:cs="Arial"/>
          <w:bCs/>
          <w:sz w:val="22"/>
          <w:szCs w:val="22"/>
          <w:lang w:val="es-PE"/>
        </w:rPr>
      </w:pPr>
      <w:r w:rsidRPr="00D6745A">
        <w:rPr>
          <w:rFonts w:ascii="Arial" w:hAnsi="Arial" w:cs="Arial"/>
          <w:bCs/>
          <w:sz w:val="22"/>
          <w:szCs w:val="22"/>
          <w:lang w:val="es-PE"/>
        </w:rPr>
        <w:t>El enfoque adoptado busca integrar prácticas operativas, herramientas tecnológicas y metodologías de análisis que permitan una gestión más confiable, trazable y eficiente del inventario de mineral, tanto en los acopios de corto como de largo plazo.</w:t>
      </w:r>
    </w:p>
    <w:p w14:paraId="5BFB67EB" w14:textId="77777777" w:rsidR="00D6745A" w:rsidRDefault="00D6745A" w:rsidP="00FF437D">
      <w:pPr>
        <w:spacing w:line="360" w:lineRule="auto"/>
        <w:jc w:val="both"/>
        <w:rPr>
          <w:rFonts w:ascii="Arial" w:hAnsi="Arial" w:cs="Arial"/>
          <w:bCs/>
          <w:sz w:val="22"/>
          <w:szCs w:val="22"/>
          <w:lang w:val="es-PE"/>
        </w:rPr>
      </w:pPr>
    </w:p>
    <w:p w14:paraId="43E1CCF1" w14:textId="56643973" w:rsidR="00D87F0E" w:rsidRDefault="00D87F0E" w:rsidP="00FF437D">
      <w:pPr>
        <w:spacing w:line="360" w:lineRule="auto"/>
        <w:jc w:val="both"/>
        <w:rPr>
          <w:rFonts w:ascii="Arial" w:hAnsi="Arial" w:cs="Arial"/>
          <w:bCs/>
          <w:sz w:val="22"/>
          <w:szCs w:val="22"/>
          <w:lang w:val="es-PE"/>
        </w:rPr>
      </w:pPr>
      <w:r>
        <w:rPr>
          <w:rFonts w:ascii="Arial" w:hAnsi="Arial" w:cs="Arial"/>
          <w:bCs/>
          <w:sz w:val="22"/>
          <w:szCs w:val="22"/>
          <w:lang w:val="es-PE"/>
        </w:rPr>
        <w:t>Los objetivos específicos involucran:</w:t>
      </w:r>
    </w:p>
    <w:p w14:paraId="6CFC65B7" w14:textId="77777777" w:rsidR="00CA6D6F" w:rsidRDefault="00CA6D6F" w:rsidP="00FF437D">
      <w:pPr>
        <w:spacing w:line="360" w:lineRule="auto"/>
        <w:jc w:val="both"/>
        <w:rPr>
          <w:rFonts w:ascii="Arial" w:hAnsi="Arial" w:cs="Arial"/>
          <w:bCs/>
          <w:sz w:val="22"/>
          <w:szCs w:val="22"/>
          <w:lang w:val="es-PE"/>
        </w:rPr>
      </w:pPr>
    </w:p>
    <w:p w14:paraId="57E58985" w14:textId="7BDF6F6B" w:rsidR="00183AE8" w:rsidRPr="00CA6D6F" w:rsidRDefault="00CA6D6F" w:rsidP="00FF437D">
      <w:pPr>
        <w:pStyle w:val="Prrafodelista"/>
        <w:numPr>
          <w:ilvl w:val="0"/>
          <w:numId w:val="9"/>
        </w:numPr>
        <w:spacing w:line="360" w:lineRule="auto"/>
        <w:jc w:val="both"/>
        <w:rPr>
          <w:rFonts w:ascii="Arial" w:hAnsi="Arial" w:cs="Arial"/>
          <w:bCs/>
          <w:sz w:val="22"/>
          <w:szCs w:val="22"/>
          <w:lang w:val="es-PE"/>
        </w:rPr>
      </w:pPr>
      <w:r w:rsidRPr="00CA6D6F">
        <w:rPr>
          <w:rFonts w:ascii="Arial" w:hAnsi="Arial" w:cs="Arial"/>
          <w:bCs/>
          <w:sz w:val="22"/>
          <w:szCs w:val="22"/>
          <w:lang w:val="es-PE"/>
        </w:rPr>
        <w:t>Identificar y documentar las mejores prácticas en la gestión de stocks de mineral en operaciones mineras a tajo abierto</w:t>
      </w:r>
      <w:r w:rsidR="007C32C0">
        <w:rPr>
          <w:rFonts w:ascii="Arial" w:hAnsi="Arial" w:cs="Arial"/>
          <w:bCs/>
          <w:sz w:val="22"/>
          <w:szCs w:val="22"/>
          <w:lang w:val="es-PE"/>
        </w:rPr>
        <w:t>.</w:t>
      </w:r>
    </w:p>
    <w:p w14:paraId="2F97839A" w14:textId="77777777" w:rsidR="00CA6D6F" w:rsidRPr="00CA6D6F" w:rsidRDefault="00CA6D6F" w:rsidP="00FF437D">
      <w:pPr>
        <w:spacing w:line="360" w:lineRule="auto"/>
        <w:jc w:val="both"/>
        <w:rPr>
          <w:rFonts w:ascii="Arial" w:hAnsi="Arial" w:cs="Arial"/>
          <w:bCs/>
          <w:sz w:val="22"/>
          <w:szCs w:val="22"/>
          <w:lang w:val="es-PE"/>
        </w:rPr>
      </w:pPr>
    </w:p>
    <w:p w14:paraId="4676370D" w14:textId="77777777" w:rsidR="00A30E23" w:rsidRDefault="007C32C0" w:rsidP="00FF437D">
      <w:pPr>
        <w:pStyle w:val="Prrafodelista"/>
        <w:numPr>
          <w:ilvl w:val="0"/>
          <w:numId w:val="9"/>
        </w:numPr>
        <w:spacing w:line="360" w:lineRule="auto"/>
        <w:jc w:val="both"/>
        <w:rPr>
          <w:rFonts w:ascii="Arial" w:hAnsi="Arial" w:cs="Arial"/>
          <w:bCs/>
          <w:sz w:val="22"/>
          <w:szCs w:val="22"/>
          <w:lang w:val="es-PE"/>
        </w:rPr>
      </w:pPr>
      <w:r w:rsidRPr="007C32C0">
        <w:rPr>
          <w:rFonts w:ascii="Arial" w:hAnsi="Arial" w:cs="Arial"/>
          <w:bCs/>
          <w:sz w:val="22"/>
          <w:szCs w:val="22"/>
          <w:lang w:val="es-PE"/>
        </w:rPr>
        <w:t>Describir las soluciones tecnológicas desarrolladas e implementadas por Marcobre para la digitalización del proceso de control de stocks, incluyendo sistemas de monitoreo</w:t>
      </w:r>
      <w:r>
        <w:rPr>
          <w:rFonts w:ascii="Arial" w:hAnsi="Arial" w:cs="Arial"/>
          <w:bCs/>
          <w:sz w:val="22"/>
          <w:szCs w:val="22"/>
          <w:lang w:val="es-PE"/>
        </w:rPr>
        <w:t xml:space="preserve"> y</w:t>
      </w:r>
      <w:r w:rsidRPr="007C32C0">
        <w:rPr>
          <w:rFonts w:ascii="Arial" w:hAnsi="Arial" w:cs="Arial"/>
          <w:bCs/>
          <w:sz w:val="22"/>
          <w:szCs w:val="22"/>
          <w:lang w:val="es-PE"/>
        </w:rPr>
        <w:t xml:space="preserve"> plataformas de gestión de datos</w:t>
      </w:r>
      <w:r>
        <w:rPr>
          <w:rFonts w:ascii="Arial" w:hAnsi="Arial" w:cs="Arial"/>
          <w:bCs/>
          <w:sz w:val="22"/>
          <w:szCs w:val="22"/>
          <w:lang w:val="es-PE"/>
        </w:rPr>
        <w:t>.</w:t>
      </w:r>
    </w:p>
    <w:p w14:paraId="402AC504" w14:textId="77777777" w:rsidR="00A30E23" w:rsidRPr="00A30E23" w:rsidRDefault="00A30E23" w:rsidP="00FF437D">
      <w:pPr>
        <w:pStyle w:val="Prrafodelista"/>
        <w:spacing w:line="360" w:lineRule="auto"/>
        <w:rPr>
          <w:rFonts w:ascii="Arial" w:hAnsi="Arial" w:cs="Arial"/>
          <w:bCs/>
          <w:sz w:val="22"/>
          <w:szCs w:val="22"/>
          <w:lang w:val="es-PE"/>
        </w:rPr>
      </w:pPr>
    </w:p>
    <w:p w14:paraId="4942FB0C" w14:textId="3D0D68B2" w:rsidR="00D87F0E" w:rsidRPr="00A30E23" w:rsidRDefault="00A30E23" w:rsidP="00FF437D">
      <w:pPr>
        <w:pStyle w:val="Prrafodelista"/>
        <w:numPr>
          <w:ilvl w:val="0"/>
          <w:numId w:val="9"/>
        </w:numPr>
        <w:spacing w:line="360" w:lineRule="auto"/>
        <w:jc w:val="both"/>
        <w:rPr>
          <w:rFonts w:ascii="Arial" w:hAnsi="Arial" w:cs="Arial"/>
          <w:bCs/>
          <w:sz w:val="22"/>
          <w:szCs w:val="22"/>
          <w:lang w:val="es-PE"/>
        </w:rPr>
      </w:pPr>
      <w:r w:rsidRPr="00A30E23">
        <w:rPr>
          <w:rFonts w:ascii="Arial" w:hAnsi="Arial" w:cs="Arial"/>
          <w:bCs/>
          <w:sz w:val="22"/>
          <w:szCs w:val="22"/>
          <w:lang w:val="es-PE"/>
        </w:rPr>
        <w:t xml:space="preserve">Analizar los principales beneficios obtenidos a partir de la implementación de esta metodología, tales como la mejora en la calidad de la alimentación a planta, la reducción de la variabilidad en la ley del mineral, el aumento en la eficiencia del </w:t>
      </w:r>
      <w:r w:rsidRPr="00A30E23">
        <w:rPr>
          <w:rFonts w:ascii="Arial" w:hAnsi="Arial" w:cs="Arial"/>
          <w:bCs/>
          <w:sz w:val="22"/>
          <w:szCs w:val="22"/>
          <w:lang w:val="es-PE"/>
        </w:rPr>
        <w:lastRenderedPageBreak/>
        <w:t>procesamiento y la toma de decisiones basada en datos confiables y actualizados.</w:t>
      </w:r>
    </w:p>
    <w:p w14:paraId="4C9C5BF1" w14:textId="77777777" w:rsidR="00E70586" w:rsidRPr="000270E6" w:rsidRDefault="00E70586" w:rsidP="00FF437D">
      <w:pPr>
        <w:spacing w:line="360" w:lineRule="auto"/>
        <w:ind w:firstLine="142"/>
        <w:jc w:val="both"/>
        <w:rPr>
          <w:rFonts w:ascii="Arial" w:hAnsi="Arial" w:cs="Arial"/>
          <w:bCs/>
          <w:sz w:val="22"/>
          <w:szCs w:val="22"/>
          <w:lang w:val="es-PE"/>
        </w:rPr>
      </w:pPr>
    </w:p>
    <w:p w14:paraId="25800079" w14:textId="08B6E13C" w:rsidR="007D2A73" w:rsidRPr="000270E6" w:rsidRDefault="007D2A73" w:rsidP="00FF437D">
      <w:pPr>
        <w:spacing w:line="360" w:lineRule="auto"/>
        <w:jc w:val="both"/>
        <w:rPr>
          <w:rFonts w:ascii="Arial" w:hAnsi="Arial" w:cs="Arial"/>
          <w:b/>
          <w:bCs/>
          <w:sz w:val="22"/>
          <w:szCs w:val="22"/>
          <w:lang w:val="es-PE"/>
        </w:rPr>
      </w:pPr>
      <w:r w:rsidRPr="000270E6">
        <w:rPr>
          <w:rFonts w:ascii="Arial" w:hAnsi="Arial" w:cs="Arial"/>
          <w:b/>
          <w:bCs/>
          <w:sz w:val="22"/>
          <w:szCs w:val="22"/>
          <w:lang w:val="es-PE"/>
        </w:rPr>
        <w:t>3.</w:t>
      </w:r>
      <w:r w:rsidR="000223C4">
        <w:rPr>
          <w:rFonts w:ascii="Arial" w:hAnsi="Arial" w:cs="Arial"/>
          <w:b/>
          <w:bCs/>
          <w:sz w:val="22"/>
          <w:szCs w:val="22"/>
          <w:lang w:val="es-PE"/>
        </w:rPr>
        <w:t xml:space="preserve">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w:t>
      </w:r>
    </w:p>
    <w:p w14:paraId="3A9EE638" w14:textId="77777777" w:rsidR="007D2A73" w:rsidRPr="000270E6" w:rsidRDefault="007D2A73" w:rsidP="00FF437D">
      <w:pPr>
        <w:spacing w:line="360" w:lineRule="auto"/>
        <w:jc w:val="both"/>
        <w:rPr>
          <w:rFonts w:ascii="Arial" w:hAnsi="Arial" w:cs="Arial"/>
          <w:b/>
          <w:bCs/>
          <w:sz w:val="22"/>
          <w:szCs w:val="22"/>
          <w:lang w:val="es-PE"/>
        </w:rPr>
      </w:pPr>
    </w:p>
    <w:p w14:paraId="2AAFD472" w14:textId="2BD8DF7D" w:rsidR="00CE1E00" w:rsidRDefault="00CE1E00" w:rsidP="00FF437D">
      <w:pPr>
        <w:spacing w:line="360" w:lineRule="auto"/>
        <w:jc w:val="both"/>
        <w:rPr>
          <w:rFonts w:ascii="Arial" w:hAnsi="Arial" w:cs="Arial"/>
          <w:bCs/>
          <w:sz w:val="22"/>
          <w:szCs w:val="22"/>
          <w:lang w:val="es-PE"/>
        </w:rPr>
      </w:pPr>
      <w:r w:rsidRPr="00CE1E00">
        <w:rPr>
          <w:rFonts w:ascii="Arial" w:hAnsi="Arial" w:cs="Arial"/>
          <w:bCs/>
          <w:sz w:val="22"/>
          <w:szCs w:val="22"/>
          <w:lang w:val="es-PE"/>
        </w:rPr>
        <w:t>El remanejo de los stocks hacia la planta de sulfuros se realiza utilizando un cargador frontal Caterpillar 994K, en conjunto con camiones de acarreo Caterpillar 793D, cuya capacidad de carga útil es de aproximadamente 235 toneladas métricas por viaje. Esta combinación de equipos permite una operación eficiente y continua en el traslado del mineral desde los acopios hasta el área de chancado primario.</w:t>
      </w:r>
    </w:p>
    <w:p w14:paraId="04BD4A5C" w14:textId="77777777" w:rsidR="00CE1E00" w:rsidRDefault="00CE1E00" w:rsidP="00FF437D">
      <w:pPr>
        <w:spacing w:line="360" w:lineRule="auto"/>
        <w:jc w:val="both"/>
        <w:rPr>
          <w:rFonts w:ascii="Arial" w:hAnsi="Arial" w:cs="Arial"/>
          <w:bCs/>
          <w:sz w:val="22"/>
          <w:szCs w:val="22"/>
          <w:lang w:val="es-PE"/>
        </w:rPr>
      </w:pPr>
    </w:p>
    <w:p w14:paraId="5D1E64CA" w14:textId="770BD855" w:rsidR="00976BD2" w:rsidRDefault="00976BD2" w:rsidP="00FF437D">
      <w:pPr>
        <w:spacing w:line="360" w:lineRule="auto"/>
        <w:jc w:val="both"/>
        <w:rPr>
          <w:rFonts w:ascii="Arial" w:hAnsi="Arial" w:cs="Arial"/>
          <w:bCs/>
          <w:sz w:val="22"/>
          <w:szCs w:val="22"/>
          <w:lang w:val="es-PE"/>
        </w:rPr>
      </w:pPr>
      <w:r w:rsidRPr="00976BD2">
        <w:rPr>
          <w:rFonts w:ascii="Arial" w:hAnsi="Arial" w:cs="Arial"/>
          <w:bCs/>
          <w:sz w:val="22"/>
          <w:szCs w:val="22"/>
          <w:lang w:val="es-PE"/>
        </w:rPr>
        <w:t>La alimentación al chancador primario se lleva a cabo mediante un régimen operativo de 3 a 4 descargas por hora, lo que equivale a un flujo de entre 705 y 940 toneladas por hora, dependiendo del número de viajes realizados. Esta frecuencia de alimentación ha demostrado ser adecuada para mantener la estabilidad en la ley del mineral mezclado (blending) que ingresa a planta, lo cual es fundamental para asegurar una operación metalúrgica eficiente y predecible.</w:t>
      </w:r>
    </w:p>
    <w:p w14:paraId="2DD207F5" w14:textId="77777777" w:rsidR="00976BD2" w:rsidRDefault="00976BD2" w:rsidP="00FF437D">
      <w:pPr>
        <w:spacing w:line="360" w:lineRule="auto"/>
        <w:jc w:val="both"/>
        <w:rPr>
          <w:rFonts w:ascii="Arial" w:hAnsi="Arial" w:cs="Arial"/>
          <w:bCs/>
          <w:sz w:val="22"/>
          <w:szCs w:val="22"/>
          <w:lang w:val="es-PE"/>
        </w:rPr>
      </w:pPr>
    </w:p>
    <w:p w14:paraId="166AE421" w14:textId="2EC8D273" w:rsidR="00976BD2" w:rsidRDefault="00976BD2" w:rsidP="00FF437D">
      <w:pPr>
        <w:spacing w:line="360" w:lineRule="auto"/>
        <w:jc w:val="both"/>
        <w:rPr>
          <w:rFonts w:ascii="Arial" w:hAnsi="Arial" w:cs="Arial"/>
          <w:bCs/>
          <w:sz w:val="22"/>
          <w:szCs w:val="22"/>
          <w:lang w:val="es-PE"/>
        </w:rPr>
      </w:pPr>
      <w:r w:rsidRPr="00976BD2">
        <w:rPr>
          <w:rFonts w:ascii="Arial" w:hAnsi="Arial" w:cs="Arial"/>
          <w:bCs/>
          <w:sz w:val="22"/>
          <w:szCs w:val="22"/>
          <w:lang w:val="es-PE"/>
        </w:rPr>
        <w:t>Tal como se evidencia en el Gráfico 03, esta estrategia de remanejo permite cumplir con los objetivos de calidad establecidos para la alimentación a planta, minimizando la variabilidad en la ley del cobre y asegurando una mezcla homogénea del mineral proveniente de distintos frentes de explotación o acopios. Este control es especialmente relevante en un contexto donde la mayor parte del mineral procesado proviene de los stocks, lo que refuerza la importancia de una logística bien coordinada y de un monitoreo constante del proceso.</w:t>
      </w:r>
    </w:p>
    <w:p w14:paraId="65EDB730" w14:textId="77777777" w:rsidR="00CE1E00" w:rsidRDefault="00CE1E00" w:rsidP="00FF437D">
      <w:pPr>
        <w:spacing w:line="360" w:lineRule="auto"/>
        <w:jc w:val="both"/>
        <w:rPr>
          <w:rFonts w:ascii="Arial" w:hAnsi="Arial" w:cs="Arial"/>
          <w:bCs/>
          <w:sz w:val="22"/>
          <w:szCs w:val="22"/>
          <w:lang w:val="es-PE"/>
        </w:rPr>
      </w:pPr>
    </w:p>
    <w:p w14:paraId="06C8C97A" w14:textId="6868AFBD" w:rsidR="00F97C6E" w:rsidRDefault="0080412A" w:rsidP="00FF437D">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8DA8084" wp14:editId="08443ABD">
            <wp:extent cx="3204000" cy="1805165"/>
            <wp:effectExtent l="0" t="0" r="0" b="5080"/>
            <wp:docPr id="1482575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04000" cy="1805165"/>
                    </a:xfrm>
                    <a:prstGeom prst="rect">
                      <a:avLst/>
                    </a:prstGeom>
                    <a:noFill/>
                  </pic:spPr>
                </pic:pic>
              </a:graphicData>
            </a:graphic>
          </wp:inline>
        </w:drawing>
      </w:r>
    </w:p>
    <w:p w14:paraId="3855FE8B" w14:textId="526C9F4F" w:rsidR="00585AE7" w:rsidRPr="009641B9" w:rsidRDefault="00585AE7"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Pr>
          <w:rFonts w:ascii="Arial" w:hAnsi="Arial" w:cs="Arial"/>
          <w:b/>
          <w:bCs/>
          <w:sz w:val="20"/>
          <w:szCs w:val="20"/>
          <w:lang w:val="es-PE"/>
        </w:rPr>
        <w:t xml:space="preserve">3. </w:t>
      </w:r>
      <w:r w:rsidR="00060C98">
        <w:rPr>
          <w:rFonts w:ascii="Arial" w:hAnsi="Arial" w:cs="Arial"/>
          <w:sz w:val="20"/>
          <w:szCs w:val="20"/>
          <w:lang w:val="es-PE"/>
        </w:rPr>
        <w:t>Proceso de blending para la planta de sulfuros</w:t>
      </w:r>
    </w:p>
    <w:p w14:paraId="33D4FA00" w14:textId="77777777" w:rsidR="00585AE7" w:rsidRDefault="00585AE7" w:rsidP="00FF437D">
      <w:pPr>
        <w:spacing w:line="360" w:lineRule="auto"/>
        <w:jc w:val="both"/>
        <w:rPr>
          <w:rFonts w:ascii="Arial" w:hAnsi="Arial" w:cs="Arial"/>
          <w:bCs/>
          <w:sz w:val="22"/>
          <w:szCs w:val="22"/>
          <w:lang w:val="es-PE"/>
        </w:rPr>
      </w:pPr>
    </w:p>
    <w:p w14:paraId="6A7CFD9C" w14:textId="36DB1A4A" w:rsidR="0080412A" w:rsidRDefault="008B10E9" w:rsidP="00FF437D">
      <w:pPr>
        <w:spacing w:line="360" w:lineRule="auto"/>
        <w:jc w:val="both"/>
        <w:rPr>
          <w:rFonts w:ascii="Arial" w:hAnsi="Arial" w:cs="Arial"/>
          <w:bCs/>
          <w:sz w:val="22"/>
          <w:szCs w:val="22"/>
          <w:lang w:val="es-PE"/>
        </w:rPr>
      </w:pPr>
      <w:r w:rsidRPr="008B10E9">
        <w:rPr>
          <w:rFonts w:ascii="Arial" w:hAnsi="Arial" w:cs="Arial"/>
          <w:bCs/>
          <w:sz w:val="22"/>
          <w:szCs w:val="22"/>
          <w:lang w:val="es-PE"/>
        </w:rPr>
        <w:t>Esta cantidad reducida de viajes por hora —entre tres y cuatro camiones— genera una alta sensibilidad en la ley del mineral que ingresa a planta, ya que cada carga representa una fracción significativa del total alimentado en ese periodo. En este contexto, cualquier error o desviación en la estimación de la ley asignada a un camión puede tener un impacto inmediato y considerable en la ley promedio de alimentación, afectando directamente la eficiencia del proceso de chancado y posterior recuperación metalúrgica.</w:t>
      </w:r>
    </w:p>
    <w:p w14:paraId="12C4076E" w14:textId="77777777" w:rsidR="008B10E9" w:rsidRDefault="008B10E9" w:rsidP="00FF437D">
      <w:pPr>
        <w:spacing w:line="360" w:lineRule="auto"/>
        <w:jc w:val="both"/>
        <w:rPr>
          <w:rFonts w:ascii="Arial" w:hAnsi="Arial" w:cs="Arial"/>
          <w:bCs/>
          <w:sz w:val="22"/>
          <w:szCs w:val="22"/>
          <w:lang w:val="es-PE"/>
        </w:rPr>
      </w:pPr>
    </w:p>
    <w:p w14:paraId="7B2D252C" w14:textId="2668DC85" w:rsidR="008B10E9" w:rsidRDefault="008B10E9" w:rsidP="00FF437D">
      <w:pPr>
        <w:spacing w:line="360" w:lineRule="auto"/>
        <w:jc w:val="both"/>
        <w:rPr>
          <w:rFonts w:ascii="Arial" w:hAnsi="Arial" w:cs="Arial"/>
          <w:bCs/>
          <w:sz w:val="22"/>
          <w:szCs w:val="22"/>
          <w:lang w:val="es-PE"/>
        </w:rPr>
      </w:pPr>
      <w:r w:rsidRPr="008B10E9">
        <w:rPr>
          <w:rFonts w:ascii="Arial" w:hAnsi="Arial" w:cs="Arial"/>
          <w:bCs/>
          <w:sz w:val="22"/>
          <w:szCs w:val="22"/>
          <w:lang w:val="es-PE"/>
        </w:rPr>
        <w:t>Como se muestra en el Gráfico 04, esta sensibilidad se traduce en una fuerte dependencia de la planta respecto a la confiabilidad de los datos asignados a cada unidad de acarreo. Si la ley reportada para un camión no refleja con precisión la composición real del mineral transportado, se pueden generar desviaciones en la mezcla (blending), lo que a su vez puede provocar fluctuaciones en la recuperación, en la eficiencia energética del proceso y en la estabilidad operativa de la planta.</w:t>
      </w:r>
    </w:p>
    <w:p w14:paraId="5B23B93C" w14:textId="77777777" w:rsidR="008B10E9" w:rsidRDefault="008B10E9" w:rsidP="00FF437D">
      <w:pPr>
        <w:spacing w:line="360" w:lineRule="auto"/>
        <w:jc w:val="both"/>
        <w:rPr>
          <w:rFonts w:ascii="Arial" w:hAnsi="Arial" w:cs="Arial"/>
          <w:bCs/>
          <w:sz w:val="22"/>
          <w:szCs w:val="22"/>
          <w:lang w:val="es-PE"/>
        </w:rPr>
      </w:pPr>
    </w:p>
    <w:p w14:paraId="27E720A3" w14:textId="0C5F271F" w:rsidR="008B10E9" w:rsidRDefault="008D08BE" w:rsidP="00FF437D">
      <w:pPr>
        <w:spacing w:line="360" w:lineRule="auto"/>
        <w:jc w:val="both"/>
        <w:rPr>
          <w:rFonts w:ascii="Arial" w:hAnsi="Arial" w:cs="Arial"/>
          <w:bCs/>
          <w:sz w:val="22"/>
          <w:szCs w:val="22"/>
          <w:lang w:val="es-PE"/>
        </w:rPr>
      </w:pPr>
      <w:r w:rsidRPr="008D08BE">
        <w:rPr>
          <w:rFonts w:ascii="Arial" w:hAnsi="Arial" w:cs="Arial"/>
          <w:bCs/>
          <w:sz w:val="22"/>
          <w:szCs w:val="22"/>
          <w:lang w:val="es-PE"/>
        </w:rPr>
        <w:t xml:space="preserve">Este fenómeno resalta la importancia de contar con un sistema robusto de control de calidad del mineral en los stocks, así como con herramientas de trazabilidad y reconciliación que permitan validar y </w:t>
      </w:r>
      <w:r w:rsidRPr="008D08BE">
        <w:rPr>
          <w:rFonts w:ascii="Arial" w:hAnsi="Arial" w:cs="Arial"/>
          <w:bCs/>
          <w:sz w:val="22"/>
          <w:szCs w:val="22"/>
          <w:lang w:val="es-PE"/>
        </w:rPr>
        <w:lastRenderedPageBreak/>
        <w:t>ajustar las leyes asignadas a cada camión antes de su descarga.</w:t>
      </w:r>
    </w:p>
    <w:p w14:paraId="02355964" w14:textId="77777777" w:rsidR="008B10E9" w:rsidRDefault="008B10E9" w:rsidP="00FF437D">
      <w:pPr>
        <w:spacing w:line="360" w:lineRule="auto"/>
        <w:jc w:val="both"/>
        <w:rPr>
          <w:rFonts w:ascii="Arial" w:hAnsi="Arial" w:cs="Arial"/>
          <w:bCs/>
          <w:sz w:val="22"/>
          <w:szCs w:val="22"/>
          <w:lang w:val="es-PE"/>
        </w:rPr>
      </w:pPr>
    </w:p>
    <w:p w14:paraId="15A5394F" w14:textId="428E3012" w:rsidR="0080412A" w:rsidRDefault="0080412A" w:rsidP="00FF437D">
      <w:pPr>
        <w:spacing w:line="360" w:lineRule="auto"/>
        <w:jc w:val="both"/>
        <w:rPr>
          <w:rFonts w:ascii="Arial" w:hAnsi="Arial" w:cs="Arial"/>
          <w:bCs/>
          <w:sz w:val="22"/>
          <w:szCs w:val="22"/>
          <w:lang w:val="es-PE"/>
        </w:rPr>
      </w:pPr>
      <w:r w:rsidRPr="0080412A">
        <w:rPr>
          <w:rFonts w:ascii="Arial" w:hAnsi="Arial" w:cs="Arial"/>
          <w:bCs/>
          <w:noProof/>
          <w:sz w:val="22"/>
          <w:szCs w:val="22"/>
        </w:rPr>
        <w:drawing>
          <wp:inline distT="0" distB="0" distL="0" distR="0" wp14:anchorId="63D701EC" wp14:editId="5CD4118A">
            <wp:extent cx="3204000" cy="1978563"/>
            <wp:effectExtent l="0" t="0" r="0" b="3175"/>
            <wp:docPr id="5" name="Imagen 4" descr="Mapa&#10;&#10;El contenido generado por IA puede ser incorrecto.">
              <a:extLst xmlns:a="http://schemas.openxmlformats.org/drawingml/2006/main">
                <a:ext uri="{FF2B5EF4-FFF2-40B4-BE49-F238E27FC236}">
                  <a16:creationId xmlns:a16="http://schemas.microsoft.com/office/drawing/2014/main" id="{A5127509-8B55-0A72-070A-5F613FC7E9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descr="Mapa&#10;&#10;El contenido generado por IA puede ser incorrecto.">
                      <a:extLst>
                        <a:ext uri="{FF2B5EF4-FFF2-40B4-BE49-F238E27FC236}">
                          <a16:creationId xmlns:a16="http://schemas.microsoft.com/office/drawing/2014/main" id="{A5127509-8B55-0A72-070A-5F613FC7E995}"/>
                        </a:ext>
                      </a:extLst>
                    </pic:cNvPr>
                    <pic:cNvPicPr>
                      <a:picLocks noChangeAspect="1"/>
                    </pic:cNvPicPr>
                  </pic:nvPicPr>
                  <pic:blipFill>
                    <a:blip r:embed="rId15"/>
                    <a:stretch>
                      <a:fillRect/>
                    </a:stretch>
                  </pic:blipFill>
                  <pic:spPr>
                    <a:xfrm>
                      <a:off x="0" y="0"/>
                      <a:ext cx="3204000" cy="1978563"/>
                    </a:xfrm>
                    <a:prstGeom prst="rect">
                      <a:avLst/>
                    </a:prstGeom>
                  </pic:spPr>
                </pic:pic>
              </a:graphicData>
            </a:graphic>
          </wp:inline>
        </w:drawing>
      </w:r>
    </w:p>
    <w:p w14:paraId="5CADA178" w14:textId="3B2EE5DF" w:rsidR="0048618E" w:rsidRDefault="0048618E"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Pr>
          <w:rFonts w:ascii="Arial" w:hAnsi="Arial" w:cs="Arial"/>
          <w:b/>
          <w:bCs/>
          <w:sz w:val="20"/>
          <w:szCs w:val="20"/>
          <w:lang w:val="es-PE"/>
        </w:rPr>
        <w:t xml:space="preserve">4. </w:t>
      </w:r>
      <w:r>
        <w:rPr>
          <w:rFonts w:ascii="Arial" w:hAnsi="Arial" w:cs="Arial"/>
          <w:sz w:val="20"/>
          <w:szCs w:val="20"/>
          <w:lang w:val="es-PE"/>
        </w:rPr>
        <w:t>Proceso de blending para la planta de sulfuros</w:t>
      </w:r>
      <w:r w:rsidR="005F018C">
        <w:rPr>
          <w:rFonts w:ascii="Arial" w:hAnsi="Arial" w:cs="Arial"/>
          <w:sz w:val="20"/>
          <w:szCs w:val="20"/>
          <w:lang w:val="es-PE"/>
        </w:rPr>
        <w:t xml:space="preserve"> con desviación de ley</w:t>
      </w:r>
    </w:p>
    <w:p w14:paraId="29D04CB2" w14:textId="77777777" w:rsidR="00C24F6D" w:rsidRDefault="00C24F6D" w:rsidP="00FF437D">
      <w:pPr>
        <w:spacing w:line="360" w:lineRule="auto"/>
        <w:jc w:val="both"/>
        <w:rPr>
          <w:rFonts w:ascii="Arial" w:hAnsi="Arial" w:cs="Arial"/>
          <w:sz w:val="22"/>
          <w:szCs w:val="22"/>
          <w:lang w:val="es-PE"/>
        </w:rPr>
      </w:pPr>
      <w:r w:rsidRPr="00C24F6D">
        <w:rPr>
          <w:rFonts w:ascii="Arial" w:hAnsi="Arial" w:cs="Arial"/>
          <w:sz w:val="22"/>
          <w:szCs w:val="22"/>
          <w:lang w:val="es-PE"/>
        </w:rPr>
        <w:t>Con el objetivo de maximizar la precisión en la ley del mineral alimentado a planta, Marcobre desarrolló una metodología innovadora basada en la construcción de un modelo de bloques específico para los stocks. Esta metodología permite representar espacialmente la distribución del mineral almacenado, considerando tanto su ley como sus características geometalúrgicas, y se alimenta directamente de la información proveniente del modelo de bloques del tajo.</w:t>
      </w:r>
    </w:p>
    <w:p w14:paraId="2369EA2E" w14:textId="77777777" w:rsidR="00C24F6D" w:rsidRDefault="00C24F6D" w:rsidP="00FF437D">
      <w:pPr>
        <w:spacing w:line="360" w:lineRule="auto"/>
        <w:jc w:val="both"/>
        <w:rPr>
          <w:rFonts w:ascii="Arial" w:hAnsi="Arial" w:cs="Arial"/>
          <w:sz w:val="22"/>
          <w:szCs w:val="22"/>
          <w:lang w:val="es-PE"/>
        </w:rPr>
      </w:pPr>
    </w:p>
    <w:p w14:paraId="1B8EF277" w14:textId="0A6BABB9" w:rsidR="0045750A" w:rsidRDefault="0045750A" w:rsidP="00FF437D">
      <w:pPr>
        <w:spacing w:line="360" w:lineRule="auto"/>
        <w:jc w:val="both"/>
        <w:rPr>
          <w:rFonts w:ascii="Arial" w:hAnsi="Arial" w:cs="Arial"/>
          <w:sz w:val="22"/>
          <w:szCs w:val="22"/>
          <w:lang w:val="es-PE"/>
        </w:rPr>
      </w:pPr>
      <w:r w:rsidRPr="0045750A">
        <w:rPr>
          <w:rFonts w:ascii="Arial" w:hAnsi="Arial" w:cs="Arial"/>
          <w:sz w:val="22"/>
          <w:szCs w:val="22"/>
          <w:lang w:val="es-PE"/>
        </w:rPr>
        <w:t>Cada descarga de mineral que es depositada en los acopios es trazada y registrada con su respectiva ley y atributos, tal como fueron definidos en el modelo geológico y de reservas de la mina. Esta información es luego utilizada para construir un modelo tridimensional de los stocks, en el que cada bloque representa un volumen definido de material con propiedades conocidas. De esta manera, se logra una representación más precisa y dinámica del inventario de mineral disponible para remanejo.</w:t>
      </w:r>
    </w:p>
    <w:p w14:paraId="6CCFD50C" w14:textId="77777777" w:rsidR="0045750A" w:rsidRDefault="0045750A" w:rsidP="00FF437D">
      <w:pPr>
        <w:spacing w:line="360" w:lineRule="auto"/>
        <w:jc w:val="both"/>
        <w:rPr>
          <w:rFonts w:ascii="Arial" w:hAnsi="Arial" w:cs="Arial"/>
          <w:sz w:val="22"/>
          <w:szCs w:val="22"/>
          <w:lang w:val="es-PE"/>
        </w:rPr>
      </w:pPr>
    </w:p>
    <w:p w14:paraId="0D68E613" w14:textId="77777777" w:rsidR="00D823EF" w:rsidRPr="00D823EF" w:rsidRDefault="00D823EF" w:rsidP="00FF437D">
      <w:pPr>
        <w:spacing w:line="360" w:lineRule="auto"/>
        <w:jc w:val="both"/>
        <w:rPr>
          <w:rFonts w:ascii="Arial" w:hAnsi="Arial" w:cs="Arial"/>
          <w:sz w:val="22"/>
          <w:szCs w:val="22"/>
          <w:lang w:val="es-PE"/>
        </w:rPr>
      </w:pPr>
      <w:r w:rsidRPr="00D823EF">
        <w:rPr>
          <w:rFonts w:ascii="Arial" w:hAnsi="Arial" w:cs="Arial"/>
          <w:sz w:val="22"/>
          <w:szCs w:val="22"/>
          <w:lang w:val="es-PE"/>
        </w:rPr>
        <w:t xml:space="preserve">Este enfoque permite realizar simulaciones de mezcla (blending) más confiables, optimizar la secuencia de remanejo y reducir la variabilidad en </w:t>
      </w:r>
      <w:r w:rsidRPr="00D823EF">
        <w:rPr>
          <w:rFonts w:ascii="Arial" w:hAnsi="Arial" w:cs="Arial"/>
          <w:sz w:val="22"/>
          <w:szCs w:val="22"/>
          <w:lang w:val="es-PE"/>
        </w:rPr>
        <w:t>la alimentación a planta. Además, facilita la reconciliación entre lo planificado y lo realmente procesado, y permite una mejor toma de decisiones operativas en tiempo real.</w:t>
      </w:r>
    </w:p>
    <w:p w14:paraId="0C4F2EC3" w14:textId="77777777" w:rsidR="00D823EF" w:rsidRPr="00D823EF" w:rsidRDefault="00D823EF" w:rsidP="00FF437D">
      <w:pPr>
        <w:spacing w:line="360" w:lineRule="auto"/>
        <w:jc w:val="both"/>
        <w:rPr>
          <w:rFonts w:ascii="Arial" w:hAnsi="Arial" w:cs="Arial"/>
          <w:sz w:val="22"/>
          <w:szCs w:val="22"/>
          <w:lang w:val="es-PE"/>
        </w:rPr>
      </w:pPr>
    </w:p>
    <w:p w14:paraId="4F9B8673" w14:textId="54C1A9BC" w:rsidR="00D823EF" w:rsidRDefault="00D823EF" w:rsidP="00FF437D">
      <w:pPr>
        <w:spacing w:line="360" w:lineRule="auto"/>
        <w:jc w:val="both"/>
        <w:rPr>
          <w:rFonts w:ascii="Arial" w:hAnsi="Arial" w:cs="Arial"/>
          <w:sz w:val="22"/>
          <w:szCs w:val="22"/>
          <w:lang w:val="es-PE"/>
        </w:rPr>
      </w:pPr>
      <w:r w:rsidRPr="00D823EF">
        <w:rPr>
          <w:rFonts w:ascii="Arial" w:hAnsi="Arial" w:cs="Arial"/>
          <w:sz w:val="22"/>
          <w:szCs w:val="22"/>
          <w:lang w:val="es-PE"/>
        </w:rPr>
        <w:t>La implementación de este modelo de bloques para los stocks representa un avance significativo frente a los métodos tradicionales de control por balance aritmético, ya que incorpora una dimensión espacial y geológica que mejora sustancialmente la calidad del control de ley y la eficiencia del proceso productivo.</w:t>
      </w:r>
    </w:p>
    <w:p w14:paraId="38FD5F56" w14:textId="77777777" w:rsidR="006A3510" w:rsidRDefault="006A3510" w:rsidP="00FF437D">
      <w:pPr>
        <w:spacing w:line="360" w:lineRule="auto"/>
        <w:jc w:val="both"/>
        <w:rPr>
          <w:rFonts w:ascii="Arial" w:hAnsi="Arial" w:cs="Arial"/>
          <w:sz w:val="20"/>
          <w:szCs w:val="20"/>
          <w:lang w:val="es-PE"/>
        </w:rPr>
      </w:pPr>
    </w:p>
    <w:p w14:paraId="0BC62AAA" w14:textId="77777777" w:rsidR="006A3510" w:rsidRDefault="006A3510" w:rsidP="00FF437D">
      <w:pPr>
        <w:spacing w:line="360" w:lineRule="auto"/>
        <w:jc w:val="both"/>
        <w:rPr>
          <w:rFonts w:ascii="Arial" w:hAnsi="Arial" w:cs="Arial"/>
          <w:sz w:val="20"/>
          <w:szCs w:val="20"/>
          <w:lang w:val="es-PE"/>
        </w:rPr>
      </w:pPr>
      <w:r>
        <w:rPr>
          <w:rFonts w:ascii="Arial" w:hAnsi="Arial" w:cs="Arial"/>
          <w:bCs/>
          <w:noProof/>
          <w:sz w:val="22"/>
          <w:szCs w:val="22"/>
          <w:lang w:val="es-PE"/>
        </w:rPr>
        <w:drawing>
          <wp:inline distT="0" distB="0" distL="0" distR="0" wp14:anchorId="04801F5E" wp14:editId="045FF4B2">
            <wp:extent cx="3036824" cy="2440294"/>
            <wp:effectExtent l="0" t="0" r="0" b="0"/>
            <wp:docPr id="5283946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94610" name="Imagen 2" descr="Diagrama&#10;&#10;El contenido generado por IA puede ser incorrec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3788" cy="2445890"/>
                    </a:xfrm>
                    <a:prstGeom prst="rect">
                      <a:avLst/>
                    </a:prstGeom>
                    <a:noFill/>
                  </pic:spPr>
                </pic:pic>
              </a:graphicData>
            </a:graphic>
          </wp:inline>
        </w:drawing>
      </w:r>
    </w:p>
    <w:p w14:paraId="381DBCF9" w14:textId="77777777" w:rsidR="00D823EF" w:rsidRDefault="00D823EF" w:rsidP="00FF437D">
      <w:pPr>
        <w:spacing w:line="360" w:lineRule="auto"/>
        <w:jc w:val="both"/>
        <w:rPr>
          <w:rFonts w:ascii="Arial" w:hAnsi="Arial" w:cs="Arial"/>
          <w:sz w:val="20"/>
          <w:szCs w:val="20"/>
          <w:lang w:val="es-PE"/>
        </w:rPr>
      </w:pPr>
    </w:p>
    <w:p w14:paraId="4C5F7108" w14:textId="626452C6" w:rsidR="006A3510" w:rsidRDefault="006A3510"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sidR="00FC74F3">
        <w:rPr>
          <w:rFonts w:ascii="Arial" w:hAnsi="Arial" w:cs="Arial"/>
          <w:b/>
          <w:bCs/>
          <w:sz w:val="20"/>
          <w:szCs w:val="20"/>
          <w:lang w:val="es-PE"/>
        </w:rPr>
        <w:t>5</w:t>
      </w:r>
      <w:r>
        <w:rPr>
          <w:rFonts w:ascii="Arial" w:hAnsi="Arial" w:cs="Arial"/>
          <w:b/>
          <w:bCs/>
          <w:sz w:val="20"/>
          <w:szCs w:val="20"/>
          <w:lang w:val="es-PE"/>
        </w:rPr>
        <w:t xml:space="preserve">. </w:t>
      </w:r>
      <w:r>
        <w:rPr>
          <w:rFonts w:ascii="Arial" w:hAnsi="Arial" w:cs="Arial"/>
          <w:sz w:val="20"/>
          <w:szCs w:val="20"/>
          <w:lang w:val="es-PE"/>
        </w:rPr>
        <w:t>Modelo de bloques de los stocks</w:t>
      </w:r>
    </w:p>
    <w:p w14:paraId="19735FE3" w14:textId="34256521" w:rsidR="006226CA" w:rsidRPr="002C09A8" w:rsidRDefault="006226CA" w:rsidP="00FF437D">
      <w:pPr>
        <w:spacing w:line="360" w:lineRule="auto"/>
        <w:jc w:val="both"/>
        <w:rPr>
          <w:rFonts w:ascii="Arial" w:hAnsi="Arial" w:cs="Arial"/>
          <w:sz w:val="22"/>
          <w:szCs w:val="22"/>
          <w:lang w:val="es-PE"/>
        </w:rPr>
      </w:pPr>
    </w:p>
    <w:p w14:paraId="1170BFA0" w14:textId="77777777" w:rsidR="007B24F5" w:rsidRPr="002C09A8" w:rsidRDefault="007B24F5" w:rsidP="00FF437D">
      <w:pPr>
        <w:spacing w:line="360" w:lineRule="auto"/>
        <w:jc w:val="both"/>
        <w:rPr>
          <w:rFonts w:ascii="Arial" w:hAnsi="Arial" w:cs="Arial"/>
          <w:sz w:val="22"/>
          <w:szCs w:val="22"/>
          <w:lang w:val="es-PE"/>
        </w:rPr>
      </w:pPr>
    </w:p>
    <w:p w14:paraId="59712CD2" w14:textId="516C9B49" w:rsidR="007B24F5" w:rsidRPr="002C09A8" w:rsidRDefault="00963D15" w:rsidP="00FF437D">
      <w:pPr>
        <w:spacing w:line="360" w:lineRule="auto"/>
        <w:jc w:val="both"/>
        <w:rPr>
          <w:rFonts w:ascii="Arial" w:hAnsi="Arial" w:cs="Arial"/>
          <w:sz w:val="22"/>
          <w:szCs w:val="22"/>
          <w:lang w:val="es-PE"/>
        </w:rPr>
      </w:pPr>
      <w:r w:rsidRPr="002C09A8">
        <w:rPr>
          <w:rFonts w:ascii="Arial" w:hAnsi="Arial" w:cs="Arial"/>
          <w:sz w:val="22"/>
          <w:szCs w:val="22"/>
          <w:lang w:val="es-PE"/>
        </w:rPr>
        <w:t xml:space="preserve">Esta metodología se desarrolla </w:t>
      </w:r>
      <w:r w:rsidR="002D7F45" w:rsidRPr="002C09A8">
        <w:rPr>
          <w:rFonts w:ascii="Arial" w:hAnsi="Arial" w:cs="Arial"/>
          <w:sz w:val="22"/>
          <w:szCs w:val="22"/>
          <w:lang w:val="es-PE"/>
        </w:rPr>
        <w:t>en</w:t>
      </w:r>
      <w:r w:rsidR="006C0201">
        <w:rPr>
          <w:rFonts w:ascii="Arial" w:hAnsi="Arial" w:cs="Arial"/>
          <w:sz w:val="22"/>
          <w:szCs w:val="22"/>
          <w:lang w:val="es-PE"/>
        </w:rPr>
        <w:t xml:space="preserve"> cuatro etapas principales:</w:t>
      </w:r>
    </w:p>
    <w:p w14:paraId="243387EF" w14:textId="77777777" w:rsidR="00963D15" w:rsidRPr="002C09A8" w:rsidRDefault="00963D15" w:rsidP="00FF437D">
      <w:pPr>
        <w:spacing w:line="360" w:lineRule="auto"/>
        <w:jc w:val="both"/>
        <w:rPr>
          <w:rFonts w:ascii="Arial" w:hAnsi="Arial" w:cs="Arial"/>
          <w:sz w:val="22"/>
          <w:szCs w:val="22"/>
          <w:lang w:val="es-PE"/>
        </w:rPr>
      </w:pPr>
    </w:p>
    <w:p w14:paraId="6DE57302" w14:textId="52088B03" w:rsidR="008566FF" w:rsidRPr="002C09A8" w:rsidRDefault="00FD66FA" w:rsidP="00FF437D">
      <w:pPr>
        <w:spacing w:line="360" w:lineRule="auto"/>
        <w:jc w:val="both"/>
        <w:rPr>
          <w:rFonts w:ascii="Arial" w:hAnsi="Arial" w:cs="Arial"/>
          <w:sz w:val="22"/>
          <w:szCs w:val="22"/>
          <w:lang w:val="es-PE"/>
        </w:rPr>
      </w:pPr>
      <w:r w:rsidRPr="002C09A8">
        <w:rPr>
          <w:rFonts w:ascii="Arial" w:hAnsi="Arial" w:cs="Arial"/>
          <w:sz w:val="22"/>
          <w:szCs w:val="22"/>
          <w:lang w:val="es-PE"/>
        </w:rPr>
        <w:t xml:space="preserve">3.1 </w:t>
      </w:r>
      <w:r w:rsidR="002D7F45" w:rsidRPr="002C09A8">
        <w:rPr>
          <w:rFonts w:ascii="Arial" w:hAnsi="Arial" w:cs="Arial"/>
          <w:sz w:val="22"/>
          <w:szCs w:val="22"/>
          <w:lang w:val="es-PE"/>
        </w:rPr>
        <w:t>Registro de información</w:t>
      </w:r>
      <w:r w:rsidR="00013E2D" w:rsidRPr="002C09A8">
        <w:rPr>
          <w:rFonts w:ascii="Arial" w:hAnsi="Arial" w:cs="Arial"/>
          <w:sz w:val="22"/>
          <w:szCs w:val="22"/>
          <w:lang w:val="es-PE"/>
        </w:rPr>
        <w:t xml:space="preserve"> de minado</w:t>
      </w:r>
    </w:p>
    <w:p w14:paraId="1937EE09" w14:textId="77777777" w:rsidR="001026F5" w:rsidRPr="002C09A8" w:rsidRDefault="001026F5" w:rsidP="00FF437D">
      <w:pPr>
        <w:spacing w:line="360" w:lineRule="auto"/>
        <w:jc w:val="both"/>
        <w:rPr>
          <w:rFonts w:ascii="Arial" w:hAnsi="Arial" w:cs="Arial"/>
          <w:sz w:val="22"/>
          <w:szCs w:val="22"/>
          <w:lang w:val="es-PE"/>
        </w:rPr>
      </w:pPr>
    </w:p>
    <w:p w14:paraId="6A33F98C" w14:textId="77777777" w:rsidR="000D638E" w:rsidRPr="000D638E" w:rsidRDefault="000D638E" w:rsidP="00FF437D">
      <w:pPr>
        <w:spacing w:line="360" w:lineRule="auto"/>
        <w:jc w:val="both"/>
        <w:rPr>
          <w:rFonts w:ascii="Arial" w:hAnsi="Arial" w:cs="Arial"/>
          <w:sz w:val="22"/>
          <w:szCs w:val="22"/>
          <w:lang w:val="es-PE"/>
        </w:rPr>
      </w:pPr>
      <w:r w:rsidRPr="000D638E">
        <w:rPr>
          <w:rFonts w:ascii="Arial" w:hAnsi="Arial" w:cs="Arial"/>
          <w:sz w:val="22"/>
          <w:szCs w:val="22"/>
          <w:lang w:val="es-PE"/>
        </w:rPr>
        <w:t xml:space="preserve">Los equipos de carguío están equipados con sistemas GPS de alta precisión, los cuales permiten registrar con exactitud la ubicación de los bloques que están siendo minados. A partir de esta información, se asignan a cada camión las leyes de cobre y las características geológicas </w:t>
      </w:r>
      <w:r w:rsidRPr="000D638E">
        <w:rPr>
          <w:rFonts w:ascii="Arial" w:hAnsi="Arial" w:cs="Arial"/>
          <w:sz w:val="22"/>
          <w:szCs w:val="22"/>
          <w:lang w:val="es-PE"/>
        </w:rPr>
        <w:lastRenderedPageBreak/>
        <w:t>correspondientes al bloque de origen, asegurando así la trazabilidad completa del mineral desde el frente de mina hasta su destino final.</w:t>
      </w:r>
    </w:p>
    <w:p w14:paraId="66F957A2" w14:textId="77777777" w:rsidR="000D638E" w:rsidRPr="000D638E" w:rsidRDefault="000D638E" w:rsidP="00FF437D">
      <w:pPr>
        <w:spacing w:line="360" w:lineRule="auto"/>
        <w:jc w:val="both"/>
        <w:rPr>
          <w:rFonts w:ascii="Arial" w:hAnsi="Arial" w:cs="Arial"/>
          <w:sz w:val="22"/>
          <w:szCs w:val="22"/>
          <w:lang w:val="es-PE"/>
        </w:rPr>
      </w:pPr>
    </w:p>
    <w:p w14:paraId="64F3BC47" w14:textId="06A3D1A6" w:rsidR="008566FF" w:rsidRDefault="000D638E" w:rsidP="00FF437D">
      <w:pPr>
        <w:spacing w:line="360" w:lineRule="auto"/>
        <w:jc w:val="both"/>
        <w:rPr>
          <w:rFonts w:ascii="Arial" w:hAnsi="Arial" w:cs="Arial"/>
          <w:sz w:val="22"/>
          <w:szCs w:val="22"/>
          <w:lang w:val="es-PE"/>
        </w:rPr>
      </w:pPr>
      <w:r w:rsidRPr="000D638E">
        <w:rPr>
          <w:rFonts w:ascii="Arial" w:hAnsi="Arial" w:cs="Arial"/>
          <w:sz w:val="22"/>
          <w:szCs w:val="22"/>
          <w:lang w:val="es-PE"/>
        </w:rPr>
        <w:t>Simultáneamente, la flota de acarreo también cuenta con sistemas GPS que registran la coordenada exacta de descarga en los distintos acopios o stocks. Esta doble trazabilidad —desde el origen hasta el destino— permite mantener un control riguroso sobre la calidad y ubicación del mineral almacenado.</w:t>
      </w:r>
    </w:p>
    <w:p w14:paraId="480519C9" w14:textId="77777777" w:rsidR="000D638E" w:rsidRPr="002C09A8" w:rsidRDefault="000D638E" w:rsidP="00FF437D">
      <w:pPr>
        <w:spacing w:line="360" w:lineRule="auto"/>
        <w:jc w:val="both"/>
        <w:rPr>
          <w:rFonts w:ascii="Arial" w:hAnsi="Arial" w:cs="Arial"/>
          <w:sz w:val="22"/>
          <w:szCs w:val="22"/>
          <w:lang w:val="es-PE"/>
        </w:rPr>
      </w:pPr>
    </w:p>
    <w:p w14:paraId="647DD472" w14:textId="70B57D78" w:rsidR="00963D15" w:rsidRPr="002C09A8" w:rsidRDefault="004D0BDC" w:rsidP="00FF437D">
      <w:pPr>
        <w:spacing w:line="360" w:lineRule="auto"/>
        <w:jc w:val="both"/>
        <w:rPr>
          <w:rFonts w:ascii="Arial" w:hAnsi="Arial" w:cs="Arial"/>
          <w:sz w:val="22"/>
          <w:szCs w:val="22"/>
          <w:lang w:val="es-PE"/>
        </w:rPr>
      </w:pPr>
      <w:r w:rsidRPr="002C09A8">
        <w:rPr>
          <w:rFonts w:ascii="Arial" w:hAnsi="Arial" w:cs="Arial"/>
          <w:sz w:val="22"/>
          <w:szCs w:val="22"/>
          <w:lang w:val="es-PE"/>
        </w:rPr>
        <w:t xml:space="preserve">3.2 </w:t>
      </w:r>
      <w:r w:rsidR="006A3510" w:rsidRPr="002C09A8">
        <w:rPr>
          <w:rFonts w:ascii="Arial" w:hAnsi="Arial" w:cs="Arial"/>
          <w:sz w:val="22"/>
          <w:szCs w:val="22"/>
          <w:lang w:val="es-PE"/>
        </w:rPr>
        <w:t>Distribución de stocks</w:t>
      </w:r>
    </w:p>
    <w:p w14:paraId="07D1E3CE" w14:textId="77777777" w:rsidR="00A11C07" w:rsidRPr="002C09A8" w:rsidRDefault="00A11C07" w:rsidP="00FF437D">
      <w:pPr>
        <w:spacing w:line="360" w:lineRule="auto"/>
        <w:jc w:val="both"/>
        <w:rPr>
          <w:rFonts w:ascii="Arial" w:hAnsi="Arial" w:cs="Arial"/>
          <w:sz w:val="22"/>
          <w:szCs w:val="22"/>
          <w:lang w:val="es-PE"/>
        </w:rPr>
      </w:pPr>
    </w:p>
    <w:p w14:paraId="38DDE427" w14:textId="77777777" w:rsidR="00B35C05" w:rsidRDefault="00906DFC" w:rsidP="00FF437D">
      <w:pPr>
        <w:spacing w:line="360" w:lineRule="auto"/>
        <w:jc w:val="both"/>
        <w:rPr>
          <w:rFonts w:ascii="Arial" w:hAnsi="Arial" w:cs="Arial"/>
          <w:sz w:val="22"/>
          <w:szCs w:val="22"/>
          <w:lang w:val="es-PE"/>
        </w:rPr>
      </w:pPr>
      <w:r w:rsidRPr="00906DFC">
        <w:rPr>
          <w:rFonts w:ascii="Arial" w:hAnsi="Arial" w:cs="Arial"/>
          <w:sz w:val="22"/>
          <w:szCs w:val="22"/>
          <w:lang w:val="es-PE"/>
        </w:rPr>
        <w:t>Una vez definida la estrategia anual de alimentación a planta, se realiza la planificación de la distribución de los stocks de corto plazo, con el objetivo de cumplir con los requerimientos de calidad establecidos para la mezcla (blending) en la pila de chancado primario</w:t>
      </w:r>
      <w:r w:rsidR="00B35C05">
        <w:rPr>
          <w:rFonts w:ascii="Arial" w:hAnsi="Arial" w:cs="Arial"/>
          <w:sz w:val="22"/>
          <w:szCs w:val="22"/>
          <w:lang w:val="es-PE"/>
        </w:rPr>
        <w:t>.</w:t>
      </w:r>
    </w:p>
    <w:p w14:paraId="4C0EDE0B" w14:textId="77777777" w:rsidR="00B35C05" w:rsidRDefault="00B35C05" w:rsidP="00FF437D">
      <w:pPr>
        <w:spacing w:line="360" w:lineRule="auto"/>
        <w:jc w:val="both"/>
        <w:rPr>
          <w:rFonts w:ascii="Arial" w:hAnsi="Arial" w:cs="Arial"/>
          <w:sz w:val="22"/>
          <w:szCs w:val="22"/>
          <w:lang w:val="es-PE"/>
        </w:rPr>
      </w:pPr>
    </w:p>
    <w:p w14:paraId="6A3C3025" w14:textId="5E977F59" w:rsidR="00B35C05" w:rsidRDefault="00B35C05" w:rsidP="00FF437D">
      <w:pPr>
        <w:spacing w:line="360" w:lineRule="auto"/>
        <w:jc w:val="both"/>
        <w:rPr>
          <w:rFonts w:ascii="Arial" w:hAnsi="Arial" w:cs="Arial"/>
          <w:sz w:val="22"/>
          <w:szCs w:val="22"/>
          <w:lang w:val="es-PE"/>
        </w:rPr>
      </w:pPr>
      <w:r>
        <w:rPr>
          <w:noProof/>
        </w:rPr>
        <w:drawing>
          <wp:inline distT="0" distB="0" distL="0" distR="0" wp14:anchorId="74FD59B0" wp14:editId="1BA60A80">
            <wp:extent cx="3166110" cy="1809923"/>
            <wp:effectExtent l="0" t="0" r="0" b="0"/>
            <wp:docPr id="10697680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68012" name=""/>
                    <pic:cNvPicPr/>
                  </pic:nvPicPr>
                  <pic:blipFill>
                    <a:blip r:embed="rId17"/>
                    <a:stretch>
                      <a:fillRect/>
                    </a:stretch>
                  </pic:blipFill>
                  <pic:spPr>
                    <a:xfrm>
                      <a:off x="0" y="0"/>
                      <a:ext cx="3166110" cy="1809923"/>
                    </a:xfrm>
                    <a:prstGeom prst="rect">
                      <a:avLst/>
                    </a:prstGeom>
                  </pic:spPr>
                </pic:pic>
              </a:graphicData>
            </a:graphic>
          </wp:inline>
        </w:drawing>
      </w:r>
    </w:p>
    <w:p w14:paraId="04E1AB3E" w14:textId="77777777" w:rsidR="00B35C05" w:rsidRDefault="00B35C05"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Pr>
          <w:rFonts w:ascii="Arial" w:hAnsi="Arial" w:cs="Arial"/>
          <w:b/>
          <w:bCs/>
          <w:sz w:val="20"/>
          <w:szCs w:val="20"/>
          <w:lang w:val="es-PE"/>
        </w:rPr>
        <w:t xml:space="preserve">6. </w:t>
      </w:r>
      <w:r>
        <w:rPr>
          <w:rFonts w:ascii="Arial" w:hAnsi="Arial" w:cs="Arial"/>
          <w:sz w:val="20"/>
          <w:szCs w:val="20"/>
          <w:lang w:val="es-PE"/>
        </w:rPr>
        <w:t>Distribución de los stocks de sulfuros secundarios según el rango de leyes</w:t>
      </w:r>
    </w:p>
    <w:p w14:paraId="57055F57" w14:textId="77777777" w:rsidR="00B35C05" w:rsidRDefault="00B35C05" w:rsidP="00FF437D">
      <w:pPr>
        <w:spacing w:line="360" w:lineRule="auto"/>
        <w:jc w:val="both"/>
        <w:rPr>
          <w:rFonts w:ascii="Arial" w:hAnsi="Arial" w:cs="Arial"/>
          <w:sz w:val="22"/>
          <w:szCs w:val="22"/>
          <w:lang w:val="es-PE"/>
        </w:rPr>
      </w:pPr>
    </w:p>
    <w:p w14:paraId="1B4288E2" w14:textId="220FE65E" w:rsidR="00906DFC" w:rsidRDefault="00906DFC" w:rsidP="00FF437D">
      <w:pPr>
        <w:spacing w:line="360" w:lineRule="auto"/>
        <w:jc w:val="both"/>
        <w:rPr>
          <w:rFonts w:ascii="Arial" w:hAnsi="Arial" w:cs="Arial"/>
          <w:sz w:val="22"/>
          <w:szCs w:val="22"/>
          <w:lang w:val="es-PE"/>
        </w:rPr>
      </w:pPr>
      <w:r w:rsidRPr="00906DFC">
        <w:rPr>
          <w:rFonts w:ascii="Arial" w:hAnsi="Arial" w:cs="Arial"/>
          <w:sz w:val="22"/>
          <w:szCs w:val="22"/>
          <w:lang w:val="es-PE"/>
        </w:rPr>
        <w:t>Esta distribución se realiza considerando los siguientes criterios operativos:</w:t>
      </w:r>
    </w:p>
    <w:p w14:paraId="232805AC" w14:textId="77777777" w:rsidR="00906DFC" w:rsidRPr="00906DFC" w:rsidRDefault="00906DFC" w:rsidP="00FF437D">
      <w:pPr>
        <w:spacing w:line="360" w:lineRule="auto"/>
        <w:jc w:val="both"/>
        <w:rPr>
          <w:rFonts w:ascii="Arial" w:hAnsi="Arial" w:cs="Arial"/>
          <w:sz w:val="22"/>
          <w:szCs w:val="22"/>
          <w:lang w:val="es-PE"/>
        </w:rPr>
      </w:pPr>
    </w:p>
    <w:p w14:paraId="2801E20B" w14:textId="77777777" w:rsidR="00906DFC" w:rsidRDefault="00906DFC" w:rsidP="00FF437D">
      <w:pPr>
        <w:pStyle w:val="Prrafodelista"/>
        <w:numPr>
          <w:ilvl w:val="0"/>
          <w:numId w:val="10"/>
        </w:numPr>
        <w:spacing w:line="360" w:lineRule="auto"/>
        <w:jc w:val="both"/>
        <w:rPr>
          <w:rFonts w:ascii="Arial" w:hAnsi="Arial" w:cs="Arial"/>
          <w:sz w:val="22"/>
          <w:szCs w:val="22"/>
          <w:lang w:val="es-PE"/>
        </w:rPr>
      </w:pPr>
      <w:r w:rsidRPr="00906DFC">
        <w:rPr>
          <w:rFonts w:ascii="Arial" w:hAnsi="Arial" w:cs="Arial"/>
          <w:sz w:val="22"/>
          <w:szCs w:val="22"/>
          <w:lang w:val="es-PE"/>
        </w:rPr>
        <w:t>Minimizar las demoras por traslado del cargador frontal, optimizando la eficiencia del ciclo de carga.</w:t>
      </w:r>
    </w:p>
    <w:p w14:paraId="7CDF8F1E" w14:textId="77777777" w:rsidR="00906DFC" w:rsidRPr="00906DFC" w:rsidRDefault="00906DFC" w:rsidP="00FF437D">
      <w:pPr>
        <w:spacing w:line="360" w:lineRule="auto"/>
        <w:jc w:val="both"/>
        <w:rPr>
          <w:rFonts w:ascii="Arial" w:hAnsi="Arial" w:cs="Arial"/>
          <w:sz w:val="22"/>
          <w:szCs w:val="22"/>
          <w:lang w:val="es-PE"/>
        </w:rPr>
      </w:pPr>
    </w:p>
    <w:p w14:paraId="62B9CE9E" w14:textId="6B497A23" w:rsidR="00906DFC" w:rsidRDefault="00906DFC" w:rsidP="00FF437D">
      <w:pPr>
        <w:pStyle w:val="Prrafodelista"/>
        <w:numPr>
          <w:ilvl w:val="0"/>
          <w:numId w:val="10"/>
        </w:numPr>
        <w:spacing w:line="360" w:lineRule="auto"/>
        <w:jc w:val="both"/>
        <w:rPr>
          <w:rFonts w:ascii="Arial" w:hAnsi="Arial" w:cs="Arial"/>
          <w:sz w:val="22"/>
          <w:szCs w:val="22"/>
          <w:lang w:val="es-PE"/>
        </w:rPr>
      </w:pPr>
      <w:r w:rsidRPr="00906DFC">
        <w:rPr>
          <w:rFonts w:ascii="Arial" w:hAnsi="Arial" w:cs="Arial"/>
          <w:sz w:val="22"/>
          <w:szCs w:val="22"/>
          <w:lang w:val="es-PE"/>
        </w:rPr>
        <w:t>Reducir el remanejo innecesario entre distintos stocks, disminuyendo costos operativos y pérdida de material.</w:t>
      </w:r>
    </w:p>
    <w:p w14:paraId="79BFF76C" w14:textId="77777777" w:rsidR="00906DFC" w:rsidRPr="00906DFC" w:rsidRDefault="00906DFC" w:rsidP="00FF437D">
      <w:pPr>
        <w:spacing w:line="360" w:lineRule="auto"/>
        <w:jc w:val="both"/>
        <w:rPr>
          <w:rFonts w:ascii="Arial" w:hAnsi="Arial" w:cs="Arial"/>
          <w:sz w:val="22"/>
          <w:szCs w:val="22"/>
          <w:lang w:val="es-PE"/>
        </w:rPr>
      </w:pPr>
    </w:p>
    <w:p w14:paraId="4F45696D" w14:textId="2931E8F3" w:rsidR="00B35C05" w:rsidRPr="00B35C05" w:rsidRDefault="00906DFC" w:rsidP="00FF437D">
      <w:pPr>
        <w:pStyle w:val="Prrafodelista"/>
        <w:numPr>
          <w:ilvl w:val="0"/>
          <w:numId w:val="10"/>
        </w:numPr>
        <w:spacing w:line="360" w:lineRule="auto"/>
        <w:jc w:val="both"/>
        <w:rPr>
          <w:rFonts w:ascii="Arial" w:hAnsi="Arial" w:cs="Arial"/>
          <w:sz w:val="22"/>
          <w:szCs w:val="22"/>
          <w:lang w:val="es-PE"/>
        </w:rPr>
      </w:pPr>
      <w:r w:rsidRPr="00906DFC">
        <w:rPr>
          <w:rFonts w:ascii="Arial" w:hAnsi="Arial" w:cs="Arial"/>
          <w:sz w:val="22"/>
          <w:szCs w:val="22"/>
          <w:lang w:val="es-PE"/>
        </w:rPr>
        <w:t>Cumplir con las proporciones de mezcla requeridas entre los distintos tipos de mineral, asegurando una alimentación homogénea y estable a planta.</w:t>
      </w:r>
    </w:p>
    <w:p w14:paraId="3FAF89A5" w14:textId="7A40AEC0" w:rsidR="00125426" w:rsidRDefault="00125426" w:rsidP="00FF437D">
      <w:pPr>
        <w:spacing w:line="360" w:lineRule="auto"/>
        <w:jc w:val="both"/>
        <w:rPr>
          <w:rFonts w:ascii="Arial" w:hAnsi="Arial" w:cs="Arial"/>
          <w:sz w:val="20"/>
          <w:szCs w:val="20"/>
          <w:lang w:val="es-PE"/>
        </w:rPr>
      </w:pPr>
    </w:p>
    <w:p w14:paraId="22089CA0" w14:textId="00D4DAE9" w:rsidR="009D5CC0" w:rsidRPr="002C09A8" w:rsidRDefault="009D5CC0" w:rsidP="00FF437D">
      <w:pPr>
        <w:spacing w:line="360" w:lineRule="auto"/>
        <w:jc w:val="both"/>
        <w:rPr>
          <w:rFonts w:ascii="Arial" w:hAnsi="Arial" w:cs="Arial"/>
          <w:sz w:val="22"/>
          <w:szCs w:val="22"/>
          <w:lang w:val="es-PE"/>
        </w:rPr>
      </w:pPr>
      <w:r w:rsidRPr="002C09A8">
        <w:rPr>
          <w:rFonts w:ascii="Arial" w:hAnsi="Arial" w:cs="Arial"/>
          <w:sz w:val="22"/>
          <w:szCs w:val="22"/>
          <w:lang w:val="es-PE"/>
        </w:rPr>
        <w:t xml:space="preserve">3.3 </w:t>
      </w:r>
      <w:r w:rsidR="00F130C4" w:rsidRPr="002C09A8">
        <w:rPr>
          <w:rFonts w:ascii="Arial" w:hAnsi="Arial" w:cs="Arial"/>
          <w:sz w:val="22"/>
          <w:szCs w:val="22"/>
          <w:lang w:val="es-PE"/>
        </w:rPr>
        <w:t>Modelamiento de los stocks</w:t>
      </w:r>
    </w:p>
    <w:p w14:paraId="7E562D45" w14:textId="77777777" w:rsidR="00F130C4" w:rsidRPr="002C09A8" w:rsidRDefault="00F130C4" w:rsidP="00FF437D">
      <w:pPr>
        <w:spacing w:line="360" w:lineRule="auto"/>
        <w:jc w:val="both"/>
        <w:rPr>
          <w:rFonts w:ascii="Arial" w:hAnsi="Arial" w:cs="Arial"/>
          <w:sz w:val="22"/>
          <w:szCs w:val="22"/>
          <w:lang w:val="es-PE"/>
        </w:rPr>
      </w:pPr>
    </w:p>
    <w:p w14:paraId="3003F12B" w14:textId="77777777" w:rsidR="007A20C7" w:rsidRPr="007A20C7" w:rsidRDefault="007A20C7" w:rsidP="00FF437D">
      <w:pPr>
        <w:spacing w:line="360" w:lineRule="auto"/>
        <w:jc w:val="both"/>
        <w:rPr>
          <w:rFonts w:ascii="Arial" w:hAnsi="Arial" w:cs="Arial"/>
          <w:sz w:val="22"/>
          <w:szCs w:val="22"/>
          <w:lang w:val="es-PE"/>
        </w:rPr>
      </w:pPr>
      <w:r w:rsidRPr="007A20C7">
        <w:rPr>
          <w:rFonts w:ascii="Arial" w:hAnsi="Arial" w:cs="Arial"/>
          <w:sz w:val="22"/>
          <w:szCs w:val="22"/>
          <w:lang w:val="es-PE"/>
        </w:rPr>
        <w:t>Marcobre ha implementado un sistema digital de inventario de stocks, completamente sincronizado con el sistema de despacho de mina. Este sistema cuenta con algoritmos especializados para la estimación de leyes y características geológicas de los acopios, y permite realizar ajustes periódicos del inventario a partir de los levantamientos topográficos realizados en campo.</w:t>
      </w:r>
    </w:p>
    <w:p w14:paraId="2247CB80" w14:textId="77777777" w:rsidR="007A20C7" w:rsidRPr="007A20C7" w:rsidRDefault="007A20C7" w:rsidP="00FF437D">
      <w:pPr>
        <w:spacing w:line="360" w:lineRule="auto"/>
        <w:jc w:val="both"/>
        <w:rPr>
          <w:rFonts w:ascii="Arial" w:hAnsi="Arial" w:cs="Arial"/>
          <w:sz w:val="22"/>
          <w:szCs w:val="22"/>
          <w:lang w:val="es-PE"/>
        </w:rPr>
      </w:pPr>
    </w:p>
    <w:p w14:paraId="7694389A" w14:textId="3756AEEA" w:rsidR="000D2C02" w:rsidRDefault="007A20C7" w:rsidP="00FF437D">
      <w:pPr>
        <w:spacing w:line="360" w:lineRule="auto"/>
        <w:jc w:val="both"/>
        <w:rPr>
          <w:rFonts w:ascii="Arial" w:hAnsi="Arial" w:cs="Arial"/>
          <w:sz w:val="22"/>
          <w:szCs w:val="22"/>
          <w:lang w:val="es-PE"/>
        </w:rPr>
      </w:pPr>
      <w:r w:rsidRPr="007A20C7">
        <w:rPr>
          <w:rFonts w:ascii="Arial" w:hAnsi="Arial" w:cs="Arial"/>
          <w:sz w:val="22"/>
          <w:szCs w:val="22"/>
          <w:lang w:val="es-PE"/>
        </w:rPr>
        <w:t>Una de las principales innovaciones de este sistema es la migración de los inventarios históricos, que anteriormente se gestionaban en archivos Excel, hacia una base de datos estructurada en SQL, lo que ha mejorado significativamente la integridad, trazabilidad y disponibilidad de la información.</w:t>
      </w:r>
    </w:p>
    <w:p w14:paraId="3D097D64" w14:textId="77777777" w:rsidR="007A20C7" w:rsidRPr="002C09A8" w:rsidRDefault="007A20C7" w:rsidP="00FF437D">
      <w:pPr>
        <w:spacing w:line="360" w:lineRule="auto"/>
        <w:jc w:val="both"/>
        <w:rPr>
          <w:rFonts w:ascii="Arial" w:hAnsi="Arial" w:cs="Arial"/>
          <w:sz w:val="22"/>
          <w:szCs w:val="22"/>
          <w:lang w:val="es-PE"/>
        </w:rPr>
      </w:pPr>
    </w:p>
    <w:p w14:paraId="0D11B8D8" w14:textId="77777777" w:rsidR="00C84B39" w:rsidRPr="00C84B39" w:rsidRDefault="00C84B39" w:rsidP="00FF437D">
      <w:pPr>
        <w:spacing w:line="360" w:lineRule="auto"/>
        <w:jc w:val="both"/>
        <w:rPr>
          <w:rFonts w:ascii="Arial" w:hAnsi="Arial" w:cs="Arial"/>
          <w:sz w:val="22"/>
          <w:szCs w:val="22"/>
          <w:lang w:val="es-PE"/>
        </w:rPr>
      </w:pPr>
      <w:r w:rsidRPr="00C84B39">
        <w:rPr>
          <w:rFonts w:ascii="Arial" w:hAnsi="Arial" w:cs="Arial"/>
          <w:sz w:val="22"/>
          <w:szCs w:val="22"/>
          <w:lang w:val="es-PE"/>
        </w:rPr>
        <w:t>El sistema opera de la siguiente manera:</w:t>
      </w:r>
    </w:p>
    <w:p w14:paraId="7BECF9E7" w14:textId="77777777" w:rsidR="00C84B39" w:rsidRPr="00C84B39" w:rsidRDefault="00C84B39" w:rsidP="00FF437D">
      <w:pPr>
        <w:spacing w:line="360" w:lineRule="auto"/>
        <w:jc w:val="both"/>
        <w:rPr>
          <w:rFonts w:ascii="Arial" w:hAnsi="Arial" w:cs="Arial"/>
          <w:sz w:val="22"/>
          <w:szCs w:val="22"/>
          <w:lang w:val="es-PE"/>
        </w:rPr>
      </w:pPr>
    </w:p>
    <w:p w14:paraId="4D3BFF0A" w14:textId="77777777" w:rsidR="00C84B39" w:rsidRDefault="00C84B39" w:rsidP="00FF437D">
      <w:pPr>
        <w:pStyle w:val="Prrafodelista"/>
        <w:numPr>
          <w:ilvl w:val="0"/>
          <w:numId w:val="11"/>
        </w:numPr>
        <w:spacing w:line="360" w:lineRule="auto"/>
        <w:jc w:val="both"/>
        <w:rPr>
          <w:rFonts w:ascii="Arial" w:hAnsi="Arial" w:cs="Arial"/>
          <w:sz w:val="22"/>
          <w:szCs w:val="22"/>
          <w:lang w:val="es-PE"/>
        </w:rPr>
      </w:pPr>
      <w:r w:rsidRPr="00C84B39">
        <w:rPr>
          <w:rFonts w:ascii="Arial" w:hAnsi="Arial" w:cs="Arial"/>
          <w:sz w:val="22"/>
          <w:szCs w:val="22"/>
          <w:lang w:val="es-PE"/>
        </w:rPr>
        <w:t>Recopila las coordenadas y atributos de cada descarga registrada en un stock.</w:t>
      </w:r>
    </w:p>
    <w:p w14:paraId="1A5865DD" w14:textId="77777777" w:rsidR="00C84B39" w:rsidRPr="00C84B39" w:rsidRDefault="00C84B39" w:rsidP="00FF437D">
      <w:pPr>
        <w:pStyle w:val="Prrafodelista"/>
        <w:spacing w:line="360" w:lineRule="auto"/>
        <w:jc w:val="both"/>
        <w:rPr>
          <w:rFonts w:ascii="Arial" w:hAnsi="Arial" w:cs="Arial"/>
          <w:sz w:val="22"/>
          <w:szCs w:val="22"/>
          <w:lang w:val="es-PE"/>
        </w:rPr>
      </w:pPr>
    </w:p>
    <w:p w14:paraId="11B400AC" w14:textId="77777777" w:rsidR="00C84B39" w:rsidRDefault="00C84B39" w:rsidP="00FF437D">
      <w:pPr>
        <w:pStyle w:val="Prrafodelista"/>
        <w:numPr>
          <w:ilvl w:val="0"/>
          <w:numId w:val="11"/>
        </w:numPr>
        <w:spacing w:line="360" w:lineRule="auto"/>
        <w:jc w:val="both"/>
        <w:rPr>
          <w:rFonts w:ascii="Arial" w:hAnsi="Arial" w:cs="Arial"/>
          <w:sz w:val="22"/>
          <w:szCs w:val="22"/>
          <w:lang w:val="es-PE"/>
        </w:rPr>
      </w:pPr>
      <w:r w:rsidRPr="00C84B39">
        <w:rPr>
          <w:rFonts w:ascii="Arial" w:hAnsi="Arial" w:cs="Arial"/>
          <w:sz w:val="22"/>
          <w:szCs w:val="22"/>
          <w:lang w:val="es-PE"/>
        </w:rPr>
        <w:t>Identifica los buckets (cargas) que han sido remanejados hacia la chancadora, permitiendo limpiar el inventario de las descargas ya procesadas.</w:t>
      </w:r>
    </w:p>
    <w:p w14:paraId="14EA0339" w14:textId="77777777" w:rsidR="00C84B39" w:rsidRPr="00C84B39" w:rsidRDefault="00C84B39" w:rsidP="00FF437D">
      <w:pPr>
        <w:spacing w:line="360" w:lineRule="auto"/>
        <w:jc w:val="both"/>
        <w:rPr>
          <w:rFonts w:ascii="Arial" w:hAnsi="Arial" w:cs="Arial"/>
          <w:sz w:val="22"/>
          <w:szCs w:val="22"/>
          <w:lang w:val="es-PE"/>
        </w:rPr>
      </w:pPr>
    </w:p>
    <w:p w14:paraId="418A7863" w14:textId="77777777" w:rsidR="00C84B39" w:rsidRPr="00C84B39" w:rsidRDefault="00C84B39" w:rsidP="00FF437D">
      <w:pPr>
        <w:pStyle w:val="Prrafodelista"/>
        <w:numPr>
          <w:ilvl w:val="0"/>
          <w:numId w:val="11"/>
        </w:numPr>
        <w:spacing w:line="360" w:lineRule="auto"/>
        <w:jc w:val="both"/>
        <w:rPr>
          <w:rFonts w:ascii="Arial" w:hAnsi="Arial" w:cs="Arial"/>
          <w:sz w:val="22"/>
          <w:szCs w:val="22"/>
          <w:lang w:val="es-PE"/>
        </w:rPr>
      </w:pPr>
      <w:r w:rsidRPr="00C84B39">
        <w:rPr>
          <w:rFonts w:ascii="Arial" w:hAnsi="Arial" w:cs="Arial"/>
          <w:sz w:val="22"/>
          <w:szCs w:val="22"/>
          <w:lang w:val="es-PE"/>
        </w:rPr>
        <w:lastRenderedPageBreak/>
        <w:t>Calcula el balance final del stock, considerando únicamente las descargas remanentes, sobre las cuales se construye el modelo de bloques actualizado.</w:t>
      </w:r>
    </w:p>
    <w:p w14:paraId="4ACB6A3E" w14:textId="77777777" w:rsidR="00C84B39" w:rsidRPr="00C84B39" w:rsidRDefault="00C84B39" w:rsidP="00FF437D">
      <w:pPr>
        <w:spacing w:line="360" w:lineRule="auto"/>
        <w:jc w:val="both"/>
        <w:rPr>
          <w:rFonts w:ascii="Arial" w:hAnsi="Arial" w:cs="Arial"/>
          <w:sz w:val="22"/>
          <w:szCs w:val="22"/>
          <w:lang w:val="es-PE"/>
        </w:rPr>
      </w:pPr>
    </w:p>
    <w:p w14:paraId="184D58B3" w14:textId="783946C0" w:rsidR="00E60A19" w:rsidRDefault="00C84B39" w:rsidP="00FF437D">
      <w:pPr>
        <w:spacing w:line="360" w:lineRule="auto"/>
        <w:jc w:val="both"/>
        <w:rPr>
          <w:rFonts w:ascii="Arial" w:hAnsi="Arial" w:cs="Arial"/>
          <w:sz w:val="20"/>
          <w:szCs w:val="20"/>
          <w:lang w:val="es-PE"/>
        </w:rPr>
      </w:pPr>
      <w:r w:rsidRPr="00C84B39">
        <w:rPr>
          <w:rFonts w:ascii="Arial" w:hAnsi="Arial" w:cs="Arial"/>
          <w:sz w:val="22"/>
          <w:szCs w:val="22"/>
          <w:lang w:val="es-PE"/>
        </w:rPr>
        <w:t>Este modelo permite una visualización tridimensional del stock, facilitando la planificación del remanejo, la simulación de mezclas y la toma de decisiones operativas con base en datos confiables y actualizados.</w:t>
      </w:r>
    </w:p>
    <w:p w14:paraId="2F92EFB2" w14:textId="518E118E" w:rsidR="00E60A19" w:rsidRDefault="00E60A19" w:rsidP="00FF437D">
      <w:pPr>
        <w:spacing w:line="360" w:lineRule="auto"/>
        <w:jc w:val="both"/>
        <w:rPr>
          <w:rFonts w:ascii="Arial" w:hAnsi="Arial" w:cs="Arial"/>
          <w:sz w:val="20"/>
          <w:szCs w:val="20"/>
          <w:lang w:val="es-PE"/>
        </w:rPr>
      </w:pPr>
      <w:r w:rsidRPr="005200B7">
        <w:rPr>
          <w:rFonts w:ascii="Arial" w:hAnsi="Arial" w:cs="Arial"/>
          <w:bCs/>
          <w:noProof/>
          <w:sz w:val="22"/>
          <w:szCs w:val="22"/>
        </w:rPr>
        <w:drawing>
          <wp:inline distT="0" distB="0" distL="0" distR="0" wp14:anchorId="5244510C" wp14:editId="1141C1A5">
            <wp:extent cx="3166110" cy="1395095"/>
            <wp:effectExtent l="0" t="0" r="0" b="0"/>
            <wp:docPr id="2" name="Imagen 1" descr="Imagen que contiene Forma&#10;&#10;El contenido generado por IA puede ser incorrecto.">
              <a:extLst xmlns:a="http://schemas.openxmlformats.org/drawingml/2006/main">
                <a:ext uri="{FF2B5EF4-FFF2-40B4-BE49-F238E27FC236}">
                  <a16:creationId xmlns:a16="http://schemas.microsoft.com/office/drawing/2014/main" id="{2E72E351-1226-5DB3-CBC2-3A497855C3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Imagen que contiene Forma&#10;&#10;El contenido generado por IA puede ser incorrecto.">
                      <a:extLst>
                        <a:ext uri="{FF2B5EF4-FFF2-40B4-BE49-F238E27FC236}">
                          <a16:creationId xmlns:a16="http://schemas.microsoft.com/office/drawing/2014/main" id="{2E72E351-1226-5DB3-CBC2-3A497855C33C}"/>
                        </a:ext>
                      </a:extLst>
                    </pic:cNvPr>
                    <pic:cNvPicPr>
                      <a:picLocks noChangeAspect="1"/>
                    </pic:cNvPicPr>
                  </pic:nvPicPr>
                  <pic:blipFill>
                    <a:blip r:embed="rId18"/>
                    <a:stretch>
                      <a:fillRect/>
                    </a:stretch>
                  </pic:blipFill>
                  <pic:spPr>
                    <a:xfrm>
                      <a:off x="0" y="0"/>
                      <a:ext cx="3166110" cy="1395095"/>
                    </a:xfrm>
                    <a:prstGeom prst="rect">
                      <a:avLst/>
                    </a:prstGeom>
                  </pic:spPr>
                </pic:pic>
              </a:graphicData>
            </a:graphic>
          </wp:inline>
        </w:drawing>
      </w:r>
    </w:p>
    <w:p w14:paraId="48E98E49" w14:textId="206AA3E3" w:rsidR="00E60A19" w:rsidRDefault="00E60A19"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sidR="00FC74F3">
        <w:rPr>
          <w:rFonts w:ascii="Arial" w:hAnsi="Arial" w:cs="Arial"/>
          <w:b/>
          <w:bCs/>
          <w:sz w:val="20"/>
          <w:szCs w:val="20"/>
          <w:lang w:val="es-PE"/>
        </w:rPr>
        <w:t>7</w:t>
      </w:r>
      <w:r>
        <w:rPr>
          <w:rFonts w:ascii="Arial" w:hAnsi="Arial" w:cs="Arial"/>
          <w:b/>
          <w:bCs/>
          <w:sz w:val="20"/>
          <w:szCs w:val="20"/>
          <w:lang w:val="es-PE"/>
        </w:rPr>
        <w:t xml:space="preserve">. </w:t>
      </w:r>
      <w:r w:rsidR="0085569E">
        <w:rPr>
          <w:rFonts w:ascii="Arial" w:hAnsi="Arial" w:cs="Arial"/>
          <w:sz w:val="20"/>
          <w:szCs w:val="20"/>
          <w:lang w:val="es-PE"/>
        </w:rPr>
        <w:t>Puntos de descarga que representan el avance en la conformación del stock</w:t>
      </w:r>
    </w:p>
    <w:p w14:paraId="184D2EAE" w14:textId="43C4C558" w:rsidR="00B62E6A" w:rsidRDefault="00B62E6A" w:rsidP="00FF437D">
      <w:pPr>
        <w:spacing w:line="360" w:lineRule="auto"/>
        <w:jc w:val="both"/>
        <w:rPr>
          <w:rFonts w:ascii="Arial" w:hAnsi="Arial" w:cs="Arial"/>
          <w:sz w:val="20"/>
          <w:szCs w:val="20"/>
          <w:lang w:val="es-PE"/>
        </w:rPr>
      </w:pPr>
    </w:p>
    <w:p w14:paraId="64D60DB8" w14:textId="528DFEE5" w:rsidR="001F7551" w:rsidRPr="009641B9" w:rsidRDefault="00E60A19" w:rsidP="00FF437D">
      <w:pPr>
        <w:spacing w:line="360" w:lineRule="auto"/>
        <w:jc w:val="both"/>
        <w:rPr>
          <w:rFonts w:ascii="Arial" w:hAnsi="Arial" w:cs="Arial"/>
          <w:sz w:val="20"/>
          <w:szCs w:val="20"/>
          <w:lang w:val="es-PE"/>
        </w:rPr>
      </w:pPr>
      <w:r w:rsidRPr="005200B7">
        <w:rPr>
          <w:rFonts w:ascii="Arial" w:hAnsi="Arial" w:cs="Arial"/>
          <w:bCs/>
          <w:noProof/>
          <w:sz w:val="22"/>
          <w:szCs w:val="22"/>
        </w:rPr>
        <w:drawing>
          <wp:inline distT="0" distB="0" distL="0" distR="0" wp14:anchorId="2C786C63" wp14:editId="4E9004F4">
            <wp:extent cx="3166110" cy="1355559"/>
            <wp:effectExtent l="0" t="0" r="0" b="0"/>
            <wp:docPr id="4" name="Imagen 3" descr="Imagen que contiene Forma&#10;&#10;El contenido generado por IA puede ser incorrecto.">
              <a:extLst xmlns:a="http://schemas.openxmlformats.org/drawingml/2006/main">
                <a:ext uri="{FF2B5EF4-FFF2-40B4-BE49-F238E27FC236}">
                  <a16:creationId xmlns:a16="http://schemas.microsoft.com/office/drawing/2014/main" id="{1BE857A0-97B2-C4D0-2ADF-2A3B8E4A522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descr="Imagen que contiene Forma&#10;&#10;El contenido generado por IA puede ser incorrecto.">
                      <a:extLst>
                        <a:ext uri="{FF2B5EF4-FFF2-40B4-BE49-F238E27FC236}">
                          <a16:creationId xmlns:a16="http://schemas.microsoft.com/office/drawing/2014/main" id="{1BE857A0-97B2-C4D0-2ADF-2A3B8E4A522E}"/>
                        </a:ext>
                      </a:extLst>
                    </pic:cNvPr>
                    <pic:cNvPicPr>
                      <a:picLocks noChangeAspect="1"/>
                    </pic:cNvPicPr>
                  </pic:nvPicPr>
                  <pic:blipFill>
                    <a:blip r:embed="rId19"/>
                    <a:stretch>
                      <a:fillRect/>
                    </a:stretch>
                  </pic:blipFill>
                  <pic:spPr>
                    <a:xfrm>
                      <a:off x="0" y="0"/>
                      <a:ext cx="3166110" cy="1355559"/>
                    </a:xfrm>
                    <a:prstGeom prst="rect">
                      <a:avLst/>
                    </a:prstGeom>
                  </pic:spPr>
                </pic:pic>
              </a:graphicData>
            </a:graphic>
          </wp:inline>
        </w:drawing>
      </w:r>
    </w:p>
    <w:p w14:paraId="03846C6E" w14:textId="39A2F457" w:rsidR="00E60A19" w:rsidRDefault="00E60A19"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Gráfico 0</w:t>
      </w:r>
      <w:r w:rsidR="00FC74F3">
        <w:rPr>
          <w:rFonts w:ascii="Arial" w:hAnsi="Arial" w:cs="Arial"/>
          <w:b/>
          <w:bCs/>
          <w:sz w:val="20"/>
          <w:szCs w:val="20"/>
          <w:lang w:val="es-PE"/>
        </w:rPr>
        <w:t>8</w:t>
      </w:r>
      <w:r>
        <w:rPr>
          <w:rFonts w:ascii="Arial" w:hAnsi="Arial" w:cs="Arial"/>
          <w:b/>
          <w:bCs/>
          <w:sz w:val="20"/>
          <w:szCs w:val="20"/>
          <w:lang w:val="es-PE"/>
        </w:rPr>
        <w:t xml:space="preserve">. </w:t>
      </w:r>
      <w:r w:rsidR="003938F7">
        <w:rPr>
          <w:rFonts w:ascii="Arial" w:hAnsi="Arial" w:cs="Arial"/>
          <w:sz w:val="20"/>
          <w:szCs w:val="20"/>
          <w:lang w:val="es-PE"/>
        </w:rPr>
        <w:t xml:space="preserve">Limpieza de puntos de descarga </w:t>
      </w:r>
      <w:r w:rsidR="002A1B44">
        <w:rPr>
          <w:rFonts w:ascii="Arial" w:hAnsi="Arial" w:cs="Arial"/>
          <w:sz w:val="20"/>
          <w:szCs w:val="20"/>
          <w:lang w:val="es-PE"/>
        </w:rPr>
        <w:t>debido al proceso de remanejo</w:t>
      </w:r>
    </w:p>
    <w:p w14:paraId="6E5EC68A" w14:textId="6AD9F008" w:rsidR="00445BC3" w:rsidRDefault="00445BC3" w:rsidP="00FF437D">
      <w:pPr>
        <w:spacing w:line="360" w:lineRule="auto"/>
        <w:jc w:val="both"/>
        <w:rPr>
          <w:rFonts w:ascii="Arial" w:hAnsi="Arial" w:cs="Arial"/>
          <w:bCs/>
          <w:sz w:val="22"/>
          <w:szCs w:val="22"/>
          <w:lang w:val="es-PE"/>
        </w:rPr>
      </w:pPr>
    </w:p>
    <w:p w14:paraId="03B4F03C" w14:textId="77777777" w:rsidR="00A877F5" w:rsidRPr="00A877F5" w:rsidRDefault="00A877F5" w:rsidP="00FF437D">
      <w:pPr>
        <w:spacing w:line="360" w:lineRule="auto"/>
        <w:jc w:val="both"/>
        <w:rPr>
          <w:rFonts w:ascii="Arial" w:hAnsi="Arial" w:cs="Arial"/>
          <w:bCs/>
          <w:sz w:val="22"/>
          <w:szCs w:val="22"/>
          <w:lang w:val="es-PE"/>
        </w:rPr>
      </w:pPr>
      <w:r w:rsidRPr="00A877F5">
        <w:rPr>
          <w:rFonts w:ascii="Arial" w:hAnsi="Arial" w:cs="Arial"/>
          <w:bCs/>
          <w:sz w:val="22"/>
          <w:szCs w:val="22"/>
          <w:lang w:val="es-PE"/>
        </w:rPr>
        <w:t>En el proceso de modelamiento de los stocks, se aplican diferentes técnicas de estimación según el tipo de variable a representar en el modelo de bloques:</w:t>
      </w:r>
    </w:p>
    <w:p w14:paraId="4F70E970" w14:textId="77777777" w:rsidR="00A877F5" w:rsidRPr="00A877F5" w:rsidRDefault="00A877F5" w:rsidP="00FF437D">
      <w:pPr>
        <w:spacing w:line="360" w:lineRule="auto"/>
        <w:jc w:val="both"/>
        <w:rPr>
          <w:rFonts w:ascii="Arial" w:hAnsi="Arial" w:cs="Arial"/>
          <w:bCs/>
          <w:sz w:val="22"/>
          <w:szCs w:val="22"/>
          <w:lang w:val="es-PE"/>
        </w:rPr>
      </w:pPr>
    </w:p>
    <w:p w14:paraId="39B85E01" w14:textId="77777777" w:rsidR="00A877F5" w:rsidRPr="00A877F5" w:rsidRDefault="00A877F5" w:rsidP="00FF437D">
      <w:pPr>
        <w:spacing w:line="360" w:lineRule="auto"/>
        <w:jc w:val="both"/>
        <w:rPr>
          <w:rFonts w:ascii="Arial" w:hAnsi="Arial" w:cs="Arial"/>
          <w:bCs/>
          <w:sz w:val="22"/>
          <w:szCs w:val="22"/>
          <w:lang w:val="es-PE"/>
        </w:rPr>
      </w:pPr>
      <w:r w:rsidRPr="00A877F5">
        <w:rPr>
          <w:rFonts w:ascii="Arial" w:hAnsi="Arial" w:cs="Arial"/>
          <w:bCs/>
          <w:sz w:val="22"/>
          <w:szCs w:val="22"/>
          <w:lang w:val="es-PE"/>
        </w:rPr>
        <w:t xml:space="preserve">Para las variables continuas, como la ley de cobre, se utiliza el método de inverso de la distancia (IDW, por sus siglas en inglés). Esta técnica asigna valores a los bloques del modelo en función de la distancia a los puntos de muestreo conocidos, ponderando más fuertemente aquellos que se </w:t>
      </w:r>
      <w:r w:rsidRPr="00A877F5">
        <w:rPr>
          <w:rFonts w:ascii="Arial" w:hAnsi="Arial" w:cs="Arial"/>
          <w:bCs/>
          <w:sz w:val="22"/>
          <w:szCs w:val="22"/>
          <w:lang w:val="es-PE"/>
        </w:rPr>
        <w:t>encuentran más cercanos. El método IDW es ampliamente utilizado en minería por su simplicidad y capacidad de generar estimaciones razonables cuando se dispone de datos distribuidos espacialmente con buena densidad.</w:t>
      </w:r>
    </w:p>
    <w:p w14:paraId="70FB30EA" w14:textId="77777777" w:rsidR="00A877F5" w:rsidRPr="00A877F5" w:rsidRDefault="00A877F5" w:rsidP="00FF437D">
      <w:pPr>
        <w:spacing w:line="360" w:lineRule="auto"/>
        <w:jc w:val="both"/>
        <w:rPr>
          <w:rFonts w:ascii="Arial" w:hAnsi="Arial" w:cs="Arial"/>
          <w:bCs/>
          <w:sz w:val="22"/>
          <w:szCs w:val="22"/>
          <w:lang w:val="es-PE"/>
        </w:rPr>
      </w:pPr>
    </w:p>
    <w:p w14:paraId="6F907811" w14:textId="77777777" w:rsidR="00A877F5" w:rsidRPr="00A877F5" w:rsidRDefault="00A877F5" w:rsidP="00FF437D">
      <w:pPr>
        <w:spacing w:line="360" w:lineRule="auto"/>
        <w:jc w:val="both"/>
        <w:rPr>
          <w:rFonts w:ascii="Arial" w:hAnsi="Arial" w:cs="Arial"/>
          <w:bCs/>
          <w:sz w:val="22"/>
          <w:szCs w:val="22"/>
          <w:lang w:val="es-PE"/>
        </w:rPr>
      </w:pPr>
      <w:r w:rsidRPr="00A877F5">
        <w:rPr>
          <w:rFonts w:ascii="Arial" w:hAnsi="Arial" w:cs="Arial"/>
          <w:bCs/>
          <w:sz w:val="22"/>
          <w:szCs w:val="22"/>
          <w:lang w:val="es-PE"/>
        </w:rPr>
        <w:t>Para las variables categóricas, como la litología y los tipos de alteración, se emplea el criterio de la moda, es decir, se asigna a cada bloque la categoría más frecuente entre las descargas que lo componen. Este enfoque permite representar de manera coherente la distribución de unidades geológicas dentro del stock, facilitando la planificación del remanejo y la predicción del comportamiento metalúrgico del mineral.</w:t>
      </w:r>
    </w:p>
    <w:p w14:paraId="145B1625" w14:textId="77777777" w:rsidR="00A877F5" w:rsidRPr="00A877F5" w:rsidRDefault="00A877F5" w:rsidP="00FF437D">
      <w:pPr>
        <w:spacing w:line="360" w:lineRule="auto"/>
        <w:jc w:val="both"/>
        <w:rPr>
          <w:rFonts w:ascii="Arial" w:hAnsi="Arial" w:cs="Arial"/>
          <w:bCs/>
          <w:sz w:val="22"/>
          <w:szCs w:val="22"/>
          <w:lang w:val="es-PE"/>
        </w:rPr>
      </w:pPr>
    </w:p>
    <w:p w14:paraId="35ABD8C3" w14:textId="056D4790" w:rsidR="001653D2" w:rsidRDefault="00A877F5" w:rsidP="00FF437D">
      <w:pPr>
        <w:spacing w:line="360" w:lineRule="auto"/>
        <w:jc w:val="both"/>
        <w:rPr>
          <w:rFonts w:ascii="Arial" w:hAnsi="Arial" w:cs="Arial"/>
          <w:bCs/>
          <w:sz w:val="22"/>
          <w:szCs w:val="22"/>
          <w:lang w:val="es-PE"/>
        </w:rPr>
      </w:pPr>
      <w:r w:rsidRPr="00A877F5">
        <w:rPr>
          <w:rFonts w:ascii="Arial" w:hAnsi="Arial" w:cs="Arial"/>
          <w:bCs/>
          <w:sz w:val="22"/>
          <w:szCs w:val="22"/>
          <w:lang w:val="es-PE"/>
        </w:rPr>
        <w:t>La combinación de estas técnicas permite construir un modelo de bloques robusto y representativo, que refleja tanto la variabilidad espacial de las leyes como la distribución de las características geológicas clave.</w:t>
      </w:r>
    </w:p>
    <w:p w14:paraId="2629039F" w14:textId="77777777" w:rsidR="00A877F5" w:rsidRDefault="00A877F5" w:rsidP="00FF437D">
      <w:pPr>
        <w:spacing w:line="360" w:lineRule="auto"/>
        <w:jc w:val="both"/>
        <w:rPr>
          <w:rFonts w:ascii="Arial" w:hAnsi="Arial" w:cs="Arial"/>
          <w:bCs/>
          <w:sz w:val="22"/>
          <w:szCs w:val="22"/>
          <w:lang w:val="es-PE"/>
        </w:rPr>
      </w:pPr>
    </w:p>
    <w:p w14:paraId="6337FE9B" w14:textId="4B32EB28" w:rsidR="001653D2" w:rsidRDefault="00742311" w:rsidP="00FF437D">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3F000387" wp14:editId="30B61862">
            <wp:extent cx="3204000" cy="1187716"/>
            <wp:effectExtent l="0" t="0" r="0" b="0"/>
            <wp:docPr id="190563848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204000" cy="1187716"/>
                    </a:xfrm>
                    <a:prstGeom prst="rect">
                      <a:avLst/>
                    </a:prstGeom>
                    <a:noFill/>
                  </pic:spPr>
                </pic:pic>
              </a:graphicData>
            </a:graphic>
          </wp:inline>
        </w:drawing>
      </w:r>
    </w:p>
    <w:p w14:paraId="05AFCCAA" w14:textId="0D668700" w:rsidR="00A877F5" w:rsidRDefault="00742311" w:rsidP="00FF437D">
      <w:pPr>
        <w:spacing w:line="360" w:lineRule="auto"/>
        <w:jc w:val="both"/>
        <w:rPr>
          <w:rFonts w:ascii="Arial" w:hAnsi="Arial" w:cs="Arial"/>
          <w:bCs/>
          <w:sz w:val="22"/>
          <w:szCs w:val="22"/>
          <w:lang w:val="es-PE"/>
        </w:rPr>
      </w:pPr>
      <w:r w:rsidRPr="009641B9">
        <w:rPr>
          <w:rFonts w:ascii="Arial" w:hAnsi="Arial" w:cs="Arial"/>
          <w:b/>
          <w:bCs/>
          <w:sz w:val="20"/>
          <w:szCs w:val="20"/>
          <w:lang w:val="es-PE"/>
        </w:rPr>
        <w:t>Gráfico 0</w:t>
      </w:r>
      <w:r>
        <w:rPr>
          <w:rFonts w:ascii="Arial" w:hAnsi="Arial" w:cs="Arial"/>
          <w:b/>
          <w:bCs/>
          <w:sz w:val="20"/>
          <w:szCs w:val="20"/>
          <w:lang w:val="es-PE"/>
        </w:rPr>
        <w:t xml:space="preserve">9. </w:t>
      </w:r>
      <w:r>
        <w:rPr>
          <w:rFonts w:ascii="Arial" w:hAnsi="Arial" w:cs="Arial"/>
          <w:sz w:val="20"/>
          <w:szCs w:val="20"/>
          <w:lang w:val="es-PE"/>
        </w:rPr>
        <w:t>Limpieza de puntos de descarga debido al proceso de remanejo</w:t>
      </w:r>
    </w:p>
    <w:p w14:paraId="3155BDBA" w14:textId="77777777" w:rsidR="00A877F5" w:rsidRDefault="00A877F5" w:rsidP="00FF437D">
      <w:pPr>
        <w:spacing w:line="360" w:lineRule="auto"/>
        <w:rPr>
          <w:rFonts w:ascii="Arial" w:hAnsi="Arial" w:cs="Arial"/>
          <w:bCs/>
          <w:sz w:val="22"/>
          <w:szCs w:val="22"/>
          <w:lang w:val="es-PE"/>
        </w:rPr>
      </w:pPr>
      <w:r>
        <w:rPr>
          <w:rFonts w:ascii="Arial" w:hAnsi="Arial" w:cs="Arial"/>
          <w:bCs/>
          <w:sz w:val="22"/>
          <w:szCs w:val="22"/>
          <w:lang w:val="es-PE"/>
        </w:rPr>
        <w:br w:type="page"/>
      </w:r>
    </w:p>
    <w:p w14:paraId="751F2CD6" w14:textId="77777777" w:rsidR="0028335F" w:rsidRDefault="0028335F" w:rsidP="00FF437D">
      <w:pPr>
        <w:spacing w:line="360" w:lineRule="auto"/>
        <w:jc w:val="both"/>
        <w:rPr>
          <w:rFonts w:ascii="Arial" w:hAnsi="Arial" w:cs="Arial"/>
          <w:bCs/>
          <w:sz w:val="22"/>
          <w:szCs w:val="22"/>
          <w:lang w:val="es-PE"/>
        </w:rPr>
      </w:pPr>
      <w:r>
        <w:rPr>
          <w:rFonts w:ascii="Arial" w:hAnsi="Arial" w:cs="Arial"/>
          <w:bCs/>
          <w:sz w:val="22"/>
          <w:szCs w:val="22"/>
          <w:lang w:val="es-PE"/>
        </w:rPr>
        <w:lastRenderedPageBreak/>
        <w:t>3.4 Conciliación del inventario de Stock</w:t>
      </w:r>
    </w:p>
    <w:p w14:paraId="48080C85" w14:textId="77777777" w:rsidR="0028335F" w:rsidRDefault="0028335F" w:rsidP="00FF437D">
      <w:pPr>
        <w:spacing w:line="360" w:lineRule="auto"/>
        <w:jc w:val="both"/>
        <w:rPr>
          <w:rFonts w:ascii="Arial" w:hAnsi="Arial" w:cs="Arial"/>
          <w:bCs/>
          <w:sz w:val="22"/>
          <w:szCs w:val="22"/>
          <w:lang w:val="es-PE"/>
        </w:rPr>
      </w:pPr>
    </w:p>
    <w:p w14:paraId="245767ED" w14:textId="7C7342A2" w:rsidR="00BB64A7" w:rsidRPr="00BB64A7" w:rsidRDefault="00BB64A7" w:rsidP="00FF437D">
      <w:pPr>
        <w:spacing w:line="360" w:lineRule="auto"/>
        <w:jc w:val="both"/>
        <w:rPr>
          <w:rFonts w:ascii="Arial" w:hAnsi="Arial" w:cs="Arial"/>
          <w:bCs/>
          <w:sz w:val="22"/>
          <w:szCs w:val="22"/>
          <w:lang w:val="es-PE"/>
        </w:rPr>
      </w:pPr>
      <w:r w:rsidRPr="00BB64A7">
        <w:rPr>
          <w:rFonts w:ascii="Arial" w:hAnsi="Arial" w:cs="Arial"/>
          <w:bCs/>
          <w:sz w:val="22"/>
          <w:szCs w:val="22"/>
          <w:lang w:val="es-PE"/>
        </w:rPr>
        <w:t xml:space="preserve">Con el fin de mantener un control riguroso y actualizado del inventario de mineral almacenado, </w:t>
      </w:r>
      <w:r w:rsidR="009B0909">
        <w:rPr>
          <w:rFonts w:ascii="Arial" w:hAnsi="Arial" w:cs="Arial"/>
          <w:bCs/>
          <w:sz w:val="22"/>
          <w:szCs w:val="22"/>
          <w:lang w:val="es-PE"/>
        </w:rPr>
        <w:t xml:space="preserve">se </w:t>
      </w:r>
      <w:r w:rsidRPr="00BB64A7">
        <w:rPr>
          <w:rFonts w:ascii="Arial" w:hAnsi="Arial" w:cs="Arial"/>
          <w:bCs/>
          <w:sz w:val="22"/>
          <w:szCs w:val="22"/>
          <w:lang w:val="es-PE"/>
        </w:rPr>
        <w:t>realiza levantamientos topográficos periódicos utilizando drones equipados con tecnología de escaneo de alta precisión. Estos levantamientos permiten obtener modelos digitales de superficie (MDS) de cada stockpile, los cuales son comparados con los registros del sistema de despacho para validar el tonelaje acumulado en cada acopio.</w:t>
      </w:r>
    </w:p>
    <w:p w14:paraId="483AA4F9" w14:textId="77777777" w:rsidR="00BB64A7" w:rsidRPr="00BB64A7" w:rsidRDefault="00BB64A7" w:rsidP="00FF437D">
      <w:pPr>
        <w:spacing w:line="360" w:lineRule="auto"/>
        <w:jc w:val="both"/>
        <w:rPr>
          <w:rFonts w:ascii="Arial" w:hAnsi="Arial" w:cs="Arial"/>
          <w:bCs/>
          <w:sz w:val="22"/>
          <w:szCs w:val="22"/>
          <w:lang w:val="es-PE"/>
        </w:rPr>
      </w:pPr>
    </w:p>
    <w:p w14:paraId="0CD7AEF0" w14:textId="77777777" w:rsidR="00BB64A7" w:rsidRPr="00BB64A7" w:rsidRDefault="00BB64A7" w:rsidP="00FF437D">
      <w:pPr>
        <w:spacing w:line="360" w:lineRule="auto"/>
        <w:jc w:val="both"/>
        <w:rPr>
          <w:rFonts w:ascii="Arial" w:hAnsi="Arial" w:cs="Arial"/>
          <w:bCs/>
          <w:sz w:val="22"/>
          <w:szCs w:val="22"/>
          <w:lang w:val="es-PE"/>
        </w:rPr>
      </w:pPr>
      <w:r w:rsidRPr="00BB64A7">
        <w:rPr>
          <w:rFonts w:ascii="Arial" w:hAnsi="Arial" w:cs="Arial"/>
          <w:bCs/>
          <w:sz w:val="22"/>
          <w:szCs w:val="22"/>
          <w:lang w:val="es-PE"/>
        </w:rPr>
        <w:t>Cuando se detectan discrepancias entre el volumen estimado por el sistema y el volumen real medido topográficamente, se realizan ajustes de inventario que permiten mantener la coherencia y confiabilidad del modelo de bloques del stock. Esta conciliación es fundamental para asegurar que las decisiones operativas y estratégicas se basen en datos precisos y actualizados.</w:t>
      </w:r>
    </w:p>
    <w:p w14:paraId="495EF5CB" w14:textId="77777777" w:rsidR="00BB64A7" w:rsidRPr="00BB64A7" w:rsidRDefault="00BB64A7" w:rsidP="00FF437D">
      <w:pPr>
        <w:spacing w:line="360" w:lineRule="auto"/>
        <w:jc w:val="both"/>
        <w:rPr>
          <w:rFonts w:ascii="Arial" w:hAnsi="Arial" w:cs="Arial"/>
          <w:bCs/>
          <w:sz w:val="22"/>
          <w:szCs w:val="22"/>
          <w:lang w:val="es-PE"/>
        </w:rPr>
      </w:pPr>
    </w:p>
    <w:p w14:paraId="5B0846F5" w14:textId="77777777" w:rsidR="00BB64A7" w:rsidRPr="00BB64A7" w:rsidRDefault="00BB64A7" w:rsidP="00FF437D">
      <w:pPr>
        <w:spacing w:line="360" w:lineRule="auto"/>
        <w:jc w:val="both"/>
        <w:rPr>
          <w:rFonts w:ascii="Arial" w:hAnsi="Arial" w:cs="Arial"/>
          <w:bCs/>
          <w:sz w:val="22"/>
          <w:szCs w:val="22"/>
          <w:lang w:val="es-PE"/>
        </w:rPr>
      </w:pPr>
      <w:r w:rsidRPr="00BB64A7">
        <w:rPr>
          <w:rFonts w:ascii="Arial" w:hAnsi="Arial" w:cs="Arial"/>
          <w:bCs/>
          <w:sz w:val="22"/>
          <w:szCs w:val="22"/>
          <w:lang w:val="es-PE"/>
        </w:rPr>
        <w:t>El inventario conciliado de los stocks constituye un insumo crítico para la planificación minera, ya que permite:</w:t>
      </w:r>
    </w:p>
    <w:p w14:paraId="67971984" w14:textId="77777777" w:rsidR="00BB64A7" w:rsidRPr="00BB64A7" w:rsidRDefault="00BB64A7" w:rsidP="00FF437D">
      <w:pPr>
        <w:spacing w:line="360" w:lineRule="auto"/>
        <w:jc w:val="both"/>
        <w:rPr>
          <w:rFonts w:ascii="Arial" w:hAnsi="Arial" w:cs="Arial"/>
          <w:bCs/>
          <w:sz w:val="22"/>
          <w:szCs w:val="22"/>
          <w:lang w:val="es-PE"/>
        </w:rPr>
      </w:pPr>
    </w:p>
    <w:p w14:paraId="2ABAC81A" w14:textId="77777777" w:rsidR="00BB64A7" w:rsidRDefault="00BB64A7" w:rsidP="00FF437D">
      <w:pPr>
        <w:pStyle w:val="Prrafodelista"/>
        <w:numPr>
          <w:ilvl w:val="0"/>
          <w:numId w:val="12"/>
        </w:numPr>
        <w:spacing w:line="360" w:lineRule="auto"/>
        <w:jc w:val="both"/>
        <w:rPr>
          <w:rFonts w:ascii="Arial" w:hAnsi="Arial" w:cs="Arial"/>
          <w:bCs/>
          <w:sz w:val="22"/>
          <w:szCs w:val="22"/>
          <w:lang w:val="es-PE"/>
        </w:rPr>
      </w:pPr>
      <w:r w:rsidRPr="00482F62">
        <w:rPr>
          <w:rFonts w:ascii="Arial" w:hAnsi="Arial" w:cs="Arial"/>
          <w:bCs/>
          <w:sz w:val="22"/>
          <w:szCs w:val="22"/>
          <w:lang w:val="es-PE"/>
        </w:rPr>
        <w:t>Estimar con mayor precisión la disponibilidad de mineral para remanejo.</w:t>
      </w:r>
    </w:p>
    <w:p w14:paraId="506F05C5" w14:textId="77777777" w:rsidR="00482F62" w:rsidRPr="00482F62" w:rsidRDefault="00482F62" w:rsidP="00FF437D">
      <w:pPr>
        <w:pStyle w:val="Prrafodelista"/>
        <w:spacing w:line="360" w:lineRule="auto"/>
        <w:jc w:val="both"/>
        <w:rPr>
          <w:rFonts w:ascii="Arial" w:hAnsi="Arial" w:cs="Arial"/>
          <w:bCs/>
          <w:sz w:val="22"/>
          <w:szCs w:val="22"/>
          <w:lang w:val="es-PE"/>
        </w:rPr>
      </w:pPr>
    </w:p>
    <w:p w14:paraId="5A9B5D8B" w14:textId="77777777" w:rsidR="00BB64A7" w:rsidRDefault="00BB64A7" w:rsidP="00FF437D">
      <w:pPr>
        <w:pStyle w:val="Prrafodelista"/>
        <w:numPr>
          <w:ilvl w:val="0"/>
          <w:numId w:val="12"/>
        </w:numPr>
        <w:spacing w:line="360" w:lineRule="auto"/>
        <w:jc w:val="both"/>
        <w:rPr>
          <w:rFonts w:ascii="Arial" w:hAnsi="Arial" w:cs="Arial"/>
          <w:bCs/>
          <w:sz w:val="22"/>
          <w:szCs w:val="22"/>
          <w:lang w:val="es-PE"/>
        </w:rPr>
      </w:pPr>
      <w:r w:rsidRPr="00482F62">
        <w:rPr>
          <w:rFonts w:ascii="Arial" w:hAnsi="Arial" w:cs="Arial"/>
          <w:bCs/>
          <w:sz w:val="22"/>
          <w:szCs w:val="22"/>
          <w:lang w:val="es-PE"/>
        </w:rPr>
        <w:t>Ajustar las estrategias de blending según la calidad real del material almacenado.</w:t>
      </w:r>
    </w:p>
    <w:p w14:paraId="1B268696" w14:textId="77777777" w:rsidR="00482F62" w:rsidRPr="00482F62" w:rsidRDefault="00482F62" w:rsidP="00FF437D">
      <w:pPr>
        <w:spacing w:line="360" w:lineRule="auto"/>
        <w:jc w:val="both"/>
        <w:rPr>
          <w:rFonts w:ascii="Arial" w:hAnsi="Arial" w:cs="Arial"/>
          <w:bCs/>
          <w:sz w:val="22"/>
          <w:szCs w:val="22"/>
          <w:lang w:val="es-PE"/>
        </w:rPr>
      </w:pPr>
    </w:p>
    <w:p w14:paraId="15607E02" w14:textId="77777777" w:rsidR="00BB64A7" w:rsidRDefault="00BB64A7" w:rsidP="00FF437D">
      <w:pPr>
        <w:pStyle w:val="Prrafodelista"/>
        <w:numPr>
          <w:ilvl w:val="0"/>
          <w:numId w:val="12"/>
        </w:numPr>
        <w:spacing w:line="360" w:lineRule="auto"/>
        <w:jc w:val="both"/>
        <w:rPr>
          <w:rFonts w:ascii="Arial" w:hAnsi="Arial" w:cs="Arial"/>
          <w:bCs/>
          <w:sz w:val="22"/>
          <w:szCs w:val="22"/>
          <w:lang w:val="es-PE"/>
        </w:rPr>
      </w:pPr>
      <w:r w:rsidRPr="00482F62">
        <w:rPr>
          <w:rFonts w:ascii="Arial" w:hAnsi="Arial" w:cs="Arial"/>
          <w:bCs/>
          <w:sz w:val="22"/>
          <w:szCs w:val="22"/>
          <w:lang w:val="es-PE"/>
        </w:rPr>
        <w:t>Optimizar la secuencia de alimentación a planta.</w:t>
      </w:r>
    </w:p>
    <w:p w14:paraId="1C3CD3D0" w14:textId="77777777" w:rsidR="00482F62" w:rsidRPr="00482F62" w:rsidRDefault="00482F62" w:rsidP="00FF437D">
      <w:pPr>
        <w:spacing w:line="360" w:lineRule="auto"/>
        <w:jc w:val="both"/>
        <w:rPr>
          <w:rFonts w:ascii="Arial" w:hAnsi="Arial" w:cs="Arial"/>
          <w:bCs/>
          <w:sz w:val="22"/>
          <w:szCs w:val="22"/>
          <w:lang w:val="es-PE"/>
        </w:rPr>
      </w:pPr>
    </w:p>
    <w:p w14:paraId="31CEC468" w14:textId="77777777" w:rsidR="00BB64A7" w:rsidRDefault="00BB64A7" w:rsidP="00FF437D">
      <w:pPr>
        <w:pStyle w:val="Prrafodelista"/>
        <w:numPr>
          <w:ilvl w:val="0"/>
          <w:numId w:val="12"/>
        </w:numPr>
        <w:spacing w:line="360" w:lineRule="auto"/>
        <w:jc w:val="both"/>
        <w:rPr>
          <w:rFonts w:ascii="Arial" w:hAnsi="Arial" w:cs="Arial"/>
          <w:bCs/>
          <w:sz w:val="22"/>
          <w:szCs w:val="22"/>
          <w:lang w:val="es-PE"/>
        </w:rPr>
      </w:pPr>
      <w:r w:rsidRPr="00482F62">
        <w:rPr>
          <w:rFonts w:ascii="Arial" w:hAnsi="Arial" w:cs="Arial"/>
          <w:bCs/>
          <w:sz w:val="22"/>
          <w:szCs w:val="22"/>
          <w:lang w:val="es-PE"/>
        </w:rPr>
        <w:t>Reducir la incertidumbre en la reconciliación mina-planta.</w:t>
      </w:r>
    </w:p>
    <w:p w14:paraId="0DC6B78B" w14:textId="77777777" w:rsidR="009B0909" w:rsidRPr="009B0909" w:rsidRDefault="009B0909" w:rsidP="00FF437D">
      <w:pPr>
        <w:spacing w:line="360" w:lineRule="auto"/>
        <w:jc w:val="both"/>
        <w:rPr>
          <w:rFonts w:ascii="Arial" w:hAnsi="Arial" w:cs="Arial"/>
          <w:bCs/>
          <w:sz w:val="22"/>
          <w:szCs w:val="22"/>
          <w:lang w:val="es-PE"/>
        </w:rPr>
      </w:pPr>
    </w:p>
    <w:p w14:paraId="54EF2304" w14:textId="64518DAA" w:rsidR="0028335F" w:rsidRDefault="00BB64A7" w:rsidP="00FF437D">
      <w:pPr>
        <w:spacing w:line="360" w:lineRule="auto"/>
        <w:jc w:val="both"/>
        <w:rPr>
          <w:rFonts w:ascii="Arial" w:hAnsi="Arial" w:cs="Arial"/>
          <w:bCs/>
          <w:sz w:val="22"/>
          <w:szCs w:val="22"/>
          <w:lang w:val="es-PE"/>
        </w:rPr>
      </w:pPr>
      <w:r w:rsidRPr="00BB64A7">
        <w:rPr>
          <w:rFonts w:ascii="Arial" w:hAnsi="Arial" w:cs="Arial"/>
          <w:bCs/>
          <w:sz w:val="22"/>
          <w:szCs w:val="22"/>
          <w:lang w:val="es-PE"/>
        </w:rPr>
        <w:t>Este proceso de conciliación, al estar integrado con el sistema digital de modelamiento de stocks, fortalece la trazabilidad del mineral y mejora la eficiencia general del proceso productivo.</w:t>
      </w:r>
    </w:p>
    <w:p w14:paraId="656E81E4" w14:textId="77777777" w:rsidR="007C7C68" w:rsidRDefault="007C7C68" w:rsidP="00FF437D">
      <w:pPr>
        <w:spacing w:line="360" w:lineRule="auto"/>
        <w:jc w:val="both"/>
        <w:rPr>
          <w:rFonts w:ascii="Arial" w:hAnsi="Arial" w:cs="Arial"/>
          <w:bCs/>
          <w:sz w:val="22"/>
          <w:szCs w:val="22"/>
          <w:lang w:val="es-PE"/>
        </w:rPr>
      </w:pPr>
    </w:p>
    <w:p w14:paraId="23B06D10" w14:textId="77777777" w:rsidR="007C7C68" w:rsidRDefault="007C7C68" w:rsidP="00FF437D">
      <w:pPr>
        <w:spacing w:line="360" w:lineRule="auto"/>
        <w:jc w:val="both"/>
        <w:rPr>
          <w:rFonts w:ascii="Arial" w:hAnsi="Arial" w:cs="Arial"/>
          <w:bCs/>
          <w:sz w:val="22"/>
          <w:szCs w:val="22"/>
          <w:lang w:val="es-PE"/>
        </w:rPr>
      </w:pPr>
      <w:r>
        <w:rPr>
          <w:rFonts w:ascii="Arial" w:hAnsi="Arial" w:cs="Arial"/>
          <w:bCs/>
          <w:sz w:val="22"/>
          <w:szCs w:val="22"/>
          <w:lang w:val="es-PE"/>
        </w:rPr>
        <w:t>La implementación de este sistema ha generado beneficios en el proceso como:</w:t>
      </w:r>
    </w:p>
    <w:p w14:paraId="4254B8E2" w14:textId="77777777" w:rsidR="007C7C68" w:rsidRDefault="007C7C68" w:rsidP="00FF437D">
      <w:pPr>
        <w:spacing w:line="360" w:lineRule="auto"/>
        <w:jc w:val="both"/>
        <w:rPr>
          <w:rFonts w:ascii="Arial" w:hAnsi="Arial" w:cs="Arial"/>
          <w:bCs/>
          <w:sz w:val="22"/>
          <w:szCs w:val="22"/>
          <w:lang w:val="es-PE"/>
        </w:rPr>
      </w:pPr>
    </w:p>
    <w:p w14:paraId="4745872D" w14:textId="77777777" w:rsidR="007C7C68" w:rsidRDefault="007C7C68" w:rsidP="00FF437D">
      <w:pPr>
        <w:pStyle w:val="Prrafodelista"/>
        <w:numPr>
          <w:ilvl w:val="0"/>
          <w:numId w:val="6"/>
        </w:numPr>
        <w:spacing w:line="360" w:lineRule="auto"/>
        <w:ind w:left="567" w:hanging="294"/>
        <w:jc w:val="both"/>
        <w:rPr>
          <w:rFonts w:ascii="Arial" w:hAnsi="Arial" w:cs="Arial"/>
          <w:sz w:val="22"/>
          <w:szCs w:val="22"/>
          <w:lang w:val="es-PE"/>
        </w:rPr>
      </w:pPr>
      <w:r w:rsidRPr="0028335F">
        <w:rPr>
          <w:rFonts w:ascii="Arial" w:hAnsi="Arial" w:cs="Arial"/>
          <w:sz w:val="22"/>
          <w:szCs w:val="22"/>
          <w:lang w:val="es-PE"/>
        </w:rPr>
        <w:t>Escalabilidad: Sistema diseñado para soportar un aumento en las demandas operativas y de datos</w:t>
      </w:r>
      <w:r>
        <w:rPr>
          <w:rFonts w:ascii="Arial" w:hAnsi="Arial" w:cs="Arial"/>
          <w:sz w:val="22"/>
          <w:szCs w:val="22"/>
          <w:lang w:val="es-PE"/>
        </w:rPr>
        <w:t>.</w:t>
      </w:r>
    </w:p>
    <w:p w14:paraId="341BEFFA" w14:textId="77777777" w:rsidR="007C7C68" w:rsidRPr="0028335F" w:rsidRDefault="007C7C68" w:rsidP="00FF437D">
      <w:pPr>
        <w:pStyle w:val="Prrafodelista"/>
        <w:spacing w:line="360" w:lineRule="auto"/>
        <w:ind w:left="567"/>
        <w:jc w:val="both"/>
        <w:rPr>
          <w:rFonts w:ascii="Arial" w:hAnsi="Arial" w:cs="Arial"/>
          <w:sz w:val="22"/>
          <w:szCs w:val="22"/>
          <w:lang w:val="es-PE"/>
        </w:rPr>
      </w:pPr>
    </w:p>
    <w:p w14:paraId="515F915A" w14:textId="77777777" w:rsidR="007C7C68" w:rsidRDefault="007C7C68" w:rsidP="00FF437D">
      <w:pPr>
        <w:pStyle w:val="Prrafodelista"/>
        <w:numPr>
          <w:ilvl w:val="0"/>
          <w:numId w:val="6"/>
        </w:numPr>
        <w:spacing w:line="360" w:lineRule="auto"/>
        <w:ind w:left="567" w:hanging="294"/>
        <w:jc w:val="both"/>
        <w:rPr>
          <w:rFonts w:ascii="Arial" w:hAnsi="Arial" w:cs="Arial"/>
          <w:sz w:val="22"/>
          <w:szCs w:val="22"/>
          <w:lang w:val="es-PE"/>
        </w:rPr>
      </w:pPr>
      <w:r w:rsidRPr="0028335F">
        <w:rPr>
          <w:rFonts w:ascii="Arial" w:hAnsi="Arial" w:cs="Arial"/>
          <w:sz w:val="22"/>
          <w:szCs w:val="22"/>
          <w:lang w:val="es-PE"/>
        </w:rPr>
        <w:t>Eficiencia operativa: Automatización de procesos que reduce tiempos y errores manuales</w:t>
      </w:r>
      <w:r>
        <w:rPr>
          <w:rFonts w:ascii="Arial" w:hAnsi="Arial" w:cs="Arial"/>
          <w:sz w:val="22"/>
          <w:szCs w:val="22"/>
          <w:lang w:val="es-PE"/>
        </w:rPr>
        <w:t>.</w:t>
      </w:r>
    </w:p>
    <w:p w14:paraId="4EB49BCF" w14:textId="77777777" w:rsidR="007C7C68" w:rsidRPr="007C7C68" w:rsidRDefault="007C7C68" w:rsidP="00FF437D">
      <w:pPr>
        <w:spacing w:line="360" w:lineRule="auto"/>
        <w:jc w:val="both"/>
        <w:rPr>
          <w:rFonts w:ascii="Arial" w:hAnsi="Arial" w:cs="Arial"/>
          <w:sz w:val="22"/>
          <w:szCs w:val="22"/>
          <w:lang w:val="es-PE"/>
        </w:rPr>
      </w:pPr>
    </w:p>
    <w:p w14:paraId="72F7B38F" w14:textId="5B755B2C" w:rsidR="007C7C68" w:rsidRPr="007C7C68" w:rsidRDefault="007C7C68" w:rsidP="00FF437D">
      <w:pPr>
        <w:pStyle w:val="Prrafodelista"/>
        <w:numPr>
          <w:ilvl w:val="0"/>
          <w:numId w:val="6"/>
        </w:numPr>
        <w:spacing w:line="360" w:lineRule="auto"/>
        <w:ind w:left="567" w:hanging="294"/>
        <w:jc w:val="both"/>
        <w:rPr>
          <w:rFonts w:ascii="Arial" w:hAnsi="Arial" w:cs="Arial"/>
          <w:sz w:val="22"/>
          <w:szCs w:val="22"/>
          <w:lang w:val="es-PE"/>
        </w:rPr>
      </w:pPr>
      <w:r w:rsidRPr="0028335F">
        <w:rPr>
          <w:rFonts w:ascii="Arial" w:hAnsi="Arial" w:cs="Arial"/>
          <w:sz w:val="22"/>
          <w:szCs w:val="22"/>
          <w:lang w:val="es-PE"/>
        </w:rPr>
        <w:t>Seguridad avanzada: Implementación de estándares</w:t>
      </w:r>
      <w:r>
        <w:rPr>
          <w:rFonts w:ascii="Arial" w:hAnsi="Arial" w:cs="Arial"/>
          <w:sz w:val="22"/>
          <w:szCs w:val="22"/>
          <w:lang w:val="es-PE"/>
        </w:rPr>
        <w:t xml:space="preserve"> de seguridad para proteger los datos críticos.</w:t>
      </w:r>
    </w:p>
    <w:p w14:paraId="62397B79" w14:textId="02EC58A9" w:rsidR="00AA602B" w:rsidRDefault="00AA602B" w:rsidP="00FF437D">
      <w:pPr>
        <w:spacing w:line="360" w:lineRule="auto"/>
        <w:jc w:val="both"/>
        <w:rPr>
          <w:rFonts w:ascii="Arial" w:hAnsi="Arial" w:cs="Arial"/>
          <w:bCs/>
          <w:sz w:val="22"/>
          <w:szCs w:val="22"/>
          <w:lang w:val="es-PE"/>
        </w:rPr>
      </w:pPr>
      <w:r w:rsidRPr="00AA602B">
        <w:rPr>
          <w:rFonts w:ascii="Arial" w:hAnsi="Arial" w:cs="Arial"/>
          <w:bCs/>
          <w:noProof/>
          <w:sz w:val="22"/>
          <w:szCs w:val="22"/>
        </w:rPr>
        <w:drawing>
          <wp:inline distT="0" distB="0" distL="0" distR="0" wp14:anchorId="4011EBFD" wp14:editId="3F73B73A">
            <wp:extent cx="3166110" cy="3447415"/>
            <wp:effectExtent l="0" t="0" r="0" b="635"/>
            <wp:docPr id="20" name="Imagen 19" descr="Mapa&#10;&#10;El contenido generado por IA puede ser incorrecto.">
              <a:extLst xmlns:a="http://schemas.openxmlformats.org/drawingml/2006/main">
                <a:ext uri="{FF2B5EF4-FFF2-40B4-BE49-F238E27FC236}">
                  <a16:creationId xmlns:a16="http://schemas.microsoft.com/office/drawing/2014/main" id="{769B555F-84D8-40EC-86E0-CE7C225E7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9" descr="Mapa&#10;&#10;El contenido generado por IA puede ser incorrecto.">
                      <a:extLst>
                        <a:ext uri="{FF2B5EF4-FFF2-40B4-BE49-F238E27FC236}">
                          <a16:creationId xmlns:a16="http://schemas.microsoft.com/office/drawing/2014/main" id="{769B555F-84D8-40EC-86E0-CE7C225E7828}"/>
                        </a:ext>
                      </a:extLst>
                    </pic:cNvPr>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0" y="0"/>
                      <a:ext cx="3166110" cy="3447415"/>
                    </a:xfrm>
                    <a:prstGeom prst="rect">
                      <a:avLst/>
                    </a:prstGeom>
                    <a:ln>
                      <a:noFill/>
                    </a:ln>
                  </pic:spPr>
                </pic:pic>
              </a:graphicData>
            </a:graphic>
          </wp:inline>
        </w:drawing>
      </w:r>
    </w:p>
    <w:p w14:paraId="28C2B4EF" w14:textId="03DB8B00" w:rsidR="00AA602B" w:rsidRDefault="00AA602B"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 xml:space="preserve">Gráfico </w:t>
      </w:r>
      <w:r w:rsidR="00742311">
        <w:rPr>
          <w:rFonts w:ascii="Arial" w:hAnsi="Arial" w:cs="Arial"/>
          <w:b/>
          <w:bCs/>
          <w:sz w:val="20"/>
          <w:szCs w:val="20"/>
          <w:lang w:val="es-PE"/>
        </w:rPr>
        <w:t>10</w:t>
      </w:r>
      <w:r>
        <w:rPr>
          <w:rFonts w:ascii="Arial" w:hAnsi="Arial" w:cs="Arial"/>
          <w:b/>
          <w:bCs/>
          <w:sz w:val="20"/>
          <w:szCs w:val="20"/>
          <w:lang w:val="es-PE"/>
        </w:rPr>
        <w:t xml:space="preserve">. </w:t>
      </w:r>
      <w:r w:rsidR="00A71522">
        <w:rPr>
          <w:rFonts w:ascii="Arial" w:hAnsi="Arial" w:cs="Arial"/>
          <w:sz w:val="20"/>
          <w:szCs w:val="20"/>
          <w:lang w:val="es-PE"/>
        </w:rPr>
        <w:t xml:space="preserve">Puntos de descarga con </w:t>
      </w:r>
      <w:r w:rsidR="00594F26">
        <w:rPr>
          <w:rFonts w:ascii="Arial" w:hAnsi="Arial" w:cs="Arial"/>
          <w:sz w:val="20"/>
          <w:szCs w:val="20"/>
          <w:lang w:val="es-PE"/>
        </w:rPr>
        <w:t>Los puntos de color rojo y azul representan los buckets</w:t>
      </w:r>
      <w:r w:rsidR="004453C9">
        <w:rPr>
          <w:rFonts w:ascii="Arial" w:hAnsi="Arial" w:cs="Arial"/>
          <w:sz w:val="20"/>
          <w:szCs w:val="20"/>
          <w:lang w:val="es-PE"/>
        </w:rPr>
        <w:t xml:space="preserve"> (avance de minado del cargador)</w:t>
      </w:r>
    </w:p>
    <w:p w14:paraId="62CB3FC3" w14:textId="77777777" w:rsidR="001C18AC" w:rsidRDefault="001C18AC" w:rsidP="00FF437D">
      <w:pPr>
        <w:spacing w:line="360" w:lineRule="auto"/>
        <w:jc w:val="both"/>
        <w:rPr>
          <w:rFonts w:ascii="Arial" w:hAnsi="Arial" w:cs="Arial"/>
          <w:sz w:val="20"/>
          <w:szCs w:val="20"/>
          <w:lang w:val="es-PE"/>
        </w:rPr>
      </w:pPr>
    </w:p>
    <w:p w14:paraId="5B662106" w14:textId="1973C29B" w:rsidR="001C18AC" w:rsidRDefault="001C18AC" w:rsidP="00FF437D">
      <w:pPr>
        <w:spacing w:line="360" w:lineRule="auto"/>
        <w:jc w:val="both"/>
        <w:rPr>
          <w:rFonts w:ascii="Arial" w:hAnsi="Arial" w:cs="Arial"/>
          <w:sz w:val="20"/>
          <w:szCs w:val="20"/>
          <w:lang w:val="es-PE"/>
        </w:rPr>
      </w:pPr>
      <w:r w:rsidRPr="001C18AC">
        <w:rPr>
          <w:rFonts w:ascii="Arial" w:hAnsi="Arial" w:cs="Arial"/>
          <w:noProof/>
          <w:sz w:val="20"/>
          <w:szCs w:val="20"/>
        </w:rPr>
        <w:lastRenderedPageBreak/>
        <w:drawing>
          <wp:inline distT="0" distB="0" distL="0" distR="0" wp14:anchorId="08FD810A" wp14:editId="6EAF5BD3">
            <wp:extent cx="3166110" cy="3447415"/>
            <wp:effectExtent l="0" t="0" r="0" b="635"/>
            <wp:docPr id="26" name="Imagen 25">
              <a:extLst xmlns:a="http://schemas.openxmlformats.org/drawingml/2006/main">
                <a:ext uri="{FF2B5EF4-FFF2-40B4-BE49-F238E27FC236}">
                  <a16:creationId xmlns:a16="http://schemas.microsoft.com/office/drawing/2014/main" id="{39BBA64A-D4D4-4891-9909-E7DB4B2CBF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5">
                      <a:extLst>
                        <a:ext uri="{FF2B5EF4-FFF2-40B4-BE49-F238E27FC236}">
                          <a16:creationId xmlns:a16="http://schemas.microsoft.com/office/drawing/2014/main" id="{39BBA64A-D4D4-4891-9909-E7DB4B2CBF3A}"/>
                        </a:ext>
                      </a:extLst>
                    </pic:cNvPr>
                    <pic:cNvPicPr>
                      <a:picLocks noChangeAspect="1"/>
                    </pic:cNvPicPr>
                  </pic:nvPicPr>
                  <pic:blipFill>
                    <a:blip r:embed="rId22">
                      <a:extLst>
                        <a:ext uri="{28A0092B-C50C-407E-A947-70E740481C1C}">
                          <a14:useLocalDpi xmlns:a14="http://schemas.microsoft.com/office/drawing/2010/main" val="0"/>
                        </a:ext>
                      </a:extLst>
                    </a:blip>
                    <a:srcRect/>
                    <a:stretch/>
                  </pic:blipFill>
                  <pic:spPr>
                    <a:xfrm>
                      <a:off x="0" y="0"/>
                      <a:ext cx="3166110" cy="3447415"/>
                    </a:xfrm>
                    <a:prstGeom prst="rect">
                      <a:avLst/>
                    </a:prstGeom>
                    <a:ln>
                      <a:noFill/>
                    </a:ln>
                  </pic:spPr>
                </pic:pic>
              </a:graphicData>
            </a:graphic>
          </wp:inline>
        </w:drawing>
      </w:r>
    </w:p>
    <w:p w14:paraId="3D173B0F" w14:textId="24C2F32F" w:rsidR="001C18AC" w:rsidRDefault="001C18AC"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 xml:space="preserve">Gráfico </w:t>
      </w:r>
      <w:r>
        <w:rPr>
          <w:rFonts w:ascii="Arial" w:hAnsi="Arial" w:cs="Arial"/>
          <w:b/>
          <w:bCs/>
          <w:sz w:val="20"/>
          <w:szCs w:val="20"/>
          <w:lang w:val="es-PE"/>
        </w:rPr>
        <w:t>1</w:t>
      </w:r>
      <w:r w:rsidR="00742311">
        <w:rPr>
          <w:rFonts w:ascii="Arial" w:hAnsi="Arial" w:cs="Arial"/>
          <w:b/>
          <w:bCs/>
          <w:sz w:val="20"/>
          <w:szCs w:val="20"/>
          <w:lang w:val="es-PE"/>
        </w:rPr>
        <w:t>1</w:t>
      </w:r>
      <w:r>
        <w:rPr>
          <w:rFonts w:ascii="Arial" w:hAnsi="Arial" w:cs="Arial"/>
          <w:b/>
          <w:bCs/>
          <w:sz w:val="20"/>
          <w:szCs w:val="20"/>
          <w:lang w:val="es-PE"/>
        </w:rPr>
        <w:t xml:space="preserve">. </w:t>
      </w:r>
      <w:r>
        <w:rPr>
          <w:rFonts w:ascii="Arial" w:hAnsi="Arial" w:cs="Arial"/>
          <w:sz w:val="20"/>
          <w:szCs w:val="20"/>
          <w:lang w:val="es-PE"/>
        </w:rPr>
        <w:t>Modelo de bloques de los stocks generado a partir de la interpolación de los puntos de descarga</w:t>
      </w:r>
    </w:p>
    <w:p w14:paraId="6F321945" w14:textId="77777777" w:rsidR="00B14DB5" w:rsidRDefault="00B14DB5" w:rsidP="00FF437D">
      <w:pPr>
        <w:spacing w:line="360" w:lineRule="auto"/>
        <w:jc w:val="both"/>
        <w:rPr>
          <w:rFonts w:ascii="Arial" w:hAnsi="Arial" w:cs="Arial"/>
          <w:bCs/>
          <w:sz w:val="22"/>
          <w:szCs w:val="22"/>
          <w:lang w:val="es-PE"/>
        </w:rPr>
      </w:pPr>
    </w:p>
    <w:p w14:paraId="487AD71F" w14:textId="77777777" w:rsidR="00FA3708" w:rsidRDefault="00FA3708" w:rsidP="00FF437D">
      <w:pPr>
        <w:spacing w:line="360" w:lineRule="auto"/>
        <w:jc w:val="both"/>
        <w:rPr>
          <w:rFonts w:ascii="Arial" w:hAnsi="Arial" w:cs="Arial"/>
          <w:bCs/>
          <w:sz w:val="22"/>
          <w:szCs w:val="22"/>
          <w:lang w:val="es-PE"/>
        </w:rPr>
      </w:pPr>
    </w:p>
    <w:p w14:paraId="71857D75" w14:textId="271D6741" w:rsidR="00E77D13" w:rsidRPr="000270E6" w:rsidRDefault="00E77D13" w:rsidP="00FF437D">
      <w:pPr>
        <w:spacing w:line="360" w:lineRule="auto"/>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FF437D">
      <w:pPr>
        <w:spacing w:line="360" w:lineRule="auto"/>
        <w:jc w:val="both"/>
        <w:rPr>
          <w:rFonts w:ascii="Arial" w:hAnsi="Arial" w:cs="Arial"/>
          <w:b/>
          <w:bCs/>
          <w:sz w:val="22"/>
          <w:szCs w:val="22"/>
          <w:lang w:val="es-PE"/>
        </w:rPr>
      </w:pPr>
    </w:p>
    <w:p w14:paraId="1BEBC362" w14:textId="77777777" w:rsidR="00FA7675" w:rsidRDefault="00FA7675" w:rsidP="00FF437D">
      <w:pPr>
        <w:spacing w:line="360" w:lineRule="auto"/>
        <w:jc w:val="both"/>
        <w:rPr>
          <w:rFonts w:ascii="Arial" w:hAnsi="Arial" w:cs="Arial"/>
          <w:bCs/>
          <w:sz w:val="22"/>
          <w:szCs w:val="22"/>
          <w:lang w:val="es-PE"/>
        </w:rPr>
      </w:pPr>
      <w:r w:rsidRPr="00FA7675">
        <w:rPr>
          <w:rFonts w:ascii="Arial" w:hAnsi="Arial" w:cs="Arial"/>
          <w:bCs/>
          <w:sz w:val="22"/>
          <w:szCs w:val="22"/>
          <w:lang w:val="es-PE"/>
        </w:rPr>
        <w:t>Con el objetivo de evaluar la eficiencia del sistema implementado para el control y manejo de stocks, se analizaron dos indicadores clave de desempeño (KPI), los cuales permiten medir la precisión en la estimación de leyes y la estabilidad de la alimentación a planta.</w:t>
      </w:r>
    </w:p>
    <w:p w14:paraId="7FBECC4B" w14:textId="77777777" w:rsidR="00FA7675" w:rsidRDefault="00FA7675" w:rsidP="00FF437D">
      <w:pPr>
        <w:spacing w:line="360" w:lineRule="auto"/>
        <w:jc w:val="both"/>
        <w:rPr>
          <w:rFonts w:ascii="Arial" w:hAnsi="Arial" w:cs="Arial"/>
          <w:bCs/>
          <w:sz w:val="22"/>
          <w:szCs w:val="22"/>
          <w:lang w:val="es-PE"/>
        </w:rPr>
      </w:pPr>
    </w:p>
    <w:p w14:paraId="4C4193F0" w14:textId="77777777" w:rsidR="00722B44" w:rsidRDefault="00722B44" w:rsidP="00FF437D">
      <w:pPr>
        <w:spacing w:line="360" w:lineRule="auto"/>
        <w:jc w:val="both"/>
        <w:rPr>
          <w:rFonts w:ascii="Arial" w:hAnsi="Arial" w:cs="Arial"/>
          <w:bCs/>
          <w:sz w:val="22"/>
          <w:szCs w:val="22"/>
          <w:lang w:val="es-PE"/>
        </w:rPr>
      </w:pPr>
      <w:r w:rsidRPr="00722B44">
        <w:rPr>
          <w:rFonts w:ascii="Arial" w:hAnsi="Arial" w:cs="Arial"/>
          <w:bCs/>
          <w:sz w:val="22"/>
          <w:szCs w:val="22"/>
          <w:lang w:val="es-PE"/>
        </w:rPr>
        <w:t>4.1 Reconciliación F2 Mina–Planta</w:t>
      </w:r>
    </w:p>
    <w:p w14:paraId="262A42F0" w14:textId="77777777" w:rsidR="00722B44" w:rsidRPr="00722B44" w:rsidRDefault="00722B44" w:rsidP="00FF437D">
      <w:pPr>
        <w:spacing w:line="360" w:lineRule="auto"/>
        <w:jc w:val="both"/>
        <w:rPr>
          <w:rFonts w:ascii="Arial" w:hAnsi="Arial" w:cs="Arial"/>
          <w:bCs/>
          <w:sz w:val="22"/>
          <w:szCs w:val="22"/>
          <w:lang w:val="es-PE"/>
        </w:rPr>
      </w:pPr>
    </w:p>
    <w:p w14:paraId="0DA40CF6" w14:textId="6CBFD35B" w:rsidR="003A0118" w:rsidRDefault="00722B44" w:rsidP="00FF437D">
      <w:pPr>
        <w:spacing w:line="360" w:lineRule="auto"/>
        <w:jc w:val="both"/>
        <w:rPr>
          <w:rFonts w:ascii="Arial" w:hAnsi="Arial" w:cs="Arial"/>
          <w:bCs/>
          <w:sz w:val="22"/>
          <w:szCs w:val="22"/>
          <w:lang w:val="es-PE"/>
        </w:rPr>
      </w:pPr>
      <w:r w:rsidRPr="00722B44">
        <w:rPr>
          <w:rFonts w:ascii="Arial" w:hAnsi="Arial" w:cs="Arial"/>
          <w:bCs/>
          <w:sz w:val="22"/>
          <w:szCs w:val="22"/>
          <w:lang w:val="es-PE"/>
        </w:rPr>
        <w:t>El primer KPI corresponde a la reconciliación F2, que mide la concordancia entre las leyes de cobre reportadas por el modelo de bloques de los stocks (origen mina) y las leyes efectivamente registradas por la planta durante el procesamiento. Este indicador es fundamental para evaluar la precisión del modelo de estimación y la confiabilidad del sistema de trazabilidad del mineral.</w:t>
      </w:r>
      <w:r w:rsidR="000B2ADA">
        <w:rPr>
          <w:rFonts w:ascii="Arial" w:hAnsi="Arial" w:cs="Arial"/>
          <w:bCs/>
          <w:sz w:val="22"/>
          <w:szCs w:val="22"/>
          <w:lang w:val="es-PE"/>
        </w:rPr>
        <w:t xml:space="preserve"> </w:t>
      </w:r>
      <w:r w:rsidRPr="00722B44">
        <w:rPr>
          <w:rFonts w:ascii="Arial" w:hAnsi="Arial" w:cs="Arial"/>
          <w:bCs/>
          <w:sz w:val="22"/>
          <w:szCs w:val="22"/>
          <w:lang w:val="es-PE"/>
        </w:rPr>
        <w:t xml:space="preserve">Durante el periodo comprendido entre septiembre de 2024 y </w:t>
      </w:r>
      <w:r w:rsidRPr="00722B44">
        <w:rPr>
          <w:rFonts w:ascii="Arial" w:hAnsi="Arial" w:cs="Arial"/>
          <w:bCs/>
          <w:sz w:val="22"/>
          <w:szCs w:val="22"/>
          <w:lang w:val="es-PE"/>
        </w:rPr>
        <w:t>marzo de 2025, se observó una mejora progresiva en la reconciliación F2, lo que evidencia una mayor alineación entre lo planificado y lo realmente procesado. Esta mejora está directamente relacionada con la implementación del modelo de bloques de stocks, la automatización del registro de descargas y la conciliación periódica del inventario.</w:t>
      </w:r>
    </w:p>
    <w:p w14:paraId="72AB123D" w14:textId="77777777" w:rsidR="00E10DFE" w:rsidRDefault="00E10DFE" w:rsidP="00FF437D">
      <w:pPr>
        <w:spacing w:line="360" w:lineRule="auto"/>
        <w:jc w:val="both"/>
        <w:rPr>
          <w:rFonts w:ascii="Arial" w:hAnsi="Arial" w:cs="Arial"/>
          <w:bCs/>
          <w:sz w:val="22"/>
          <w:szCs w:val="22"/>
          <w:lang w:val="es-PE"/>
        </w:rPr>
      </w:pPr>
    </w:p>
    <w:p w14:paraId="0A2C5ECD" w14:textId="77777777" w:rsidR="003A0118" w:rsidRDefault="00E10DFE" w:rsidP="00FF437D">
      <w:pPr>
        <w:spacing w:line="360" w:lineRule="auto"/>
        <w:jc w:val="both"/>
        <w:rPr>
          <w:rFonts w:ascii="Arial" w:hAnsi="Arial" w:cs="Arial"/>
          <w:b/>
          <w:bCs/>
          <w:sz w:val="20"/>
          <w:szCs w:val="20"/>
          <w:lang w:val="es-PE"/>
        </w:rPr>
      </w:pPr>
      <w:r>
        <w:rPr>
          <w:rFonts w:ascii="Arial" w:hAnsi="Arial" w:cs="Arial"/>
          <w:bCs/>
          <w:noProof/>
          <w:sz w:val="22"/>
          <w:szCs w:val="22"/>
          <w:lang w:val="es-PE"/>
        </w:rPr>
        <w:drawing>
          <wp:inline distT="0" distB="0" distL="0" distR="0" wp14:anchorId="60BACE16" wp14:editId="68E30CF1">
            <wp:extent cx="3204000" cy="1107331"/>
            <wp:effectExtent l="0" t="0" r="0" b="0"/>
            <wp:docPr id="127005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4000" cy="1107331"/>
                    </a:xfrm>
                    <a:prstGeom prst="rect">
                      <a:avLst/>
                    </a:prstGeom>
                    <a:noFill/>
                  </pic:spPr>
                </pic:pic>
              </a:graphicData>
            </a:graphic>
          </wp:inline>
        </w:drawing>
      </w:r>
      <w:r w:rsidR="00764121" w:rsidRPr="00764121">
        <w:rPr>
          <w:rFonts w:ascii="Arial" w:hAnsi="Arial" w:cs="Arial"/>
          <w:b/>
          <w:bCs/>
          <w:sz w:val="20"/>
          <w:szCs w:val="20"/>
          <w:lang w:val="es-PE"/>
        </w:rPr>
        <w:t xml:space="preserve"> </w:t>
      </w:r>
    </w:p>
    <w:p w14:paraId="4CF23EFE" w14:textId="77777777" w:rsidR="003A0118" w:rsidRDefault="003A0118" w:rsidP="00FF437D">
      <w:pPr>
        <w:spacing w:line="360" w:lineRule="auto"/>
        <w:jc w:val="both"/>
        <w:rPr>
          <w:rFonts w:ascii="Arial" w:hAnsi="Arial" w:cs="Arial"/>
          <w:b/>
          <w:bCs/>
          <w:sz w:val="20"/>
          <w:szCs w:val="20"/>
          <w:lang w:val="es-PE"/>
        </w:rPr>
      </w:pPr>
    </w:p>
    <w:p w14:paraId="7219EF2B" w14:textId="02624545" w:rsidR="00764121" w:rsidRDefault="00764121"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 xml:space="preserve">Gráfico </w:t>
      </w:r>
      <w:r w:rsidR="00406DED">
        <w:rPr>
          <w:rFonts w:ascii="Arial" w:hAnsi="Arial" w:cs="Arial"/>
          <w:b/>
          <w:bCs/>
          <w:sz w:val="20"/>
          <w:szCs w:val="20"/>
          <w:lang w:val="es-PE"/>
        </w:rPr>
        <w:t>1</w:t>
      </w:r>
      <w:r w:rsidR="00742311">
        <w:rPr>
          <w:rFonts w:ascii="Arial" w:hAnsi="Arial" w:cs="Arial"/>
          <w:b/>
          <w:bCs/>
          <w:sz w:val="20"/>
          <w:szCs w:val="20"/>
          <w:lang w:val="es-PE"/>
        </w:rPr>
        <w:t>2</w:t>
      </w:r>
      <w:r>
        <w:rPr>
          <w:rFonts w:ascii="Arial" w:hAnsi="Arial" w:cs="Arial"/>
          <w:b/>
          <w:bCs/>
          <w:sz w:val="20"/>
          <w:szCs w:val="20"/>
          <w:lang w:val="es-PE"/>
        </w:rPr>
        <w:t xml:space="preserve">. </w:t>
      </w:r>
      <w:r w:rsidR="00406DED">
        <w:rPr>
          <w:rFonts w:ascii="Arial" w:hAnsi="Arial" w:cs="Arial"/>
          <w:sz w:val="20"/>
          <w:szCs w:val="20"/>
          <w:lang w:val="es-PE"/>
        </w:rPr>
        <w:t>Reconciliación F2 a planta de sulfuros</w:t>
      </w:r>
    </w:p>
    <w:p w14:paraId="692B40B1" w14:textId="77777777" w:rsidR="000B2ADA" w:rsidRDefault="000B2ADA" w:rsidP="00FF437D">
      <w:pPr>
        <w:spacing w:line="360" w:lineRule="auto"/>
        <w:jc w:val="both"/>
        <w:rPr>
          <w:rFonts w:ascii="Arial" w:hAnsi="Arial" w:cs="Arial"/>
          <w:bCs/>
          <w:sz w:val="22"/>
          <w:szCs w:val="22"/>
          <w:lang w:val="es-PE"/>
        </w:rPr>
      </w:pPr>
    </w:p>
    <w:p w14:paraId="2FDF4BCA" w14:textId="77777777" w:rsidR="000B2ADA" w:rsidRDefault="000B2ADA" w:rsidP="00FF437D">
      <w:pPr>
        <w:spacing w:line="360" w:lineRule="auto"/>
        <w:jc w:val="both"/>
        <w:rPr>
          <w:rFonts w:ascii="Arial" w:hAnsi="Arial" w:cs="Arial"/>
          <w:bCs/>
          <w:sz w:val="22"/>
          <w:szCs w:val="22"/>
          <w:lang w:val="es-PE"/>
        </w:rPr>
      </w:pPr>
      <w:r w:rsidRPr="000B2ADA">
        <w:rPr>
          <w:rFonts w:ascii="Arial" w:hAnsi="Arial" w:cs="Arial"/>
          <w:bCs/>
          <w:sz w:val="22"/>
          <w:szCs w:val="22"/>
          <w:lang w:val="es-PE"/>
        </w:rPr>
        <w:t>4.2 Variabilidad de la Ley de Cabeza</w:t>
      </w:r>
    </w:p>
    <w:p w14:paraId="798870F4" w14:textId="77777777" w:rsidR="000B2ADA" w:rsidRPr="000B2ADA" w:rsidRDefault="000B2ADA" w:rsidP="00FF437D">
      <w:pPr>
        <w:spacing w:line="360" w:lineRule="auto"/>
        <w:jc w:val="both"/>
        <w:rPr>
          <w:rFonts w:ascii="Arial" w:hAnsi="Arial" w:cs="Arial"/>
          <w:bCs/>
          <w:sz w:val="22"/>
          <w:szCs w:val="22"/>
          <w:lang w:val="es-PE"/>
        </w:rPr>
      </w:pPr>
    </w:p>
    <w:p w14:paraId="751AFDC6" w14:textId="6A0A4DB5" w:rsidR="000B2ADA" w:rsidRDefault="000B2ADA" w:rsidP="00FF437D">
      <w:pPr>
        <w:spacing w:line="360" w:lineRule="auto"/>
        <w:jc w:val="both"/>
        <w:rPr>
          <w:rFonts w:ascii="Arial" w:hAnsi="Arial" w:cs="Arial"/>
          <w:bCs/>
          <w:sz w:val="22"/>
          <w:szCs w:val="22"/>
          <w:lang w:val="es-PE"/>
        </w:rPr>
      </w:pPr>
      <w:r w:rsidRPr="000B2ADA">
        <w:rPr>
          <w:rFonts w:ascii="Arial" w:hAnsi="Arial" w:cs="Arial"/>
          <w:bCs/>
          <w:sz w:val="22"/>
          <w:szCs w:val="22"/>
          <w:lang w:val="es-PE"/>
        </w:rPr>
        <w:t>El segundo KPI analizado es la variabilidad de la ley de cabeza, definida como el porcentaje de compósitos de cada 3 horas (8 muestras por día) que se encuentran dentro de un rango de ±20% respecto a la ley planificada. Este indicador permite evaluar la estabilidad del blending y la consistencia de la alimentación a planta.</w:t>
      </w:r>
      <w:r>
        <w:rPr>
          <w:rFonts w:ascii="Arial" w:hAnsi="Arial" w:cs="Arial"/>
          <w:bCs/>
          <w:sz w:val="22"/>
          <w:szCs w:val="22"/>
          <w:lang w:val="es-PE"/>
        </w:rPr>
        <w:t xml:space="preserve"> </w:t>
      </w:r>
      <w:r w:rsidRPr="000B2ADA">
        <w:rPr>
          <w:rFonts w:ascii="Arial" w:hAnsi="Arial" w:cs="Arial"/>
          <w:bCs/>
          <w:sz w:val="22"/>
          <w:szCs w:val="22"/>
          <w:lang w:val="es-PE"/>
        </w:rPr>
        <w:t>Los resultados muestran una reducción sostenida en la variabilidad a lo largo de los meses analizados, lo que indica una mejora en la calidad del control de mezcla y una mayor predictibilidad del proceso. Esta estabilidad es clave para optimizar la recuperación metalúrgica, reducir el consumo energético y mejorar la eficiencia global de la planta.</w:t>
      </w:r>
    </w:p>
    <w:p w14:paraId="6078D5A4" w14:textId="77777777" w:rsidR="000B2ADA" w:rsidRDefault="000B2ADA" w:rsidP="00FF437D">
      <w:pPr>
        <w:spacing w:line="360" w:lineRule="auto"/>
        <w:jc w:val="both"/>
        <w:rPr>
          <w:rFonts w:ascii="Arial" w:hAnsi="Arial" w:cs="Arial"/>
          <w:bCs/>
          <w:sz w:val="22"/>
          <w:szCs w:val="22"/>
          <w:lang w:val="es-PE"/>
        </w:rPr>
      </w:pPr>
    </w:p>
    <w:p w14:paraId="64BF96FA" w14:textId="6F9AD9D7" w:rsidR="003A0118" w:rsidRDefault="00764121" w:rsidP="00FF437D">
      <w:pPr>
        <w:spacing w:line="360" w:lineRule="auto"/>
        <w:jc w:val="both"/>
        <w:rPr>
          <w:rFonts w:ascii="Arial" w:hAnsi="Arial" w:cs="Arial"/>
          <w:bCs/>
          <w:sz w:val="22"/>
          <w:szCs w:val="22"/>
          <w:lang w:val="es-PE"/>
        </w:rPr>
      </w:pPr>
      <w:r>
        <w:rPr>
          <w:rFonts w:ascii="Arial" w:hAnsi="Arial" w:cs="Arial"/>
          <w:bCs/>
          <w:noProof/>
          <w:sz w:val="22"/>
          <w:szCs w:val="22"/>
          <w:lang w:val="es-PE"/>
        </w:rPr>
        <w:drawing>
          <wp:inline distT="0" distB="0" distL="0" distR="0" wp14:anchorId="6FF3A5F5" wp14:editId="20CC1DE8">
            <wp:extent cx="3115340" cy="1054892"/>
            <wp:effectExtent l="0" t="0" r="0" b="0"/>
            <wp:docPr id="165069670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27488" cy="1059006"/>
                    </a:xfrm>
                    <a:prstGeom prst="rect">
                      <a:avLst/>
                    </a:prstGeom>
                    <a:noFill/>
                  </pic:spPr>
                </pic:pic>
              </a:graphicData>
            </a:graphic>
          </wp:inline>
        </w:drawing>
      </w:r>
    </w:p>
    <w:p w14:paraId="0AD5FF11" w14:textId="77777777" w:rsidR="000B2ADA" w:rsidRDefault="000B2ADA" w:rsidP="00FF437D">
      <w:pPr>
        <w:spacing w:line="360" w:lineRule="auto"/>
        <w:jc w:val="both"/>
        <w:rPr>
          <w:rFonts w:ascii="Arial" w:hAnsi="Arial" w:cs="Arial"/>
          <w:bCs/>
          <w:sz w:val="22"/>
          <w:szCs w:val="22"/>
          <w:lang w:val="es-PE"/>
        </w:rPr>
      </w:pPr>
    </w:p>
    <w:p w14:paraId="16770C44" w14:textId="07ECF51F" w:rsidR="00764121" w:rsidRDefault="00764121"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lastRenderedPageBreak/>
        <w:t xml:space="preserve">Gráfico </w:t>
      </w:r>
      <w:r w:rsidR="007E4BD6">
        <w:rPr>
          <w:rFonts w:ascii="Arial" w:hAnsi="Arial" w:cs="Arial"/>
          <w:b/>
          <w:bCs/>
          <w:sz w:val="20"/>
          <w:szCs w:val="20"/>
          <w:lang w:val="es-PE"/>
        </w:rPr>
        <w:t>1</w:t>
      </w:r>
      <w:r w:rsidR="00742311">
        <w:rPr>
          <w:rFonts w:ascii="Arial" w:hAnsi="Arial" w:cs="Arial"/>
          <w:b/>
          <w:bCs/>
          <w:sz w:val="20"/>
          <w:szCs w:val="20"/>
          <w:lang w:val="es-PE"/>
        </w:rPr>
        <w:t>3</w:t>
      </w:r>
      <w:r>
        <w:rPr>
          <w:rFonts w:ascii="Arial" w:hAnsi="Arial" w:cs="Arial"/>
          <w:b/>
          <w:bCs/>
          <w:sz w:val="20"/>
          <w:szCs w:val="20"/>
          <w:lang w:val="es-PE"/>
        </w:rPr>
        <w:t xml:space="preserve">. </w:t>
      </w:r>
      <w:r w:rsidR="007E4BD6">
        <w:rPr>
          <w:rFonts w:ascii="Arial" w:hAnsi="Arial" w:cs="Arial"/>
          <w:sz w:val="20"/>
          <w:szCs w:val="20"/>
          <w:lang w:val="es-PE"/>
        </w:rPr>
        <w:t>KPI de variabilidad de ley</w:t>
      </w:r>
    </w:p>
    <w:p w14:paraId="5703CF08" w14:textId="77777777" w:rsidR="00716192" w:rsidRDefault="00716192" w:rsidP="00FF437D">
      <w:pPr>
        <w:spacing w:line="360" w:lineRule="auto"/>
        <w:jc w:val="both"/>
        <w:rPr>
          <w:rFonts w:ascii="Arial" w:hAnsi="Arial" w:cs="Arial"/>
          <w:sz w:val="22"/>
          <w:szCs w:val="22"/>
          <w:lang w:val="es-PE"/>
        </w:rPr>
      </w:pPr>
      <w:r w:rsidRPr="00716192">
        <w:rPr>
          <w:rFonts w:ascii="Arial" w:hAnsi="Arial" w:cs="Arial"/>
          <w:sz w:val="22"/>
          <w:szCs w:val="22"/>
          <w:lang w:val="es-PE"/>
        </w:rPr>
        <w:t>4.3 Impacto Operacional</w:t>
      </w:r>
    </w:p>
    <w:p w14:paraId="6617A752" w14:textId="77777777" w:rsidR="00716192" w:rsidRPr="00716192" w:rsidRDefault="00716192" w:rsidP="00FF437D">
      <w:pPr>
        <w:spacing w:line="360" w:lineRule="auto"/>
        <w:jc w:val="both"/>
        <w:rPr>
          <w:rFonts w:ascii="Arial" w:hAnsi="Arial" w:cs="Arial"/>
          <w:sz w:val="22"/>
          <w:szCs w:val="22"/>
          <w:lang w:val="es-PE"/>
        </w:rPr>
      </w:pPr>
    </w:p>
    <w:p w14:paraId="482A37CD" w14:textId="77777777" w:rsidR="00716192" w:rsidRPr="00716192" w:rsidRDefault="00716192" w:rsidP="00FF437D">
      <w:pPr>
        <w:spacing w:line="360" w:lineRule="auto"/>
        <w:jc w:val="both"/>
        <w:rPr>
          <w:rFonts w:ascii="Arial" w:hAnsi="Arial" w:cs="Arial"/>
          <w:sz w:val="22"/>
          <w:szCs w:val="22"/>
          <w:lang w:val="es-PE"/>
        </w:rPr>
      </w:pPr>
      <w:r w:rsidRPr="00716192">
        <w:rPr>
          <w:rFonts w:ascii="Arial" w:hAnsi="Arial" w:cs="Arial"/>
          <w:sz w:val="22"/>
          <w:szCs w:val="22"/>
          <w:lang w:val="es-PE"/>
        </w:rPr>
        <w:t>La mejora en ambos indicadores refleja el impacto positivo del sistema implementado en Marcobre. Asegurar una alta confiabilidad en la ley de alimentación a planta permite:</w:t>
      </w:r>
    </w:p>
    <w:p w14:paraId="16ABA1C5" w14:textId="77777777" w:rsidR="00716192" w:rsidRPr="00716192" w:rsidRDefault="00716192" w:rsidP="00FF437D">
      <w:pPr>
        <w:spacing w:line="360" w:lineRule="auto"/>
        <w:jc w:val="both"/>
        <w:rPr>
          <w:rFonts w:ascii="Arial" w:hAnsi="Arial" w:cs="Arial"/>
          <w:sz w:val="22"/>
          <w:szCs w:val="22"/>
          <w:lang w:val="es-PE"/>
        </w:rPr>
      </w:pPr>
    </w:p>
    <w:p w14:paraId="5169C46D" w14:textId="77777777" w:rsidR="00716192" w:rsidRDefault="00716192" w:rsidP="00FF437D">
      <w:pPr>
        <w:pStyle w:val="Prrafodelista"/>
        <w:numPr>
          <w:ilvl w:val="0"/>
          <w:numId w:val="13"/>
        </w:numPr>
        <w:spacing w:line="360" w:lineRule="auto"/>
        <w:jc w:val="both"/>
        <w:rPr>
          <w:rFonts w:ascii="Arial" w:hAnsi="Arial" w:cs="Arial"/>
          <w:sz w:val="22"/>
          <w:szCs w:val="22"/>
          <w:lang w:val="es-PE"/>
        </w:rPr>
      </w:pPr>
      <w:r w:rsidRPr="00716192">
        <w:rPr>
          <w:rFonts w:ascii="Arial" w:hAnsi="Arial" w:cs="Arial"/>
          <w:sz w:val="22"/>
          <w:szCs w:val="22"/>
          <w:lang w:val="es-PE"/>
        </w:rPr>
        <w:t>Estabilizar la operación y reducir la variabilidad en los procesos aguas abajo.</w:t>
      </w:r>
    </w:p>
    <w:p w14:paraId="0FA9060C" w14:textId="77777777" w:rsidR="00716192" w:rsidRPr="00716192" w:rsidRDefault="00716192" w:rsidP="00FF437D">
      <w:pPr>
        <w:spacing w:line="360" w:lineRule="auto"/>
        <w:jc w:val="both"/>
        <w:rPr>
          <w:rFonts w:ascii="Arial" w:hAnsi="Arial" w:cs="Arial"/>
          <w:sz w:val="22"/>
          <w:szCs w:val="22"/>
          <w:lang w:val="es-PE"/>
        </w:rPr>
      </w:pPr>
    </w:p>
    <w:p w14:paraId="0B3F0585" w14:textId="77777777" w:rsidR="00716192" w:rsidRDefault="00716192" w:rsidP="00FF437D">
      <w:pPr>
        <w:pStyle w:val="Prrafodelista"/>
        <w:numPr>
          <w:ilvl w:val="0"/>
          <w:numId w:val="13"/>
        </w:numPr>
        <w:spacing w:line="360" w:lineRule="auto"/>
        <w:jc w:val="both"/>
        <w:rPr>
          <w:rFonts w:ascii="Arial" w:hAnsi="Arial" w:cs="Arial"/>
          <w:sz w:val="22"/>
          <w:szCs w:val="22"/>
          <w:lang w:val="es-PE"/>
        </w:rPr>
      </w:pPr>
      <w:r w:rsidRPr="00716192">
        <w:rPr>
          <w:rFonts w:ascii="Arial" w:hAnsi="Arial" w:cs="Arial"/>
          <w:sz w:val="22"/>
          <w:szCs w:val="22"/>
          <w:lang w:val="es-PE"/>
        </w:rPr>
        <w:t>Minimizar riesgos operacionales y metalúrgicos, al reducir desviaciones inesperadas en la calidad del mineral.</w:t>
      </w:r>
    </w:p>
    <w:p w14:paraId="5E34CB65" w14:textId="77777777" w:rsidR="00716192" w:rsidRPr="00716192" w:rsidRDefault="00716192" w:rsidP="00FF437D">
      <w:pPr>
        <w:spacing w:line="360" w:lineRule="auto"/>
        <w:jc w:val="both"/>
        <w:rPr>
          <w:rFonts w:ascii="Arial" w:hAnsi="Arial" w:cs="Arial"/>
          <w:sz w:val="22"/>
          <w:szCs w:val="22"/>
          <w:lang w:val="es-PE"/>
        </w:rPr>
      </w:pPr>
    </w:p>
    <w:p w14:paraId="2168E74D" w14:textId="400E5401" w:rsidR="00CF2FFD" w:rsidRDefault="00716192" w:rsidP="00FF437D">
      <w:pPr>
        <w:pStyle w:val="Prrafodelista"/>
        <w:numPr>
          <w:ilvl w:val="0"/>
          <w:numId w:val="13"/>
        </w:numPr>
        <w:spacing w:line="360" w:lineRule="auto"/>
        <w:jc w:val="both"/>
        <w:rPr>
          <w:rFonts w:ascii="Arial" w:hAnsi="Arial" w:cs="Arial"/>
          <w:sz w:val="22"/>
          <w:szCs w:val="22"/>
          <w:lang w:val="es-PE"/>
        </w:rPr>
      </w:pPr>
      <w:r w:rsidRPr="00716192">
        <w:rPr>
          <w:rFonts w:ascii="Arial" w:hAnsi="Arial" w:cs="Arial"/>
          <w:sz w:val="22"/>
          <w:szCs w:val="22"/>
          <w:lang w:val="es-PE"/>
        </w:rPr>
        <w:t xml:space="preserve">Asegurar la calidad del producto final, cumpliendo con los estándares comerciales y contractuales. </w:t>
      </w:r>
    </w:p>
    <w:p w14:paraId="16F2BE83" w14:textId="77777777" w:rsidR="002829BD" w:rsidRPr="00716192" w:rsidRDefault="002829BD" w:rsidP="00FF437D">
      <w:pPr>
        <w:pStyle w:val="Prrafodelista"/>
        <w:spacing w:line="360" w:lineRule="auto"/>
        <w:jc w:val="both"/>
        <w:rPr>
          <w:rFonts w:ascii="Arial" w:hAnsi="Arial" w:cs="Arial"/>
          <w:sz w:val="22"/>
          <w:szCs w:val="22"/>
          <w:lang w:val="es-PE"/>
        </w:rPr>
      </w:pPr>
    </w:p>
    <w:p w14:paraId="719EA6E5" w14:textId="4FE2569B" w:rsidR="005E35E7" w:rsidRPr="000270E6" w:rsidRDefault="005E35E7" w:rsidP="00FF437D">
      <w:pPr>
        <w:spacing w:line="360" w:lineRule="auto"/>
        <w:jc w:val="both"/>
        <w:rPr>
          <w:rFonts w:ascii="Arial" w:hAnsi="Arial" w:cs="Arial"/>
          <w:b/>
          <w:bCs/>
          <w:i/>
          <w:color w:val="A6A6A6"/>
          <w:sz w:val="22"/>
          <w:szCs w:val="22"/>
          <w:lang w:val="es-PE"/>
        </w:rPr>
      </w:pPr>
      <w:r>
        <w:rPr>
          <w:rFonts w:ascii="Arial" w:hAnsi="Arial" w:cs="Arial"/>
          <w:b/>
          <w:bCs/>
          <w:i/>
          <w:noProof/>
          <w:color w:val="A6A6A6"/>
          <w:sz w:val="22"/>
          <w:szCs w:val="22"/>
          <w:lang w:val="es-PE"/>
        </w:rPr>
        <w:drawing>
          <wp:inline distT="0" distB="0" distL="0" distR="0" wp14:anchorId="2F296028" wp14:editId="4DD7F34C">
            <wp:extent cx="3204000" cy="1599177"/>
            <wp:effectExtent l="0" t="0" r="0" b="0"/>
            <wp:docPr id="207968998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04000" cy="1599177"/>
                    </a:xfrm>
                    <a:prstGeom prst="rect">
                      <a:avLst/>
                    </a:prstGeom>
                    <a:noFill/>
                  </pic:spPr>
                </pic:pic>
              </a:graphicData>
            </a:graphic>
          </wp:inline>
        </w:drawing>
      </w:r>
    </w:p>
    <w:p w14:paraId="2AFEB8B2" w14:textId="6787F887" w:rsidR="002829BD" w:rsidRDefault="00764121" w:rsidP="00FF437D">
      <w:pPr>
        <w:spacing w:line="360" w:lineRule="auto"/>
        <w:jc w:val="both"/>
        <w:rPr>
          <w:rFonts w:ascii="Arial" w:hAnsi="Arial" w:cs="Arial"/>
          <w:sz w:val="20"/>
          <w:szCs w:val="20"/>
          <w:lang w:val="es-PE"/>
        </w:rPr>
      </w:pPr>
      <w:r w:rsidRPr="009641B9">
        <w:rPr>
          <w:rFonts w:ascii="Arial" w:hAnsi="Arial" w:cs="Arial"/>
          <w:b/>
          <w:bCs/>
          <w:sz w:val="20"/>
          <w:szCs w:val="20"/>
          <w:lang w:val="es-PE"/>
        </w:rPr>
        <w:t xml:space="preserve">Gráfico </w:t>
      </w:r>
      <w:r w:rsidR="00843753">
        <w:rPr>
          <w:rFonts w:ascii="Arial" w:hAnsi="Arial" w:cs="Arial"/>
          <w:b/>
          <w:bCs/>
          <w:sz w:val="20"/>
          <w:szCs w:val="20"/>
          <w:lang w:val="es-PE"/>
        </w:rPr>
        <w:t>1</w:t>
      </w:r>
      <w:r w:rsidR="00742311">
        <w:rPr>
          <w:rFonts w:ascii="Arial" w:hAnsi="Arial" w:cs="Arial"/>
          <w:b/>
          <w:bCs/>
          <w:sz w:val="20"/>
          <w:szCs w:val="20"/>
          <w:lang w:val="es-PE"/>
        </w:rPr>
        <w:t>4</w:t>
      </w:r>
      <w:r>
        <w:rPr>
          <w:rFonts w:ascii="Arial" w:hAnsi="Arial" w:cs="Arial"/>
          <w:b/>
          <w:bCs/>
          <w:sz w:val="20"/>
          <w:szCs w:val="20"/>
          <w:lang w:val="es-PE"/>
        </w:rPr>
        <w:t xml:space="preserve">. </w:t>
      </w:r>
      <w:r w:rsidR="00D04AEF">
        <w:rPr>
          <w:rFonts w:ascii="Arial" w:hAnsi="Arial" w:cs="Arial"/>
          <w:sz w:val="20"/>
          <w:szCs w:val="20"/>
          <w:lang w:val="es-PE"/>
        </w:rPr>
        <w:t xml:space="preserve">Ley </w:t>
      </w:r>
      <w:r w:rsidR="00A547AD">
        <w:rPr>
          <w:rFonts w:ascii="Arial" w:hAnsi="Arial" w:cs="Arial"/>
          <w:sz w:val="20"/>
          <w:szCs w:val="20"/>
          <w:lang w:val="es-PE"/>
        </w:rPr>
        <w:t xml:space="preserve">reportada en los compósitos de cada 3 horas (línea negra) </w:t>
      </w:r>
      <w:r w:rsidR="00742311">
        <w:rPr>
          <w:rFonts w:ascii="Arial" w:hAnsi="Arial" w:cs="Arial"/>
          <w:sz w:val="20"/>
          <w:szCs w:val="20"/>
          <w:lang w:val="es-PE"/>
        </w:rPr>
        <w:t>y límites</w:t>
      </w:r>
      <w:r w:rsidR="00A547AD">
        <w:rPr>
          <w:rFonts w:ascii="Arial" w:hAnsi="Arial" w:cs="Arial"/>
          <w:sz w:val="20"/>
          <w:szCs w:val="20"/>
          <w:lang w:val="es-PE"/>
        </w:rPr>
        <w:t xml:space="preserve"> de</w:t>
      </w:r>
      <w:r w:rsidR="00E73A25">
        <w:rPr>
          <w:rFonts w:ascii="Arial" w:hAnsi="Arial" w:cs="Arial"/>
          <w:sz w:val="20"/>
          <w:szCs w:val="20"/>
          <w:lang w:val="es-PE"/>
        </w:rPr>
        <w:t>l rango de</w:t>
      </w:r>
      <w:r w:rsidR="00A547AD">
        <w:rPr>
          <w:rFonts w:ascii="Arial" w:hAnsi="Arial" w:cs="Arial"/>
          <w:sz w:val="20"/>
          <w:szCs w:val="20"/>
          <w:lang w:val="es-PE"/>
        </w:rPr>
        <w:t xml:space="preserve"> variabilidad aceptada (línea</w:t>
      </w:r>
      <w:r w:rsidR="00E73A25">
        <w:rPr>
          <w:rFonts w:ascii="Arial" w:hAnsi="Arial" w:cs="Arial"/>
          <w:sz w:val="20"/>
          <w:szCs w:val="20"/>
          <w:lang w:val="es-PE"/>
        </w:rPr>
        <w:t xml:space="preserve"> naranja)</w:t>
      </w:r>
    </w:p>
    <w:p w14:paraId="002C7898" w14:textId="77777777" w:rsidR="00E77D13" w:rsidRPr="000270E6" w:rsidRDefault="00E77D13" w:rsidP="00FF437D">
      <w:pPr>
        <w:spacing w:line="360" w:lineRule="auto"/>
        <w:jc w:val="both"/>
        <w:rPr>
          <w:rFonts w:ascii="Arial" w:hAnsi="Arial" w:cs="Arial"/>
          <w:bCs/>
          <w:sz w:val="22"/>
          <w:szCs w:val="22"/>
          <w:lang w:val="es-PE"/>
        </w:rPr>
      </w:pPr>
    </w:p>
    <w:p w14:paraId="451B031C" w14:textId="0EE3E4A0" w:rsidR="008C3927" w:rsidRPr="000270E6" w:rsidRDefault="00F857C3" w:rsidP="00FF437D">
      <w:pPr>
        <w:spacing w:line="360" w:lineRule="auto"/>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FF437D">
      <w:pPr>
        <w:spacing w:line="360" w:lineRule="auto"/>
        <w:jc w:val="both"/>
        <w:rPr>
          <w:rFonts w:ascii="Arial" w:hAnsi="Arial" w:cs="Arial"/>
          <w:b/>
          <w:bCs/>
          <w:sz w:val="22"/>
          <w:szCs w:val="22"/>
          <w:lang w:val="es-PE"/>
        </w:rPr>
      </w:pPr>
    </w:p>
    <w:p w14:paraId="4082F49F" w14:textId="051FBDD5" w:rsidR="00A41E09" w:rsidRDefault="00A41E09" w:rsidP="00FF437D">
      <w:pPr>
        <w:pStyle w:val="Prrafodelista"/>
        <w:numPr>
          <w:ilvl w:val="0"/>
          <w:numId w:val="5"/>
        </w:numPr>
        <w:spacing w:line="360" w:lineRule="auto"/>
        <w:ind w:left="284" w:hanging="284"/>
        <w:jc w:val="both"/>
        <w:rPr>
          <w:rFonts w:ascii="Arial" w:hAnsi="Arial" w:cs="Arial"/>
          <w:bCs/>
          <w:sz w:val="22"/>
          <w:szCs w:val="22"/>
          <w:lang w:val="es-PE"/>
        </w:rPr>
      </w:pPr>
      <w:r w:rsidRPr="00A41E09">
        <w:rPr>
          <w:rFonts w:ascii="Arial" w:hAnsi="Arial" w:cs="Arial"/>
          <w:bCs/>
          <w:sz w:val="22"/>
          <w:szCs w:val="22"/>
          <w:lang w:val="es-PE"/>
        </w:rPr>
        <w:t>Un sistema de control de stocks basado en tecnología moderna es clave para maximizar el valor del mineral y minimizar pérdidas de producción.</w:t>
      </w:r>
    </w:p>
    <w:p w14:paraId="08CD4A39" w14:textId="77777777" w:rsidR="00A41E09" w:rsidRPr="00A41E09" w:rsidRDefault="00A41E09" w:rsidP="00FF437D">
      <w:pPr>
        <w:pStyle w:val="Prrafodelista"/>
        <w:spacing w:line="360" w:lineRule="auto"/>
        <w:ind w:left="284"/>
        <w:jc w:val="both"/>
        <w:rPr>
          <w:rFonts w:ascii="Arial" w:hAnsi="Arial" w:cs="Arial"/>
          <w:bCs/>
          <w:sz w:val="22"/>
          <w:szCs w:val="22"/>
          <w:lang w:val="es-PE"/>
        </w:rPr>
      </w:pPr>
    </w:p>
    <w:p w14:paraId="7AEF3D5E" w14:textId="65DBBD36" w:rsidR="00A41E09" w:rsidRDefault="00A41E09" w:rsidP="00FF437D">
      <w:pPr>
        <w:pStyle w:val="Prrafodelista"/>
        <w:numPr>
          <w:ilvl w:val="0"/>
          <w:numId w:val="5"/>
        </w:numPr>
        <w:spacing w:line="360" w:lineRule="auto"/>
        <w:ind w:left="284" w:hanging="284"/>
        <w:jc w:val="both"/>
        <w:rPr>
          <w:rFonts w:ascii="Arial" w:hAnsi="Arial" w:cs="Arial"/>
          <w:bCs/>
          <w:sz w:val="22"/>
          <w:szCs w:val="22"/>
          <w:lang w:val="es-PE"/>
        </w:rPr>
      </w:pPr>
      <w:r w:rsidRPr="00A41E09">
        <w:rPr>
          <w:rFonts w:ascii="Arial" w:hAnsi="Arial" w:cs="Arial"/>
          <w:bCs/>
          <w:sz w:val="22"/>
          <w:szCs w:val="22"/>
          <w:lang w:val="es-PE"/>
        </w:rPr>
        <w:t>Se recomienda integrar el control de stocks al sistema de planificación y control de planta para asegurar la continuidad operativa.</w:t>
      </w:r>
    </w:p>
    <w:p w14:paraId="4646AE77" w14:textId="77777777" w:rsidR="00A41E09" w:rsidRPr="00A41E09" w:rsidRDefault="00A41E09" w:rsidP="00FF437D">
      <w:pPr>
        <w:spacing w:line="360" w:lineRule="auto"/>
        <w:jc w:val="both"/>
        <w:rPr>
          <w:rFonts w:ascii="Arial" w:hAnsi="Arial" w:cs="Arial"/>
          <w:bCs/>
          <w:sz w:val="22"/>
          <w:szCs w:val="22"/>
          <w:lang w:val="es-PE"/>
        </w:rPr>
      </w:pPr>
    </w:p>
    <w:p w14:paraId="00E36018" w14:textId="2E7D7CD0" w:rsidR="00A41E09" w:rsidRPr="002829BD" w:rsidRDefault="00A41E09" w:rsidP="00FF437D">
      <w:pPr>
        <w:pStyle w:val="Prrafodelista"/>
        <w:numPr>
          <w:ilvl w:val="0"/>
          <w:numId w:val="5"/>
        </w:numPr>
        <w:spacing w:line="360" w:lineRule="auto"/>
        <w:ind w:left="284" w:hanging="284"/>
        <w:jc w:val="both"/>
        <w:rPr>
          <w:rFonts w:ascii="Arial" w:hAnsi="Arial" w:cs="Arial"/>
          <w:b/>
          <w:bCs/>
          <w:sz w:val="22"/>
          <w:szCs w:val="22"/>
          <w:lang w:val="es-PE"/>
        </w:rPr>
      </w:pPr>
      <w:r w:rsidRPr="00A41E09">
        <w:rPr>
          <w:rFonts w:ascii="Arial" w:hAnsi="Arial" w:cs="Arial"/>
          <w:bCs/>
          <w:sz w:val="22"/>
          <w:szCs w:val="22"/>
          <w:lang w:val="es-PE"/>
        </w:rPr>
        <w:t>La experiencia de Marcobre puede servir como modelo de referencia para otras operaciones mineras que buscan optimizar su gestión de inventarios de mineral.</w:t>
      </w:r>
    </w:p>
    <w:p w14:paraId="5A4EE2AB" w14:textId="62F08EF6" w:rsidR="002D1C36" w:rsidRPr="000270E6" w:rsidRDefault="002D1C36" w:rsidP="00FF437D">
      <w:pPr>
        <w:spacing w:line="360" w:lineRule="auto"/>
        <w:jc w:val="both"/>
        <w:rPr>
          <w:rFonts w:ascii="Arial" w:hAnsi="Arial" w:cs="Arial"/>
          <w:bCs/>
          <w:sz w:val="22"/>
          <w:szCs w:val="22"/>
          <w:lang w:val="es-PE"/>
        </w:rPr>
      </w:pPr>
    </w:p>
    <w:p w14:paraId="0346E950" w14:textId="183ED518" w:rsidR="006178C0" w:rsidRPr="000270E6" w:rsidRDefault="007E4BD6" w:rsidP="00FF437D">
      <w:pPr>
        <w:spacing w:line="360" w:lineRule="auto"/>
        <w:jc w:val="both"/>
        <w:rPr>
          <w:rFonts w:ascii="Arial" w:hAnsi="Arial" w:cs="Arial"/>
          <w:b/>
          <w:bCs/>
          <w:sz w:val="22"/>
          <w:szCs w:val="22"/>
          <w:lang w:val="es-PE"/>
        </w:rPr>
      </w:pPr>
      <w:r>
        <w:rPr>
          <w:rFonts w:ascii="Arial" w:hAnsi="Arial" w:cs="Arial"/>
          <w:b/>
          <w:bCs/>
          <w:sz w:val="22"/>
          <w:szCs w:val="22"/>
          <w:lang w:val="es-PE"/>
        </w:rPr>
        <w:t>6</w:t>
      </w:r>
      <w:r w:rsidR="00EC5D28" w:rsidRPr="000270E6">
        <w:rPr>
          <w:rFonts w:ascii="Arial" w:hAnsi="Arial" w:cs="Arial"/>
          <w:b/>
          <w:bCs/>
          <w:sz w:val="22"/>
          <w:szCs w:val="22"/>
          <w:lang w:val="es-PE"/>
        </w:rPr>
        <w:t xml:space="preserve">. </w:t>
      </w:r>
      <w:r w:rsidR="00180629" w:rsidRPr="000270E6">
        <w:rPr>
          <w:rFonts w:ascii="Arial" w:hAnsi="Arial" w:cs="Arial"/>
          <w:b/>
          <w:bCs/>
          <w:sz w:val="22"/>
          <w:szCs w:val="22"/>
          <w:lang w:val="es-PE"/>
        </w:rPr>
        <w:t>Referencias bibliográficas</w:t>
      </w:r>
    </w:p>
    <w:p w14:paraId="52714C79" w14:textId="77777777" w:rsidR="006178C0" w:rsidRPr="000270E6" w:rsidRDefault="006178C0" w:rsidP="00FF437D">
      <w:pPr>
        <w:spacing w:line="360" w:lineRule="auto"/>
        <w:jc w:val="both"/>
        <w:rPr>
          <w:rFonts w:ascii="Arial" w:hAnsi="Arial" w:cs="Arial"/>
          <w:b/>
          <w:bCs/>
          <w:sz w:val="22"/>
          <w:szCs w:val="22"/>
          <w:lang w:val="es-PE"/>
        </w:rPr>
      </w:pPr>
    </w:p>
    <w:p w14:paraId="6E5D7AF2" w14:textId="77777777" w:rsidR="0091472D" w:rsidRDefault="00255170" w:rsidP="00FF437D">
      <w:pPr>
        <w:spacing w:line="360" w:lineRule="auto"/>
        <w:ind w:left="142" w:hanging="142"/>
        <w:jc w:val="both"/>
        <w:rPr>
          <w:rFonts w:ascii="Arial" w:hAnsi="Arial" w:cs="Arial"/>
          <w:bCs/>
          <w:sz w:val="22"/>
          <w:szCs w:val="22"/>
          <w:lang w:val="es-PE"/>
        </w:rPr>
      </w:pPr>
      <w:r>
        <w:rPr>
          <w:rFonts w:ascii="Arial" w:hAnsi="Arial" w:cs="Arial"/>
          <w:bCs/>
          <w:sz w:val="22"/>
          <w:szCs w:val="22"/>
          <w:lang w:val="es-PE"/>
        </w:rPr>
        <w:t>H</w:t>
      </w:r>
      <w:r w:rsidRPr="00255170">
        <w:rPr>
          <w:rFonts w:ascii="Arial" w:hAnsi="Arial" w:cs="Arial"/>
          <w:bCs/>
          <w:sz w:val="22"/>
          <w:szCs w:val="22"/>
          <w:lang w:val="es-PE"/>
        </w:rPr>
        <w:t>ustrulid, W.A.</w:t>
      </w:r>
      <w:r w:rsidR="00E042E6">
        <w:rPr>
          <w:rFonts w:ascii="Arial" w:hAnsi="Arial" w:cs="Arial"/>
          <w:bCs/>
          <w:sz w:val="22"/>
          <w:szCs w:val="22"/>
          <w:lang w:val="es-PE"/>
        </w:rPr>
        <w:t xml:space="preserve"> 2013.</w:t>
      </w:r>
      <w:r w:rsidRPr="00255170">
        <w:rPr>
          <w:rFonts w:ascii="Arial" w:hAnsi="Arial" w:cs="Arial"/>
          <w:bCs/>
          <w:sz w:val="22"/>
          <w:szCs w:val="22"/>
          <w:lang w:val="es-PE"/>
        </w:rPr>
        <w:t xml:space="preserve"> Open Pit Mine Planning &amp; Design, 3rd ed.</w:t>
      </w:r>
    </w:p>
    <w:p w14:paraId="787DDCFF" w14:textId="77777777" w:rsidR="0091472D" w:rsidRDefault="0091472D" w:rsidP="00FF437D">
      <w:pPr>
        <w:spacing w:line="360" w:lineRule="auto"/>
        <w:ind w:left="142" w:hanging="142"/>
        <w:jc w:val="both"/>
        <w:rPr>
          <w:rFonts w:ascii="Arial" w:hAnsi="Arial" w:cs="Arial"/>
          <w:bCs/>
          <w:sz w:val="22"/>
          <w:szCs w:val="22"/>
          <w:lang w:val="es-PE"/>
        </w:rPr>
      </w:pPr>
    </w:p>
    <w:p w14:paraId="6E961282" w14:textId="5378BE05" w:rsidR="00255170" w:rsidRPr="00255170" w:rsidRDefault="0091472D" w:rsidP="00FF437D">
      <w:pPr>
        <w:spacing w:line="360" w:lineRule="auto"/>
        <w:ind w:left="142" w:hanging="142"/>
        <w:jc w:val="both"/>
        <w:rPr>
          <w:rFonts w:ascii="Arial" w:hAnsi="Arial" w:cs="Arial"/>
          <w:bCs/>
          <w:sz w:val="22"/>
          <w:szCs w:val="22"/>
          <w:lang w:val="es-PE"/>
        </w:rPr>
      </w:pPr>
      <w:r w:rsidRPr="0091472D">
        <w:rPr>
          <w:rFonts w:ascii="Arial" w:hAnsi="Arial" w:cs="Arial"/>
          <w:bCs/>
          <w:sz w:val="22"/>
          <w:szCs w:val="22"/>
        </w:rPr>
        <w:t>Young, A.</w:t>
      </w:r>
      <w:r w:rsidR="00FC74F3">
        <w:rPr>
          <w:rFonts w:ascii="Arial" w:hAnsi="Arial" w:cs="Arial"/>
          <w:bCs/>
          <w:sz w:val="22"/>
          <w:szCs w:val="22"/>
        </w:rPr>
        <w:t>,</w:t>
      </w:r>
      <w:r w:rsidRPr="0091472D">
        <w:rPr>
          <w:rFonts w:ascii="Arial" w:hAnsi="Arial" w:cs="Arial"/>
          <w:bCs/>
          <w:sz w:val="22"/>
          <w:szCs w:val="22"/>
        </w:rPr>
        <w:t xml:space="preserve"> Rogers, W.P.</w:t>
      </w:r>
      <w:r w:rsidR="00C85891">
        <w:rPr>
          <w:rFonts w:ascii="Arial" w:hAnsi="Arial" w:cs="Arial"/>
          <w:bCs/>
          <w:sz w:val="22"/>
          <w:szCs w:val="22"/>
        </w:rPr>
        <w:t xml:space="preserve"> 2021.</w:t>
      </w:r>
      <w:r w:rsidRPr="0091472D">
        <w:rPr>
          <w:rFonts w:ascii="Arial" w:hAnsi="Arial" w:cs="Arial"/>
          <w:bCs/>
          <w:sz w:val="22"/>
          <w:szCs w:val="22"/>
        </w:rPr>
        <w:t xml:space="preserve"> Modelling Large Heaped Fill Stockpiles Using FMS Data. Minerals</w:t>
      </w:r>
    </w:p>
    <w:p w14:paraId="2580DF3E" w14:textId="77777777" w:rsidR="00BC5D9F" w:rsidRDefault="00BC5D9F" w:rsidP="00FF437D">
      <w:pPr>
        <w:spacing w:line="360" w:lineRule="auto"/>
        <w:jc w:val="both"/>
        <w:rPr>
          <w:rFonts w:ascii="Arial" w:hAnsi="Arial" w:cs="Arial"/>
          <w:bCs/>
          <w:sz w:val="22"/>
          <w:szCs w:val="22"/>
          <w:lang w:val="es-PE"/>
        </w:rPr>
      </w:pPr>
    </w:p>
    <w:p w14:paraId="1215344E" w14:textId="77777777" w:rsidR="00BC5D9F" w:rsidRPr="000270E6" w:rsidRDefault="00BC5D9F" w:rsidP="00FF437D">
      <w:pPr>
        <w:spacing w:line="360" w:lineRule="auto"/>
        <w:jc w:val="both"/>
        <w:rPr>
          <w:rFonts w:ascii="Arial" w:hAnsi="Arial" w:cs="Arial"/>
          <w:bCs/>
          <w:sz w:val="22"/>
          <w:szCs w:val="22"/>
          <w:lang w:val="es-PE"/>
        </w:rPr>
        <w:sectPr w:rsidR="00BC5D9F" w:rsidRPr="000270E6" w:rsidSect="00D34811">
          <w:type w:val="continuous"/>
          <w:pgSz w:w="11900" w:h="16840"/>
          <w:pgMar w:top="1134" w:right="680" w:bottom="964" w:left="851" w:header="680" w:footer="567" w:gutter="0"/>
          <w:cols w:num="2" w:space="397"/>
          <w:docGrid w:linePitch="360"/>
        </w:sectPr>
      </w:pPr>
    </w:p>
    <w:p w14:paraId="5F757B9E" w14:textId="582F4B4C" w:rsidR="002829BD" w:rsidRPr="002829BD" w:rsidRDefault="002829BD" w:rsidP="00FF437D">
      <w:pPr>
        <w:tabs>
          <w:tab w:val="left" w:pos="6463"/>
        </w:tabs>
        <w:spacing w:line="360" w:lineRule="auto"/>
        <w:rPr>
          <w:rFonts w:ascii="Arial" w:hAnsi="Arial" w:cs="Arial"/>
          <w:sz w:val="22"/>
          <w:szCs w:val="22"/>
          <w:lang w:val="es-PE"/>
        </w:rPr>
      </w:pPr>
    </w:p>
    <w:sectPr w:rsidR="002829BD" w:rsidRPr="002829BD"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95CDF" w14:textId="77777777" w:rsidR="00765A75" w:rsidRDefault="00765A75" w:rsidP="004D469A">
      <w:r>
        <w:separator/>
      </w:r>
    </w:p>
  </w:endnote>
  <w:endnote w:type="continuationSeparator" w:id="0">
    <w:p w14:paraId="3C6F6CED" w14:textId="77777777" w:rsidR="00765A75" w:rsidRDefault="00765A75"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62D29" w14:textId="77777777" w:rsidR="00765A75" w:rsidRDefault="00765A75" w:rsidP="004D469A">
      <w:r>
        <w:separator/>
      </w:r>
    </w:p>
  </w:footnote>
  <w:footnote w:type="continuationSeparator" w:id="0">
    <w:p w14:paraId="6CEBA553" w14:textId="77777777" w:rsidR="00765A75" w:rsidRDefault="00765A75"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AC5"/>
    <w:multiLevelType w:val="hybridMultilevel"/>
    <w:tmpl w:val="C44069FA"/>
    <w:lvl w:ilvl="0" w:tplc="E53E3586">
      <w:numFmt w:val="bullet"/>
      <w:lvlText w:val="•"/>
      <w:lvlJc w:val="left"/>
      <w:pPr>
        <w:ind w:left="1065" w:hanging="705"/>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58D2856"/>
    <w:multiLevelType w:val="hybridMultilevel"/>
    <w:tmpl w:val="689EF60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8263B8B"/>
    <w:multiLevelType w:val="hybridMultilevel"/>
    <w:tmpl w:val="A58A0D0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2770398"/>
    <w:multiLevelType w:val="hybridMultilevel"/>
    <w:tmpl w:val="341ED1C0"/>
    <w:lvl w:ilvl="0" w:tplc="E53E3586">
      <w:numFmt w:val="bullet"/>
      <w:lvlText w:val="•"/>
      <w:lvlJc w:val="left"/>
      <w:pPr>
        <w:ind w:left="1065" w:hanging="705"/>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70423B0"/>
    <w:multiLevelType w:val="hybridMultilevel"/>
    <w:tmpl w:val="978C445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4713E2E"/>
    <w:multiLevelType w:val="hybridMultilevel"/>
    <w:tmpl w:val="4014C6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CA03AC2"/>
    <w:multiLevelType w:val="hybridMultilevel"/>
    <w:tmpl w:val="28D83B06"/>
    <w:lvl w:ilvl="0" w:tplc="22B24FEA">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7173970"/>
    <w:multiLevelType w:val="hybridMultilevel"/>
    <w:tmpl w:val="756E5AA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8820747"/>
    <w:multiLevelType w:val="hybridMultilevel"/>
    <w:tmpl w:val="A9DAAF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8DF56B2"/>
    <w:multiLevelType w:val="hybridMultilevel"/>
    <w:tmpl w:val="7DF8315E"/>
    <w:lvl w:ilvl="0" w:tplc="22B24FEA">
      <w:start w:val="2"/>
      <w:numFmt w:val="bullet"/>
      <w:lvlText w:val="-"/>
      <w:lvlJc w:val="left"/>
      <w:pPr>
        <w:ind w:left="720" w:hanging="360"/>
      </w:pPr>
      <w:rPr>
        <w:rFonts w:ascii="Arial" w:eastAsia="MS Mincho"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BC978C4"/>
    <w:multiLevelType w:val="hybridMultilevel"/>
    <w:tmpl w:val="A31A8B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9FA7999"/>
    <w:multiLevelType w:val="hybridMultilevel"/>
    <w:tmpl w:val="867CA1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2045447244">
    <w:abstractNumId w:val="11"/>
  </w:num>
  <w:num w:numId="2" w16cid:durableId="1024526509">
    <w:abstractNumId w:val="6"/>
  </w:num>
  <w:num w:numId="3" w16cid:durableId="18169865">
    <w:abstractNumId w:val="9"/>
  </w:num>
  <w:num w:numId="4" w16cid:durableId="1399137124">
    <w:abstractNumId w:val="0"/>
  </w:num>
  <w:num w:numId="5" w16cid:durableId="534196120">
    <w:abstractNumId w:val="3"/>
  </w:num>
  <w:num w:numId="6" w16cid:durableId="1607889127">
    <w:abstractNumId w:val="4"/>
  </w:num>
  <w:num w:numId="7" w16cid:durableId="1765880444">
    <w:abstractNumId w:val="12"/>
  </w:num>
  <w:num w:numId="8" w16cid:durableId="2136558444">
    <w:abstractNumId w:val="7"/>
  </w:num>
  <w:num w:numId="9" w16cid:durableId="1777141446">
    <w:abstractNumId w:val="2"/>
  </w:num>
  <w:num w:numId="10" w16cid:durableId="217938632">
    <w:abstractNumId w:val="5"/>
  </w:num>
  <w:num w:numId="11" w16cid:durableId="2091661034">
    <w:abstractNumId w:val="10"/>
  </w:num>
  <w:num w:numId="12" w16cid:durableId="2138720912">
    <w:abstractNumId w:val="8"/>
  </w:num>
  <w:num w:numId="13" w16cid:durableId="464005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3D75"/>
    <w:rsid w:val="00010365"/>
    <w:rsid w:val="0001128C"/>
    <w:rsid w:val="00013E2D"/>
    <w:rsid w:val="000223C4"/>
    <w:rsid w:val="00025DD9"/>
    <w:rsid w:val="000270E6"/>
    <w:rsid w:val="00032E53"/>
    <w:rsid w:val="00043316"/>
    <w:rsid w:val="00047A63"/>
    <w:rsid w:val="00051928"/>
    <w:rsid w:val="00054D3D"/>
    <w:rsid w:val="00055F85"/>
    <w:rsid w:val="00057373"/>
    <w:rsid w:val="00060C98"/>
    <w:rsid w:val="00064AC5"/>
    <w:rsid w:val="000703C0"/>
    <w:rsid w:val="000754A6"/>
    <w:rsid w:val="0009392A"/>
    <w:rsid w:val="00093AB5"/>
    <w:rsid w:val="000958F6"/>
    <w:rsid w:val="000A177C"/>
    <w:rsid w:val="000A599E"/>
    <w:rsid w:val="000B2ADA"/>
    <w:rsid w:val="000B39B6"/>
    <w:rsid w:val="000B3D7C"/>
    <w:rsid w:val="000B54FF"/>
    <w:rsid w:val="000B788F"/>
    <w:rsid w:val="000C5A2B"/>
    <w:rsid w:val="000D0B73"/>
    <w:rsid w:val="000D0D3A"/>
    <w:rsid w:val="000D2C02"/>
    <w:rsid w:val="000D40EB"/>
    <w:rsid w:val="000D638E"/>
    <w:rsid w:val="000E010F"/>
    <w:rsid w:val="000F3514"/>
    <w:rsid w:val="001026F5"/>
    <w:rsid w:val="001053D1"/>
    <w:rsid w:val="001165BD"/>
    <w:rsid w:val="001179B3"/>
    <w:rsid w:val="00122023"/>
    <w:rsid w:val="00122588"/>
    <w:rsid w:val="00125426"/>
    <w:rsid w:val="00134BD0"/>
    <w:rsid w:val="00140898"/>
    <w:rsid w:val="001433A4"/>
    <w:rsid w:val="001450EA"/>
    <w:rsid w:val="00156239"/>
    <w:rsid w:val="001635D4"/>
    <w:rsid w:val="001648A0"/>
    <w:rsid w:val="001653D2"/>
    <w:rsid w:val="001667FA"/>
    <w:rsid w:val="00170607"/>
    <w:rsid w:val="00171F5D"/>
    <w:rsid w:val="00172596"/>
    <w:rsid w:val="00180629"/>
    <w:rsid w:val="0018131B"/>
    <w:rsid w:val="0018216B"/>
    <w:rsid w:val="00183AE8"/>
    <w:rsid w:val="00191841"/>
    <w:rsid w:val="001928B8"/>
    <w:rsid w:val="00194652"/>
    <w:rsid w:val="001A607C"/>
    <w:rsid w:val="001A64B3"/>
    <w:rsid w:val="001B238B"/>
    <w:rsid w:val="001B2427"/>
    <w:rsid w:val="001B3D61"/>
    <w:rsid w:val="001C07AE"/>
    <w:rsid w:val="001C18AC"/>
    <w:rsid w:val="001D0826"/>
    <w:rsid w:val="001D1841"/>
    <w:rsid w:val="001D2096"/>
    <w:rsid w:val="001D5AA2"/>
    <w:rsid w:val="001E13F1"/>
    <w:rsid w:val="001E1768"/>
    <w:rsid w:val="001E6D6B"/>
    <w:rsid w:val="001E7DD1"/>
    <w:rsid w:val="001F0B1A"/>
    <w:rsid w:val="001F29ED"/>
    <w:rsid w:val="001F63C4"/>
    <w:rsid w:val="001F7167"/>
    <w:rsid w:val="001F7551"/>
    <w:rsid w:val="00205A18"/>
    <w:rsid w:val="00210BB5"/>
    <w:rsid w:val="00215DBF"/>
    <w:rsid w:val="002201FE"/>
    <w:rsid w:val="00232224"/>
    <w:rsid w:val="00234D50"/>
    <w:rsid w:val="002355AD"/>
    <w:rsid w:val="002358BA"/>
    <w:rsid w:val="002419CB"/>
    <w:rsid w:val="00243018"/>
    <w:rsid w:val="00244268"/>
    <w:rsid w:val="002525E1"/>
    <w:rsid w:val="00255170"/>
    <w:rsid w:val="002557BA"/>
    <w:rsid w:val="00257914"/>
    <w:rsid w:val="002641B3"/>
    <w:rsid w:val="0027176C"/>
    <w:rsid w:val="00275CC0"/>
    <w:rsid w:val="002829BD"/>
    <w:rsid w:val="0028335F"/>
    <w:rsid w:val="00286ABD"/>
    <w:rsid w:val="00287B82"/>
    <w:rsid w:val="00290CBC"/>
    <w:rsid w:val="00290FD5"/>
    <w:rsid w:val="002A1B44"/>
    <w:rsid w:val="002A29DF"/>
    <w:rsid w:val="002A4B76"/>
    <w:rsid w:val="002A507C"/>
    <w:rsid w:val="002A5DFE"/>
    <w:rsid w:val="002A5E07"/>
    <w:rsid w:val="002A6F10"/>
    <w:rsid w:val="002A7464"/>
    <w:rsid w:val="002A766D"/>
    <w:rsid w:val="002B26C7"/>
    <w:rsid w:val="002B5475"/>
    <w:rsid w:val="002C09A8"/>
    <w:rsid w:val="002C3EBB"/>
    <w:rsid w:val="002C4545"/>
    <w:rsid w:val="002C4716"/>
    <w:rsid w:val="002D1C36"/>
    <w:rsid w:val="002D240B"/>
    <w:rsid w:val="002D7F45"/>
    <w:rsid w:val="002E0C8E"/>
    <w:rsid w:val="002E4332"/>
    <w:rsid w:val="002F6247"/>
    <w:rsid w:val="002F6BC5"/>
    <w:rsid w:val="00300F4C"/>
    <w:rsid w:val="00302E74"/>
    <w:rsid w:val="00307578"/>
    <w:rsid w:val="00314F9E"/>
    <w:rsid w:val="0032470F"/>
    <w:rsid w:val="00324786"/>
    <w:rsid w:val="0032543F"/>
    <w:rsid w:val="00326213"/>
    <w:rsid w:val="003264B9"/>
    <w:rsid w:val="00333BBB"/>
    <w:rsid w:val="00335A7E"/>
    <w:rsid w:val="00337295"/>
    <w:rsid w:val="003442BE"/>
    <w:rsid w:val="00344C46"/>
    <w:rsid w:val="00354849"/>
    <w:rsid w:val="003608C3"/>
    <w:rsid w:val="00363841"/>
    <w:rsid w:val="0036489F"/>
    <w:rsid w:val="003670B0"/>
    <w:rsid w:val="00367620"/>
    <w:rsid w:val="00367FB1"/>
    <w:rsid w:val="00373C07"/>
    <w:rsid w:val="00376029"/>
    <w:rsid w:val="00376FD6"/>
    <w:rsid w:val="00381D7F"/>
    <w:rsid w:val="003848AF"/>
    <w:rsid w:val="003938F7"/>
    <w:rsid w:val="00395234"/>
    <w:rsid w:val="003A0118"/>
    <w:rsid w:val="003A1817"/>
    <w:rsid w:val="003B66C8"/>
    <w:rsid w:val="003B6E44"/>
    <w:rsid w:val="003C6D44"/>
    <w:rsid w:val="003C73B2"/>
    <w:rsid w:val="003D271C"/>
    <w:rsid w:val="003D3A4A"/>
    <w:rsid w:val="003D3A5F"/>
    <w:rsid w:val="003E03D8"/>
    <w:rsid w:val="003E3086"/>
    <w:rsid w:val="003F080D"/>
    <w:rsid w:val="003F253B"/>
    <w:rsid w:val="003F2CF3"/>
    <w:rsid w:val="00400D91"/>
    <w:rsid w:val="00404303"/>
    <w:rsid w:val="0040606A"/>
    <w:rsid w:val="00406DED"/>
    <w:rsid w:val="00407A81"/>
    <w:rsid w:val="00410ABB"/>
    <w:rsid w:val="00422419"/>
    <w:rsid w:val="00424F9C"/>
    <w:rsid w:val="00427100"/>
    <w:rsid w:val="004329A1"/>
    <w:rsid w:val="0043413E"/>
    <w:rsid w:val="00436119"/>
    <w:rsid w:val="00437503"/>
    <w:rsid w:val="00441B34"/>
    <w:rsid w:val="00443253"/>
    <w:rsid w:val="004453C9"/>
    <w:rsid w:val="00445BC3"/>
    <w:rsid w:val="00446E15"/>
    <w:rsid w:val="00452B9E"/>
    <w:rsid w:val="00452C25"/>
    <w:rsid w:val="0045750A"/>
    <w:rsid w:val="00460D0B"/>
    <w:rsid w:val="004610AF"/>
    <w:rsid w:val="00482C5F"/>
    <w:rsid w:val="00482F62"/>
    <w:rsid w:val="00486035"/>
    <w:rsid w:val="0048618E"/>
    <w:rsid w:val="0049178A"/>
    <w:rsid w:val="00493C85"/>
    <w:rsid w:val="00493FD2"/>
    <w:rsid w:val="00497D96"/>
    <w:rsid w:val="004A00B7"/>
    <w:rsid w:val="004A163F"/>
    <w:rsid w:val="004A3665"/>
    <w:rsid w:val="004A7A66"/>
    <w:rsid w:val="004B1948"/>
    <w:rsid w:val="004B4A18"/>
    <w:rsid w:val="004B4C0C"/>
    <w:rsid w:val="004B5FEB"/>
    <w:rsid w:val="004C0562"/>
    <w:rsid w:val="004C1101"/>
    <w:rsid w:val="004C36EA"/>
    <w:rsid w:val="004C3B69"/>
    <w:rsid w:val="004C7F4A"/>
    <w:rsid w:val="004D0689"/>
    <w:rsid w:val="004D0BDC"/>
    <w:rsid w:val="004D469A"/>
    <w:rsid w:val="004D59AC"/>
    <w:rsid w:val="004E233B"/>
    <w:rsid w:val="004E7802"/>
    <w:rsid w:val="004F5809"/>
    <w:rsid w:val="004F5DC3"/>
    <w:rsid w:val="004F6ABF"/>
    <w:rsid w:val="00502F06"/>
    <w:rsid w:val="005036EF"/>
    <w:rsid w:val="00511B38"/>
    <w:rsid w:val="005141CF"/>
    <w:rsid w:val="00517BC3"/>
    <w:rsid w:val="005200B7"/>
    <w:rsid w:val="005218B6"/>
    <w:rsid w:val="00522C8C"/>
    <w:rsid w:val="005262AE"/>
    <w:rsid w:val="00537488"/>
    <w:rsid w:val="005505E2"/>
    <w:rsid w:val="005631EB"/>
    <w:rsid w:val="0057202A"/>
    <w:rsid w:val="00574FF0"/>
    <w:rsid w:val="00585AE7"/>
    <w:rsid w:val="00586513"/>
    <w:rsid w:val="00594F26"/>
    <w:rsid w:val="005A352B"/>
    <w:rsid w:val="005B08EB"/>
    <w:rsid w:val="005B2CF8"/>
    <w:rsid w:val="005B6EF2"/>
    <w:rsid w:val="005B7FED"/>
    <w:rsid w:val="005D673A"/>
    <w:rsid w:val="005E0420"/>
    <w:rsid w:val="005E35E7"/>
    <w:rsid w:val="005E3684"/>
    <w:rsid w:val="005E66D6"/>
    <w:rsid w:val="005E6F85"/>
    <w:rsid w:val="005E7080"/>
    <w:rsid w:val="005F018C"/>
    <w:rsid w:val="005F2709"/>
    <w:rsid w:val="005F5E8F"/>
    <w:rsid w:val="00600E26"/>
    <w:rsid w:val="006050E9"/>
    <w:rsid w:val="006067E1"/>
    <w:rsid w:val="00615934"/>
    <w:rsid w:val="006178C0"/>
    <w:rsid w:val="006226CA"/>
    <w:rsid w:val="00622FDA"/>
    <w:rsid w:val="006248F8"/>
    <w:rsid w:val="00631DC1"/>
    <w:rsid w:val="0063209A"/>
    <w:rsid w:val="00634E22"/>
    <w:rsid w:val="006352C5"/>
    <w:rsid w:val="006410F9"/>
    <w:rsid w:val="006423FA"/>
    <w:rsid w:val="00645FA1"/>
    <w:rsid w:val="00646DDA"/>
    <w:rsid w:val="00647B85"/>
    <w:rsid w:val="00650F70"/>
    <w:rsid w:val="006513E5"/>
    <w:rsid w:val="00651FB6"/>
    <w:rsid w:val="006535A5"/>
    <w:rsid w:val="00661FE9"/>
    <w:rsid w:val="00671435"/>
    <w:rsid w:val="00671ED9"/>
    <w:rsid w:val="00682E2E"/>
    <w:rsid w:val="006832C3"/>
    <w:rsid w:val="006833D8"/>
    <w:rsid w:val="00690D3E"/>
    <w:rsid w:val="006975E0"/>
    <w:rsid w:val="00697A6E"/>
    <w:rsid w:val="006A12C3"/>
    <w:rsid w:val="006A3510"/>
    <w:rsid w:val="006B1094"/>
    <w:rsid w:val="006B6130"/>
    <w:rsid w:val="006C0201"/>
    <w:rsid w:val="006C188D"/>
    <w:rsid w:val="006C57C9"/>
    <w:rsid w:val="006D0F12"/>
    <w:rsid w:val="006D256B"/>
    <w:rsid w:val="006E49B3"/>
    <w:rsid w:val="006F2731"/>
    <w:rsid w:val="006F6A1B"/>
    <w:rsid w:val="006F7FF3"/>
    <w:rsid w:val="00707530"/>
    <w:rsid w:val="00712097"/>
    <w:rsid w:val="007150A0"/>
    <w:rsid w:val="00716192"/>
    <w:rsid w:val="00720C40"/>
    <w:rsid w:val="00722B44"/>
    <w:rsid w:val="0072535F"/>
    <w:rsid w:val="00735D3C"/>
    <w:rsid w:val="007373B8"/>
    <w:rsid w:val="00741016"/>
    <w:rsid w:val="00742311"/>
    <w:rsid w:val="00745882"/>
    <w:rsid w:val="00751F0F"/>
    <w:rsid w:val="00755D2F"/>
    <w:rsid w:val="00760220"/>
    <w:rsid w:val="00762948"/>
    <w:rsid w:val="00764121"/>
    <w:rsid w:val="00765A75"/>
    <w:rsid w:val="00767FDA"/>
    <w:rsid w:val="00773683"/>
    <w:rsid w:val="007754C7"/>
    <w:rsid w:val="00781AD4"/>
    <w:rsid w:val="00783B1B"/>
    <w:rsid w:val="00787E39"/>
    <w:rsid w:val="007937FD"/>
    <w:rsid w:val="007A1D98"/>
    <w:rsid w:val="007A20C7"/>
    <w:rsid w:val="007A368C"/>
    <w:rsid w:val="007A7C8A"/>
    <w:rsid w:val="007B0955"/>
    <w:rsid w:val="007B24F5"/>
    <w:rsid w:val="007B5879"/>
    <w:rsid w:val="007B6BEA"/>
    <w:rsid w:val="007C23EB"/>
    <w:rsid w:val="007C3022"/>
    <w:rsid w:val="007C32C0"/>
    <w:rsid w:val="007C7649"/>
    <w:rsid w:val="007C7C68"/>
    <w:rsid w:val="007D2A73"/>
    <w:rsid w:val="007D2DA2"/>
    <w:rsid w:val="007D3735"/>
    <w:rsid w:val="007E082C"/>
    <w:rsid w:val="007E4BD6"/>
    <w:rsid w:val="007F31E2"/>
    <w:rsid w:val="007F5823"/>
    <w:rsid w:val="007F5F63"/>
    <w:rsid w:val="00801EF5"/>
    <w:rsid w:val="00803079"/>
    <w:rsid w:val="0080412A"/>
    <w:rsid w:val="0080535A"/>
    <w:rsid w:val="00806B88"/>
    <w:rsid w:val="00811DB6"/>
    <w:rsid w:val="00812912"/>
    <w:rsid w:val="008206B5"/>
    <w:rsid w:val="008212BE"/>
    <w:rsid w:val="00831928"/>
    <w:rsid w:val="0083236A"/>
    <w:rsid w:val="00833675"/>
    <w:rsid w:val="00836571"/>
    <w:rsid w:val="00837CF7"/>
    <w:rsid w:val="008401EB"/>
    <w:rsid w:val="00843753"/>
    <w:rsid w:val="00846114"/>
    <w:rsid w:val="00853D1F"/>
    <w:rsid w:val="0085424E"/>
    <w:rsid w:val="0085491C"/>
    <w:rsid w:val="00854AC0"/>
    <w:rsid w:val="0085569E"/>
    <w:rsid w:val="00856036"/>
    <w:rsid w:val="008566FF"/>
    <w:rsid w:val="008621F2"/>
    <w:rsid w:val="00862C5C"/>
    <w:rsid w:val="00862F8F"/>
    <w:rsid w:val="0087565A"/>
    <w:rsid w:val="008764A7"/>
    <w:rsid w:val="008769AD"/>
    <w:rsid w:val="008771EB"/>
    <w:rsid w:val="008804AB"/>
    <w:rsid w:val="00883586"/>
    <w:rsid w:val="00883E53"/>
    <w:rsid w:val="008873F9"/>
    <w:rsid w:val="00890C52"/>
    <w:rsid w:val="00891C0B"/>
    <w:rsid w:val="00892562"/>
    <w:rsid w:val="0089256E"/>
    <w:rsid w:val="00897FE1"/>
    <w:rsid w:val="008A0DE1"/>
    <w:rsid w:val="008B10E9"/>
    <w:rsid w:val="008B48C8"/>
    <w:rsid w:val="008C0430"/>
    <w:rsid w:val="008C3927"/>
    <w:rsid w:val="008D0063"/>
    <w:rsid w:val="008D08BE"/>
    <w:rsid w:val="008D2FAE"/>
    <w:rsid w:val="008D706E"/>
    <w:rsid w:val="008E41AB"/>
    <w:rsid w:val="008E7C9E"/>
    <w:rsid w:val="008F03F7"/>
    <w:rsid w:val="008F1599"/>
    <w:rsid w:val="00904A43"/>
    <w:rsid w:val="00904E24"/>
    <w:rsid w:val="00905791"/>
    <w:rsid w:val="00906DFC"/>
    <w:rsid w:val="009102BC"/>
    <w:rsid w:val="009124F2"/>
    <w:rsid w:val="009125F7"/>
    <w:rsid w:val="0091448C"/>
    <w:rsid w:val="0091472D"/>
    <w:rsid w:val="009148C8"/>
    <w:rsid w:val="009207A4"/>
    <w:rsid w:val="009248F9"/>
    <w:rsid w:val="009410C4"/>
    <w:rsid w:val="009430D9"/>
    <w:rsid w:val="0094335B"/>
    <w:rsid w:val="00943CA8"/>
    <w:rsid w:val="00945E99"/>
    <w:rsid w:val="00957279"/>
    <w:rsid w:val="00963D15"/>
    <w:rsid w:val="009641B9"/>
    <w:rsid w:val="00965CA8"/>
    <w:rsid w:val="0097150C"/>
    <w:rsid w:val="00975533"/>
    <w:rsid w:val="00976BD2"/>
    <w:rsid w:val="009855C6"/>
    <w:rsid w:val="009A0148"/>
    <w:rsid w:val="009A68FA"/>
    <w:rsid w:val="009B0909"/>
    <w:rsid w:val="009B19B2"/>
    <w:rsid w:val="009C2C87"/>
    <w:rsid w:val="009D2940"/>
    <w:rsid w:val="009D3326"/>
    <w:rsid w:val="009D5CC0"/>
    <w:rsid w:val="009D65DD"/>
    <w:rsid w:val="009D7B7E"/>
    <w:rsid w:val="009E12DE"/>
    <w:rsid w:val="009E2C57"/>
    <w:rsid w:val="009E3508"/>
    <w:rsid w:val="009E6E0D"/>
    <w:rsid w:val="00A00059"/>
    <w:rsid w:val="00A02059"/>
    <w:rsid w:val="00A02D94"/>
    <w:rsid w:val="00A05DB9"/>
    <w:rsid w:val="00A0651D"/>
    <w:rsid w:val="00A06D7F"/>
    <w:rsid w:val="00A11C07"/>
    <w:rsid w:val="00A14F68"/>
    <w:rsid w:val="00A201D7"/>
    <w:rsid w:val="00A25141"/>
    <w:rsid w:val="00A272B1"/>
    <w:rsid w:val="00A30C04"/>
    <w:rsid w:val="00A30E23"/>
    <w:rsid w:val="00A41007"/>
    <w:rsid w:val="00A41E09"/>
    <w:rsid w:val="00A42F58"/>
    <w:rsid w:val="00A43C1A"/>
    <w:rsid w:val="00A4545E"/>
    <w:rsid w:val="00A47944"/>
    <w:rsid w:val="00A50BC2"/>
    <w:rsid w:val="00A516E0"/>
    <w:rsid w:val="00A534CB"/>
    <w:rsid w:val="00A547AD"/>
    <w:rsid w:val="00A63A13"/>
    <w:rsid w:val="00A64A25"/>
    <w:rsid w:val="00A7127D"/>
    <w:rsid w:val="00A71522"/>
    <w:rsid w:val="00A72724"/>
    <w:rsid w:val="00A74BEC"/>
    <w:rsid w:val="00A74F7F"/>
    <w:rsid w:val="00A75934"/>
    <w:rsid w:val="00A80E2C"/>
    <w:rsid w:val="00A831D5"/>
    <w:rsid w:val="00A856CD"/>
    <w:rsid w:val="00A877F5"/>
    <w:rsid w:val="00A9689C"/>
    <w:rsid w:val="00AA4EEB"/>
    <w:rsid w:val="00AA602B"/>
    <w:rsid w:val="00AA6DF7"/>
    <w:rsid w:val="00AA73E2"/>
    <w:rsid w:val="00AB5855"/>
    <w:rsid w:val="00AB5936"/>
    <w:rsid w:val="00AC2C43"/>
    <w:rsid w:val="00AC5AAA"/>
    <w:rsid w:val="00AD1AE9"/>
    <w:rsid w:val="00AE2127"/>
    <w:rsid w:val="00AE2D68"/>
    <w:rsid w:val="00AE40F6"/>
    <w:rsid w:val="00AE6C05"/>
    <w:rsid w:val="00AF2A3B"/>
    <w:rsid w:val="00AF33BF"/>
    <w:rsid w:val="00AF3FFE"/>
    <w:rsid w:val="00AF51EF"/>
    <w:rsid w:val="00B02FAC"/>
    <w:rsid w:val="00B06F27"/>
    <w:rsid w:val="00B12129"/>
    <w:rsid w:val="00B12D23"/>
    <w:rsid w:val="00B14DB5"/>
    <w:rsid w:val="00B26424"/>
    <w:rsid w:val="00B34956"/>
    <w:rsid w:val="00B35C05"/>
    <w:rsid w:val="00B37EDA"/>
    <w:rsid w:val="00B4244A"/>
    <w:rsid w:val="00B50300"/>
    <w:rsid w:val="00B507F9"/>
    <w:rsid w:val="00B529EF"/>
    <w:rsid w:val="00B53B53"/>
    <w:rsid w:val="00B53F71"/>
    <w:rsid w:val="00B61B29"/>
    <w:rsid w:val="00B62E6A"/>
    <w:rsid w:val="00B656AE"/>
    <w:rsid w:val="00B7783E"/>
    <w:rsid w:val="00B802BC"/>
    <w:rsid w:val="00B8067D"/>
    <w:rsid w:val="00B82626"/>
    <w:rsid w:val="00B87F71"/>
    <w:rsid w:val="00B9170B"/>
    <w:rsid w:val="00B9201D"/>
    <w:rsid w:val="00BA086E"/>
    <w:rsid w:val="00BA2487"/>
    <w:rsid w:val="00BA4051"/>
    <w:rsid w:val="00BA65D9"/>
    <w:rsid w:val="00BB54DA"/>
    <w:rsid w:val="00BB5F59"/>
    <w:rsid w:val="00BB64A7"/>
    <w:rsid w:val="00BC4D43"/>
    <w:rsid w:val="00BC5D9F"/>
    <w:rsid w:val="00BD0B57"/>
    <w:rsid w:val="00BD20B8"/>
    <w:rsid w:val="00BD5B34"/>
    <w:rsid w:val="00BE11F8"/>
    <w:rsid w:val="00BE6720"/>
    <w:rsid w:val="00BE7836"/>
    <w:rsid w:val="00BF491E"/>
    <w:rsid w:val="00C15BEA"/>
    <w:rsid w:val="00C16BD1"/>
    <w:rsid w:val="00C17706"/>
    <w:rsid w:val="00C17BFC"/>
    <w:rsid w:val="00C200FC"/>
    <w:rsid w:val="00C2050C"/>
    <w:rsid w:val="00C249F1"/>
    <w:rsid w:val="00C24F6D"/>
    <w:rsid w:val="00C27298"/>
    <w:rsid w:val="00C36490"/>
    <w:rsid w:val="00C41CD8"/>
    <w:rsid w:val="00C53C34"/>
    <w:rsid w:val="00C84B39"/>
    <w:rsid w:val="00C85891"/>
    <w:rsid w:val="00C8688E"/>
    <w:rsid w:val="00C90525"/>
    <w:rsid w:val="00C94464"/>
    <w:rsid w:val="00CA3055"/>
    <w:rsid w:val="00CA54CA"/>
    <w:rsid w:val="00CA5650"/>
    <w:rsid w:val="00CA6D6F"/>
    <w:rsid w:val="00CB3683"/>
    <w:rsid w:val="00CB609F"/>
    <w:rsid w:val="00CC0861"/>
    <w:rsid w:val="00CD1DAE"/>
    <w:rsid w:val="00CD32FC"/>
    <w:rsid w:val="00CD49AC"/>
    <w:rsid w:val="00CE075D"/>
    <w:rsid w:val="00CE1CA2"/>
    <w:rsid w:val="00CE1E00"/>
    <w:rsid w:val="00CE7DC7"/>
    <w:rsid w:val="00CF2FFD"/>
    <w:rsid w:val="00CF48F5"/>
    <w:rsid w:val="00D04AEF"/>
    <w:rsid w:val="00D079B7"/>
    <w:rsid w:val="00D07BEB"/>
    <w:rsid w:val="00D12033"/>
    <w:rsid w:val="00D13E17"/>
    <w:rsid w:val="00D234CD"/>
    <w:rsid w:val="00D23723"/>
    <w:rsid w:val="00D24E7F"/>
    <w:rsid w:val="00D30982"/>
    <w:rsid w:val="00D33F60"/>
    <w:rsid w:val="00D34811"/>
    <w:rsid w:val="00D3736A"/>
    <w:rsid w:val="00D409A3"/>
    <w:rsid w:val="00D42078"/>
    <w:rsid w:val="00D54388"/>
    <w:rsid w:val="00D5647F"/>
    <w:rsid w:val="00D574EF"/>
    <w:rsid w:val="00D604C8"/>
    <w:rsid w:val="00D61890"/>
    <w:rsid w:val="00D63F51"/>
    <w:rsid w:val="00D643F2"/>
    <w:rsid w:val="00D6745A"/>
    <w:rsid w:val="00D7427B"/>
    <w:rsid w:val="00D7587E"/>
    <w:rsid w:val="00D75CDB"/>
    <w:rsid w:val="00D76EF8"/>
    <w:rsid w:val="00D816E1"/>
    <w:rsid w:val="00D823EF"/>
    <w:rsid w:val="00D863E3"/>
    <w:rsid w:val="00D87F0E"/>
    <w:rsid w:val="00D91BF7"/>
    <w:rsid w:val="00D92D35"/>
    <w:rsid w:val="00DA2ABC"/>
    <w:rsid w:val="00DB480E"/>
    <w:rsid w:val="00DC43A7"/>
    <w:rsid w:val="00DD0925"/>
    <w:rsid w:val="00DD0E73"/>
    <w:rsid w:val="00DD120D"/>
    <w:rsid w:val="00DD3337"/>
    <w:rsid w:val="00DD4AA5"/>
    <w:rsid w:val="00DE2455"/>
    <w:rsid w:val="00DE7751"/>
    <w:rsid w:val="00DF4CAF"/>
    <w:rsid w:val="00DF7695"/>
    <w:rsid w:val="00E02925"/>
    <w:rsid w:val="00E042E6"/>
    <w:rsid w:val="00E10DFE"/>
    <w:rsid w:val="00E13038"/>
    <w:rsid w:val="00E15745"/>
    <w:rsid w:val="00E2132F"/>
    <w:rsid w:val="00E216D0"/>
    <w:rsid w:val="00E21D41"/>
    <w:rsid w:val="00E2210C"/>
    <w:rsid w:val="00E22241"/>
    <w:rsid w:val="00E233B8"/>
    <w:rsid w:val="00E32E93"/>
    <w:rsid w:val="00E33400"/>
    <w:rsid w:val="00E34AB3"/>
    <w:rsid w:val="00E37802"/>
    <w:rsid w:val="00E40A60"/>
    <w:rsid w:val="00E45AD1"/>
    <w:rsid w:val="00E45B3E"/>
    <w:rsid w:val="00E46A59"/>
    <w:rsid w:val="00E50EFD"/>
    <w:rsid w:val="00E529E4"/>
    <w:rsid w:val="00E60A19"/>
    <w:rsid w:val="00E61FEA"/>
    <w:rsid w:val="00E70586"/>
    <w:rsid w:val="00E73A25"/>
    <w:rsid w:val="00E77D13"/>
    <w:rsid w:val="00E83C7E"/>
    <w:rsid w:val="00E84004"/>
    <w:rsid w:val="00E8677B"/>
    <w:rsid w:val="00E90AB0"/>
    <w:rsid w:val="00E914DF"/>
    <w:rsid w:val="00E915D1"/>
    <w:rsid w:val="00E91BF1"/>
    <w:rsid w:val="00E92206"/>
    <w:rsid w:val="00E926EA"/>
    <w:rsid w:val="00E97E64"/>
    <w:rsid w:val="00EA4EB6"/>
    <w:rsid w:val="00EA6813"/>
    <w:rsid w:val="00EA7F98"/>
    <w:rsid w:val="00EB112B"/>
    <w:rsid w:val="00EC3A7B"/>
    <w:rsid w:val="00EC5D28"/>
    <w:rsid w:val="00ED0F83"/>
    <w:rsid w:val="00ED4000"/>
    <w:rsid w:val="00ED5537"/>
    <w:rsid w:val="00EE101F"/>
    <w:rsid w:val="00EE1677"/>
    <w:rsid w:val="00EE64BD"/>
    <w:rsid w:val="00EE71EA"/>
    <w:rsid w:val="00EE7800"/>
    <w:rsid w:val="00EF39F6"/>
    <w:rsid w:val="00EF6C22"/>
    <w:rsid w:val="00EF6D47"/>
    <w:rsid w:val="00F02087"/>
    <w:rsid w:val="00F025B2"/>
    <w:rsid w:val="00F11D44"/>
    <w:rsid w:val="00F120BB"/>
    <w:rsid w:val="00F130C4"/>
    <w:rsid w:val="00F1429F"/>
    <w:rsid w:val="00F17BB0"/>
    <w:rsid w:val="00F26353"/>
    <w:rsid w:val="00F40CD7"/>
    <w:rsid w:val="00F42FBE"/>
    <w:rsid w:val="00F43A3F"/>
    <w:rsid w:val="00F43D79"/>
    <w:rsid w:val="00F5238F"/>
    <w:rsid w:val="00F54F9D"/>
    <w:rsid w:val="00F702E2"/>
    <w:rsid w:val="00F7409F"/>
    <w:rsid w:val="00F82387"/>
    <w:rsid w:val="00F83459"/>
    <w:rsid w:val="00F857C3"/>
    <w:rsid w:val="00F8594D"/>
    <w:rsid w:val="00F87168"/>
    <w:rsid w:val="00F95716"/>
    <w:rsid w:val="00F97C6E"/>
    <w:rsid w:val="00F97E1E"/>
    <w:rsid w:val="00FA3708"/>
    <w:rsid w:val="00FA45F1"/>
    <w:rsid w:val="00FA7675"/>
    <w:rsid w:val="00FA76F1"/>
    <w:rsid w:val="00FC20DA"/>
    <w:rsid w:val="00FC226C"/>
    <w:rsid w:val="00FC23C9"/>
    <w:rsid w:val="00FC5BAD"/>
    <w:rsid w:val="00FC6BCF"/>
    <w:rsid w:val="00FC6D07"/>
    <w:rsid w:val="00FC74F3"/>
    <w:rsid w:val="00FD604E"/>
    <w:rsid w:val="00FD66FA"/>
    <w:rsid w:val="00FD6A53"/>
    <w:rsid w:val="00FE6F07"/>
    <w:rsid w:val="00FF09FC"/>
    <w:rsid w:val="00FF16E4"/>
    <w:rsid w:val="00FF437D"/>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2311"/>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styleId="Mencinsinresolver">
    <w:name w:val="Unresolved Mention"/>
    <w:basedOn w:val="Fuentedeprrafopredeter"/>
    <w:uiPriority w:val="99"/>
    <w:semiHidden/>
    <w:unhideWhenUsed/>
    <w:rsid w:val="004F5DC3"/>
    <w:rPr>
      <w:color w:val="605E5C"/>
      <w:shd w:val="clear" w:color="auto" w:fill="E1DFDD"/>
    </w:rPr>
  </w:style>
  <w:style w:type="paragraph" w:styleId="Prrafodelista">
    <w:name w:val="List Paragraph"/>
    <w:basedOn w:val="Normal"/>
    <w:uiPriority w:val="34"/>
    <w:qFormat/>
    <w:rsid w:val="004610A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047233-527E-4FF2-80E7-A829EC8737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1781</TotalTime>
  <Pages>10</Pages>
  <Words>3533</Words>
  <Characters>19435</Characters>
  <Application>Microsoft Office Word</Application>
  <DocSecurity>0</DocSecurity>
  <Lines>161</Lines>
  <Paragraphs>45</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22923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Alexander Agustin Quinto Francia</cp:lastModifiedBy>
  <cp:revision>417</cp:revision>
  <cp:lastPrinted>2015-02-13T19:19:00Z</cp:lastPrinted>
  <dcterms:created xsi:type="dcterms:W3CDTF">2025-05-26T20:35:00Z</dcterms:created>
  <dcterms:modified xsi:type="dcterms:W3CDTF">2025-07-19T04:40:00Z</dcterms:modified>
</cp:coreProperties>
</file>