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Arial" w:cs="Arial" w:eastAsia="Arial" w:hAnsi="Arial"/>
          <w:i w:val="1"/>
          <w:sz w:val="22"/>
          <w:szCs w:val="22"/>
        </w:rPr>
      </w:pPr>
      <w:r w:rsidDel="00000000" w:rsidR="00000000" w:rsidRPr="00000000">
        <w:rPr>
          <w:rFonts w:ascii="Arial" w:cs="Arial" w:eastAsia="Arial" w:hAnsi="Arial"/>
          <w:b w:val="1"/>
          <w:sz w:val="22"/>
          <w:szCs w:val="22"/>
          <w:rtl w:val="0"/>
        </w:rPr>
        <w:t xml:space="preserve">Título: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Mejor gestión del agua para mitigar impactos del cambio climático en cinco comunidades del área de influencia indirecta de la Unidad Minera Constancia – Hudbay Perú</w:t>
      </w:r>
    </w:p>
    <w:p w:rsidR="00000000" w:rsidDel="00000000" w:rsidP="00000000" w:rsidRDefault="00000000" w:rsidRPr="00000000" w14:paraId="00000002">
      <w:pPr>
        <w:spacing w:after="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Tema:</w:t>
      </w:r>
      <w:r w:rsidDel="00000000" w:rsidR="00000000" w:rsidRPr="00000000">
        <w:rPr>
          <w:rFonts w:ascii="Arial" w:cs="Arial" w:eastAsia="Arial" w:hAnsi="Arial"/>
          <w:sz w:val="22"/>
          <w:szCs w:val="22"/>
          <w:rtl w:val="0"/>
        </w:rPr>
        <w:t xml:space="preserve"> Gestión del agua en operaciones y el entorno</w:t>
      </w:r>
    </w:p>
    <w:p w:rsidR="00000000" w:rsidDel="00000000" w:rsidP="00000000" w:rsidRDefault="00000000" w:rsidRPr="00000000" w14:paraId="00000003">
      <w:pPr>
        <w:spacing w:after="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Categoría: </w:t>
      </w:r>
      <w:r w:rsidDel="00000000" w:rsidR="00000000" w:rsidRPr="00000000">
        <w:rPr>
          <w:rFonts w:ascii="Arial" w:cs="Arial" w:eastAsia="Arial" w:hAnsi="Arial"/>
          <w:sz w:val="22"/>
          <w:szCs w:val="22"/>
          <w:rtl w:val="0"/>
        </w:rPr>
        <w:t xml:space="preserve">ESG (Environmental, Social, Governance)</w:t>
      </w:r>
    </w:p>
    <w:p w:rsidR="00000000" w:rsidDel="00000000" w:rsidP="00000000" w:rsidRDefault="00000000" w:rsidRPr="00000000" w14:paraId="00000004">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Datos del autor y coautores: </w:t>
      </w:r>
    </w:p>
    <w:p w:rsidR="00000000" w:rsidDel="00000000" w:rsidP="00000000" w:rsidRDefault="00000000" w:rsidRPr="00000000" w14:paraId="00000005">
      <w:pPr>
        <w:spacing w:after="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Jorge Barbarán</w:t>
      </w:r>
      <w:r w:rsidDel="00000000" w:rsidR="00000000" w:rsidRPr="00000000">
        <w:rPr>
          <w:rFonts w:ascii="Arial" w:cs="Arial" w:eastAsia="Arial" w:hAnsi="Arial"/>
          <w:sz w:val="22"/>
          <w:szCs w:val="22"/>
          <w:rtl w:val="0"/>
        </w:rPr>
        <w:t xml:space="preserve">, Hudbay Perú, Supervisor de Relacionamiento Comunitario, </w:t>
      </w:r>
      <w:hyperlink r:id="rId7">
        <w:r w:rsidDel="00000000" w:rsidR="00000000" w:rsidRPr="00000000">
          <w:rPr>
            <w:rFonts w:ascii="Arial" w:cs="Arial" w:eastAsia="Arial" w:hAnsi="Arial"/>
            <w:sz w:val="22"/>
            <w:szCs w:val="22"/>
            <w:u w:val="single"/>
            <w:rtl w:val="0"/>
          </w:rPr>
          <w:t xml:space="preserve">Jorge.barbaran@hudbayminerals.com</w:t>
        </w:r>
      </w:hyperlink>
      <w:r w:rsidDel="00000000" w:rsidR="00000000" w:rsidRPr="00000000">
        <w:rPr>
          <w:rFonts w:ascii="Arial" w:cs="Arial" w:eastAsia="Arial" w:hAnsi="Arial"/>
          <w:sz w:val="22"/>
          <w:szCs w:val="22"/>
          <w:rtl w:val="0"/>
        </w:rPr>
        <w:t xml:space="preserve">, Jorge Chávez 235, Miraflores 15074, +51 1 612-2900, 945 530 144, reseña: </w:t>
      </w:r>
      <w:r w:rsidDel="00000000" w:rsidR="00000000" w:rsidRPr="00000000">
        <w:rPr>
          <w:rFonts w:ascii="Arial" w:cs="Arial" w:eastAsia="Arial" w:hAnsi="Arial"/>
          <w:sz w:val="22"/>
          <w:szCs w:val="22"/>
          <w:highlight w:val="white"/>
          <w:rtl w:val="0"/>
        </w:rPr>
        <w:t xml:space="preserve">biólogo con Maestría en Ingeniería Ambiental y más de 16 años de experiencia en gestión ambiental en los sectores minero y energético. Experto en normativas, calidad de aguas y suelos, y evaluación ambiental, actualmente Supervisor de Control Ambiental en Hudbay Perú. Liderazgo estratégico y capacidad de relacionamiento para asegurar cumplimiento y sostenibilidad.</w:t>
      </w:r>
      <w:r w:rsidDel="00000000" w:rsidR="00000000" w:rsidRPr="00000000">
        <w:rPr>
          <w:rtl w:val="0"/>
        </w:rPr>
      </w:r>
    </w:p>
    <w:p w:rsidR="00000000" w:rsidDel="00000000" w:rsidP="00000000" w:rsidRDefault="00000000" w:rsidRPr="00000000" w14:paraId="00000006">
      <w:pPr>
        <w:spacing w:after="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Pino Balarezo Sánchez</w:t>
      </w:r>
      <w:r w:rsidDel="00000000" w:rsidR="00000000" w:rsidRPr="00000000">
        <w:rPr>
          <w:rFonts w:ascii="Arial" w:cs="Arial" w:eastAsia="Arial" w:hAnsi="Arial"/>
          <w:sz w:val="22"/>
          <w:szCs w:val="22"/>
          <w:rtl w:val="0"/>
        </w:rPr>
        <w:t xml:space="preserve">, Hudbay Peru, Jefe de Planificación y Monitoreo Social, </w:t>
      </w:r>
      <w:hyperlink r:id="rId8">
        <w:r w:rsidDel="00000000" w:rsidR="00000000" w:rsidRPr="00000000">
          <w:rPr>
            <w:rFonts w:ascii="Arial" w:cs="Arial" w:eastAsia="Arial" w:hAnsi="Arial"/>
            <w:sz w:val="22"/>
            <w:szCs w:val="22"/>
            <w:u w:val="single"/>
            <w:rtl w:val="0"/>
          </w:rPr>
          <w:t xml:space="preserve">pino.balarezo@hudbayminerals.com</w:t>
        </w:r>
      </w:hyperlink>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sz w:val="22"/>
          <w:szCs w:val="22"/>
          <w:u w:val="single"/>
          <w:rtl w:val="0"/>
        </w:rPr>
        <w:t xml:space="preserve">pinoandre3@gmail.com</w:t>
      </w:r>
      <w:r w:rsidDel="00000000" w:rsidR="00000000" w:rsidRPr="00000000">
        <w:rPr>
          <w:rFonts w:ascii="Arial" w:cs="Arial" w:eastAsia="Arial" w:hAnsi="Arial"/>
          <w:sz w:val="22"/>
          <w:szCs w:val="22"/>
          <w:rtl w:val="0"/>
        </w:rPr>
        <w:t xml:space="preserve">, Jorge Chávez 235, Miraflores 15074, +51 1 612-2900, 942 066 959, reseña: </w:t>
      </w:r>
      <w:r w:rsidDel="00000000" w:rsidR="00000000" w:rsidRPr="00000000">
        <w:rPr>
          <w:rFonts w:ascii="Arial" w:cs="Arial" w:eastAsia="Arial" w:hAnsi="Arial"/>
          <w:sz w:val="22"/>
          <w:szCs w:val="22"/>
          <w:highlight w:val="white"/>
          <w:rtl w:val="0"/>
        </w:rPr>
        <w:t xml:space="preserve">Profesional con experiencia en planificación y monitoreo social, se desempeña como Jefe de Planificación y Monitoreo Social en Hudbay Perú. Su enfoque se centra en la construcción de relaciones comunitarias y la implementación de estrategias de gestión social en el sector minero. Su liderazgo estratégico es clave para el desarrollo sostenible y la colaboración empresa-comunidad.  </w:t>
      </w:r>
      <w:r w:rsidDel="00000000" w:rsidR="00000000" w:rsidRPr="00000000">
        <w:rPr>
          <w:rtl w:val="0"/>
        </w:rPr>
      </w:r>
    </w:p>
    <w:p w:rsidR="00000000" w:rsidDel="00000000" w:rsidP="00000000" w:rsidRDefault="00000000" w:rsidRPr="00000000" w14:paraId="00000007">
      <w:pPr>
        <w:spacing w:after="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Palabras clave:</w:t>
      </w:r>
      <w:r w:rsidDel="00000000" w:rsidR="00000000" w:rsidRPr="00000000">
        <w:rPr>
          <w:rFonts w:ascii="Arial" w:cs="Arial" w:eastAsia="Arial" w:hAnsi="Arial"/>
          <w:sz w:val="22"/>
          <w:szCs w:val="22"/>
          <w:rtl w:val="0"/>
        </w:rPr>
        <w:t xml:space="preserve"> Manejo de agua, Cambio climático, Microcuencas, Cosecha de agua, Sostenibilidad, Conservación de suelos</w:t>
      </w:r>
    </w:p>
    <w:p w:rsidR="00000000" w:rsidDel="00000000" w:rsidP="00000000" w:rsidRDefault="00000000" w:rsidRPr="00000000" w14:paraId="00000008">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 Contexto </w:t>
      </w:r>
    </w:p>
    <w:p w:rsidR="00000000" w:rsidDel="00000000" w:rsidP="00000000" w:rsidRDefault="00000000" w:rsidRPr="00000000" w14:paraId="00000009">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cambio climático se manifiesta a través de sequías que se producen en zonas altoandinas, amazónicas y del norte del país, lo que reduce la disponibilidad hídrica. Esta situación a su vez, incrementa la presión sobre el uso de este recurso vital, generando conflictos sociales y ocasionando impactos económicos negativos, a todo nivel. Sin embargo, y a pesar de esta situación, el Estado todavía no ha definido una política clara de adaptación al cambio climático, y continúa impulsando proyectos productivos que difícilmente prosperarán debido a la escasez de agua.</w:t>
      </w:r>
    </w:p>
    <w:p w:rsidR="00000000" w:rsidDel="00000000" w:rsidP="00000000" w:rsidRDefault="00000000" w:rsidRPr="00000000" w14:paraId="0000000A">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Ante esta problemática, Hudbay Perú, como parte de su política de responsabilidad social, promueve un proyecto de cosecha de agua en comunidades del área de influencia indirecta de la Unidad Minera Constancia (UMC). La propuesta plantea un enfoque integral que incluye un diagnóstico territorial, cambio de uso de suelos, transformación productiva y ejecución de proyectos piloto con nuevas estrategias de negocio. Actualmente se encuentra en etapa de implementación y se busca compartir luego esta iniciativa con otras comunidades para fortalecer su resiliencia climática.</w:t>
      </w:r>
    </w:p>
    <w:p w:rsidR="00000000" w:rsidDel="00000000" w:rsidP="00000000" w:rsidRDefault="00000000" w:rsidRPr="00000000" w14:paraId="0000000B">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 Alcance del servicio</w:t>
      </w:r>
    </w:p>
    <w:p w:rsidR="00000000" w:rsidDel="00000000" w:rsidP="00000000" w:rsidRDefault="00000000" w:rsidRPr="00000000" w14:paraId="0000000C">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desarrollará en cinco comunidades del área de influencia indirecta de la UMC: Urazana, Merques, Ccollana Alta, Huaylla Huaylla y Casa Blanca.</w:t>
      </w:r>
    </w:p>
    <w:p w:rsidR="00000000" w:rsidDel="00000000" w:rsidP="00000000" w:rsidRDefault="00000000" w:rsidRPr="00000000" w14:paraId="0000000D">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1.2.1 Identificación de beneficiarios</w:t>
      </w:r>
    </w:p>
    <w:p w:rsidR="00000000" w:rsidDel="00000000" w:rsidP="00000000" w:rsidRDefault="00000000" w:rsidRPr="00000000" w14:paraId="0000000E">
      <w:pPr>
        <w:spacing w:after="0" w:line="360" w:lineRule="auto"/>
        <w:jc w:val="both"/>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Seleccionados en coordinación con las directivas comunales, se ha priorizado a: i.</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Residentes permanentes de la zona</w:t>
      </w:r>
      <w:r w:rsidDel="00000000" w:rsidR="00000000" w:rsidRPr="00000000">
        <w:rPr>
          <w:rFonts w:ascii="Arial" w:cs="Arial" w:eastAsia="Arial" w:hAnsi="Arial"/>
          <w:sz w:val="22"/>
          <w:szCs w:val="22"/>
          <w:rtl w:val="0"/>
        </w:rPr>
        <w:t xml:space="preserve">, ii.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Personas que están próximas a los puntos de captación de agua</w:t>
      </w:r>
      <w:r w:rsidDel="00000000" w:rsidR="00000000" w:rsidRPr="00000000">
        <w:rPr>
          <w:rFonts w:ascii="Arial" w:cs="Arial" w:eastAsia="Arial" w:hAnsi="Arial"/>
          <w:sz w:val="22"/>
          <w:szCs w:val="22"/>
          <w:rtl w:val="0"/>
        </w:rPr>
        <w:t xml:space="preserve">, iii.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Usuarios del recurso hídrico con fines productivos.</w:t>
      </w:r>
    </w:p>
    <w:p w:rsidR="00000000" w:rsidDel="00000000" w:rsidP="00000000" w:rsidRDefault="00000000" w:rsidRPr="00000000" w14:paraId="0000000F">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1.2.2 Actividades principales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Coordinación y diagnóstico:</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Trabajo conjunto con las comunidades para evaluar el estado actual del recurso hídrico y definir estrategias de intervención.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Planificación y gestión: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Elaboración de planes técnicos, cronogramas y uso de herramientas digitales para el manejo de la información.</w:t>
        <w:br w:type="textWrapping"/>
        <w:t xml:space="preserve">Implementación y capacitación: Ejecución de proyectos de cosecha y conservación del agua</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desarrollo de talleres y asesoramiento técnico a los beneficiarios.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sz w:val="22"/>
          <w:szCs w:val="22"/>
          <w:u w:val="none"/>
          <w:shd w:fill="auto" w:val="clear"/>
          <w:vertAlign w:val="baseline"/>
        </w:rPr>
      </w:pPr>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Monitoreo y evaluación:</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Seguimiento continuo del avance del proyecto, mediante reportes y análisis físico-financiero.</w:t>
      </w:r>
    </w:p>
    <w:p w:rsidR="00000000" w:rsidDel="00000000" w:rsidP="00000000" w:rsidRDefault="00000000" w:rsidRPr="00000000" w14:paraId="00000013">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 Objetivo</w:t>
      </w:r>
    </w:p>
    <w:p w:rsidR="00000000" w:rsidDel="00000000" w:rsidP="00000000" w:rsidRDefault="00000000" w:rsidRPr="00000000" w14:paraId="00000014">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Garantizar el uso eficiente y sostenible del recurso hídrico en la zona de intervención, contribuyendo a la sostenibilidad y desarrollo económico de las comunidades beneficiarias.</w:t>
      </w:r>
    </w:p>
    <w:p w:rsidR="00000000" w:rsidDel="00000000" w:rsidP="00000000" w:rsidRDefault="00000000" w:rsidRPr="00000000" w14:paraId="00000015">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específicos</w:t>
      </w:r>
    </w:p>
    <w:p w:rsidR="00000000" w:rsidDel="00000000" w:rsidP="00000000" w:rsidRDefault="00000000" w:rsidRPr="00000000" w14:paraId="00000016">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Zonificar el territorio para definir potencial de uso (pastoreo, agricultura, etc.)</w:t>
      </w:r>
    </w:p>
    <w:p w:rsidR="00000000" w:rsidDel="00000000" w:rsidP="00000000" w:rsidRDefault="00000000" w:rsidRPr="00000000" w14:paraId="00000017">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 sobre gestión del agua en microcuencas</w:t>
      </w:r>
    </w:p>
    <w:p w:rsidR="00000000" w:rsidDel="00000000" w:rsidP="00000000" w:rsidRDefault="00000000" w:rsidRPr="00000000" w14:paraId="00000018">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 sobre adaptación al cambio climático (agricultura sostenible)</w:t>
      </w:r>
    </w:p>
    <w:p w:rsidR="00000000" w:rsidDel="00000000" w:rsidP="00000000" w:rsidRDefault="00000000" w:rsidRPr="00000000" w14:paraId="00000019">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Identificación de fuentes de agua: calidad, caudal y uso</w:t>
      </w:r>
    </w:p>
    <w:p w:rsidR="00000000" w:rsidDel="00000000" w:rsidP="00000000" w:rsidRDefault="00000000" w:rsidRPr="00000000" w14:paraId="0000001A">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Identificación de áreas aptas para siembra y cosecha de agua</w:t>
      </w:r>
    </w:p>
    <w:p w:rsidR="00000000" w:rsidDel="00000000" w:rsidP="00000000" w:rsidRDefault="00000000" w:rsidRPr="00000000" w14:paraId="0000001B">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de metodologías para conservación, cosecha de agua y manejo de suelos</w:t>
      </w:r>
    </w:p>
    <w:p w:rsidR="00000000" w:rsidDel="00000000" w:rsidP="00000000" w:rsidRDefault="00000000" w:rsidRPr="00000000" w14:paraId="0000001C">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Adaptación de capacidades productivas en microcuencas frente al cambio climático</w:t>
      </w:r>
    </w:p>
    <w:p w:rsidR="00000000" w:rsidDel="00000000" w:rsidP="00000000" w:rsidRDefault="00000000" w:rsidRPr="00000000" w14:paraId="0000001D">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 Metodología</w:t>
      </w:r>
    </w:p>
    <w:p w:rsidR="00000000" w:rsidDel="00000000" w:rsidP="00000000" w:rsidRDefault="00000000" w:rsidRPr="00000000" w14:paraId="0000001E">
      <w:pPr>
        <w:spacing w:after="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Diagnóstico y línea base:</w:t>
      </w:r>
      <w:r w:rsidDel="00000000" w:rsidR="00000000" w:rsidRPr="00000000">
        <w:rPr>
          <w:rFonts w:ascii="Arial" w:cs="Arial" w:eastAsia="Arial" w:hAnsi="Arial"/>
          <w:sz w:val="22"/>
          <w:szCs w:val="22"/>
          <w:rtl w:val="0"/>
        </w:rPr>
        <w:t xml:space="preserve"> Identificación de fuentes de agua, su calidad, disponibilidad y patrones de uso en la zona de intervención, mediante un inventario detallado y análisis de datos.</w:t>
      </w:r>
    </w:p>
    <w:p w:rsidR="00000000" w:rsidDel="00000000" w:rsidP="00000000" w:rsidRDefault="00000000" w:rsidRPr="00000000" w14:paraId="0000001F">
      <w:pPr>
        <w:spacing w:after="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Planificación y diseño:</w:t>
      </w:r>
      <w:r w:rsidDel="00000000" w:rsidR="00000000" w:rsidRPr="00000000">
        <w:rPr>
          <w:rFonts w:ascii="Arial" w:cs="Arial" w:eastAsia="Arial" w:hAnsi="Arial"/>
          <w:sz w:val="22"/>
          <w:szCs w:val="22"/>
          <w:rtl w:val="0"/>
        </w:rPr>
        <w:t xml:space="preserve"> Establecimiento de estrategias técnicas y económicas adaptadas a las necesidades de cada comunidad, con definición de zonas de intervención y acciones específicas.</w:t>
      </w:r>
    </w:p>
    <w:p w:rsidR="00000000" w:rsidDel="00000000" w:rsidP="00000000" w:rsidRDefault="00000000" w:rsidRPr="00000000" w14:paraId="00000020">
      <w:pPr>
        <w:spacing w:after="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Implementación de soluciones:</w:t>
      </w:r>
      <w:r w:rsidDel="00000000" w:rsidR="00000000" w:rsidRPr="00000000">
        <w:rPr>
          <w:rFonts w:ascii="Arial" w:cs="Arial" w:eastAsia="Arial" w:hAnsi="Arial"/>
          <w:sz w:val="22"/>
          <w:szCs w:val="22"/>
          <w:rtl w:val="0"/>
        </w:rPr>
        <w:t xml:space="preserve"> Ejecución de proyectos de cosecha y conservación de agua, talleres de capacitación para la adaptación al cambio climático y asistencia técnica a los beneficiarios.</w:t>
      </w:r>
    </w:p>
    <w:p w:rsidR="00000000" w:rsidDel="00000000" w:rsidP="00000000" w:rsidRDefault="00000000" w:rsidRPr="00000000" w14:paraId="00000021">
      <w:pPr>
        <w:spacing w:after="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Monitoreo y evaluación:</w:t>
      </w:r>
      <w:r w:rsidDel="00000000" w:rsidR="00000000" w:rsidRPr="00000000">
        <w:rPr>
          <w:rFonts w:ascii="Arial" w:cs="Arial" w:eastAsia="Arial" w:hAnsi="Arial"/>
          <w:sz w:val="22"/>
          <w:szCs w:val="22"/>
          <w:rtl w:val="0"/>
        </w:rPr>
        <w:t xml:space="preserve"> Seguimiento continuo mediante reportes de avance, control financiero y análisis de impacto, con el fin de optimizar los resultados y garantizar la sostenibilidad del proyecto.</w:t>
      </w:r>
    </w:p>
    <w:p w:rsidR="00000000" w:rsidDel="00000000" w:rsidP="00000000" w:rsidRDefault="00000000" w:rsidRPr="00000000" w14:paraId="00000022">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 Impacto esperado: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Mejor disponibilidad y uso eficiente del agua, asegurando acceso sostenible al recurso hídrico para consumo y producción.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Fortalecimiento de capacidades locales, promoviendo conocimientos y buenas prácticas en conservación del agua y adaptación al cambio climático.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Implementación de infraestructura hídrica sostenible, incluyendo técnicas de cosecha de agua, almacenamiento y conservación de suelos.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Mejora en la productividad agropecuaria, optimizando el uso del agua en actividades agrícolas y pecuarias.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Sostenibilidad y resiliencia climática, fomentando la gestión responsable del recurso hídrico para garantizar beneficios a largo plazo en las comunidades.</w:t>
      </w:r>
    </w:p>
    <w:p w:rsidR="00000000" w:rsidDel="00000000" w:rsidP="00000000" w:rsidRDefault="00000000" w:rsidRPr="00000000" w14:paraId="00000028">
      <w:pPr>
        <w:spacing w:after="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 Conclusión</w:t>
      </w:r>
    </w:p>
    <w:p w:rsidR="00000000" w:rsidDel="00000000" w:rsidP="00000000" w:rsidRDefault="00000000" w:rsidRPr="00000000" w14:paraId="00000029">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programa denominado </w:t>
      </w:r>
      <w:r w:rsidDel="00000000" w:rsidR="00000000" w:rsidRPr="00000000">
        <w:rPr>
          <w:rFonts w:ascii="Arial" w:cs="Arial" w:eastAsia="Arial" w:hAnsi="Arial"/>
          <w:i w:val="1"/>
          <w:sz w:val="22"/>
          <w:szCs w:val="22"/>
          <w:rtl w:val="0"/>
        </w:rPr>
        <w:t xml:space="preserve">Mejor gestión del agua para mitigar impactos del cambio climático en 5 comunidades del área de influencia indirecta de la Unidad Minera Constancia (UMC), </w:t>
      </w:r>
      <w:r w:rsidDel="00000000" w:rsidR="00000000" w:rsidRPr="00000000">
        <w:rPr>
          <w:rFonts w:ascii="Arial" w:cs="Arial" w:eastAsia="Arial" w:hAnsi="Arial"/>
          <w:sz w:val="22"/>
          <w:szCs w:val="22"/>
          <w:rtl w:val="0"/>
        </w:rPr>
        <w:t xml:space="preserve"> representa una iniciativa clave para mejorar la gestión del recurso hídrico en las comunidades del área de influencia indirecta de la UMC. Su enfoque integral, que combina diagnóstico, capacitación e infraestructura hídrica sostenible, permitirá fortalecer la resiliencia de la población ante los efectos del cambio climático y garantizar el acceso eficiente al agua.</w:t>
      </w:r>
    </w:p>
    <w:p w:rsidR="00000000" w:rsidDel="00000000" w:rsidP="00000000" w:rsidRDefault="00000000" w:rsidRPr="00000000" w14:paraId="0000002A">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éxito del programa dependerá de su correcta ejecución, del compromiso de las comunidades y del seguimiento continuo que asegure su efectividad a largo plazo.</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E"/>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B93B6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B93B6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B93B62"/>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B93B62"/>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B93B62"/>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B93B6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B93B6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93B6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93B6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93B6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B93B6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B93B6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B93B6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B93B6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B93B6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93B6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93B6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93B62"/>
    <w:rPr>
      <w:rFonts w:cstheme="majorBidi" w:eastAsiaTheme="majorEastAsia"/>
      <w:color w:val="272727" w:themeColor="text1" w:themeTint="0000D8"/>
    </w:rPr>
  </w:style>
  <w:style w:type="paragraph" w:styleId="Ttulo">
    <w:name w:val="Title"/>
    <w:basedOn w:val="Normal"/>
    <w:next w:val="Normal"/>
    <w:link w:val="TtuloCar"/>
    <w:uiPriority w:val="10"/>
    <w:qFormat w:val="1"/>
    <w:rsid w:val="00B93B6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B93B62"/>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B93B6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B93B6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93B6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93B62"/>
    <w:rPr>
      <w:i w:val="1"/>
      <w:iCs w:val="1"/>
      <w:color w:val="404040" w:themeColor="text1" w:themeTint="0000BF"/>
    </w:rPr>
  </w:style>
  <w:style w:type="paragraph" w:styleId="Prrafodelista">
    <w:name w:val="List Paragraph"/>
    <w:basedOn w:val="Normal"/>
    <w:uiPriority w:val="34"/>
    <w:qFormat w:val="1"/>
    <w:rsid w:val="00B93B62"/>
    <w:pPr>
      <w:ind w:left="720"/>
      <w:contextualSpacing w:val="1"/>
    </w:pPr>
  </w:style>
  <w:style w:type="character" w:styleId="nfasisintenso">
    <w:name w:val="Intense Emphasis"/>
    <w:basedOn w:val="Fuentedeprrafopredeter"/>
    <w:uiPriority w:val="21"/>
    <w:qFormat w:val="1"/>
    <w:rsid w:val="00B93B62"/>
    <w:rPr>
      <w:i w:val="1"/>
      <w:iCs w:val="1"/>
      <w:color w:val="0f4761" w:themeColor="accent1" w:themeShade="0000BF"/>
    </w:rPr>
  </w:style>
  <w:style w:type="paragraph" w:styleId="Citadestacada">
    <w:name w:val="Intense Quote"/>
    <w:basedOn w:val="Normal"/>
    <w:next w:val="Normal"/>
    <w:link w:val="CitadestacadaCar"/>
    <w:uiPriority w:val="30"/>
    <w:qFormat w:val="1"/>
    <w:rsid w:val="00B93B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B93B62"/>
    <w:rPr>
      <w:i w:val="1"/>
      <w:iCs w:val="1"/>
      <w:color w:val="0f4761" w:themeColor="accent1" w:themeShade="0000BF"/>
    </w:rPr>
  </w:style>
  <w:style w:type="character" w:styleId="Referenciaintensa">
    <w:name w:val="Intense Reference"/>
    <w:basedOn w:val="Fuentedeprrafopredeter"/>
    <w:uiPriority w:val="32"/>
    <w:qFormat w:val="1"/>
    <w:rsid w:val="00B93B62"/>
    <w:rPr>
      <w:b w:val="1"/>
      <w:bCs w:val="1"/>
      <w:smallCaps w:val="1"/>
      <w:color w:val="0f4761" w:themeColor="accent1" w:themeShade="0000BF"/>
      <w:spacing w:val="5"/>
    </w:rPr>
  </w:style>
  <w:style w:type="character" w:styleId="Hipervnculo">
    <w:name w:val="Hyperlink"/>
    <w:basedOn w:val="Fuentedeprrafopredeter"/>
    <w:uiPriority w:val="99"/>
    <w:unhideWhenUsed w:val="1"/>
    <w:rsid w:val="006B77E8"/>
    <w:rPr>
      <w:color w:val="467886" w:themeColor="hyperlink"/>
      <w:u w:val="single"/>
    </w:rPr>
  </w:style>
  <w:style w:type="character" w:styleId="Mencinsinresolver1" w:customStyle="1">
    <w:name w:val="Mención sin resolver1"/>
    <w:basedOn w:val="Fuentedeprrafopredeter"/>
    <w:uiPriority w:val="99"/>
    <w:semiHidden w:val="1"/>
    <w:unhideWhenUsed w:val="1"/>
    <w:rsid w:val="006B77E8"/>
    <w:rPr>
      <w:color w:val="605e5c"/>
      <w:shd w:color="auto" w:fill="e1dfdd" w:val="clear"/>
    </w:rPr>
  </w:style>
  <w:style w:type="character" w:styleId="Textoennegrita">
    <w:name w:val="Strong"/>
    <w:basedOn w:val="Fuentedeprrafopredeter"/>
    <w:uiPriority w:val="22"/>
    <w:qFormat w:val="1"/>
    <w:rsid w:val="00517715"/>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rge.barbaran@hudbayminerals.com" TargetMode="External"/><Relationship Id="rId8" Type="http://schemas.openxmlformats.org/officeDocument/2006/relationships/hyperlink" Target="mailto:pino.balarezo@hudbayminera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Kre70x1JsPeKGCnGlcyz/7zxw==">CgMxLjA4AHIhMU10ZURLckhaWEp2SXVLZHFGQ1pZdkcwVkM1YkRmT254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2025-04-23T23:16:00Z</dcterms:created>
  <dc:creator>CARMEN XIMENA LEON BERRIOS</dc:creator>
</cp:coreProperties>
</file>