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8774" w14:textId="0EF640AC" w:rsidR="00CA50A5" w:rsidRPr="00B659DE" w:rsidRDefault="00510356" w:rsidP="0070538E">
      <w:pPr>
        <w:pStyle w:val="AusencoNormal"/>
        <w:spacing w:before="120" w:after="120" w:line="360" w:lineRule="auto"/>
        <w:rPr>
          <w:rFonts w:ascii="Arial" w:hAnsi="Arial" w:cs="Arial"/>
          <w:sz w:val="22"/>
          <w:szCs w:val="22"/>
          <w:lang w:val="es-PE"/>
        </w:rPr>
      </w:pPr>
      <w:r w:rsidRPr="00B659DE">
        <w:rPr>
          <w:rFonts w:ascii="Arial" w:hAnsi="Arial" w:cs="Arial"/>
          <w:sz w:val="22"/>
          <w:szCs w:val="22"/>
          <w:lang w:val="es-PE"/>
        </w:rPr>
        <w:t>Título</w:t>
      </w:r>
      <w:r w:rsidR="0070538E" w:rsidRPr="00B659DE">
        <w:rPr>
          <w:rFonts w:ascii="Arial" w:hAnsi="Arial" w:cs="Arial"/>
          <w:sz w:val="22"/>
          <w:szCs w:val="22"/>
          <w:lang w:val="es-PE"/>
        </w:rPr>
        <w:t>:</w:t>
      </w:r>
      <w:r w:rsidRPr="00B659DE">
        <w:rPr>
          <w:rFonts w:ascii="Arial" w:hAnsi="Arial" w:cs="Arial"/>
          <w:sz w:val="22"/>
          <w:szCs w:val="22"/>
          <w:lang w:val="es-PE"/>
        </w:rPr>
        <w:t xml:space="preserve"> </w:t>
      </w:r>
      <w:r w:rsidR="0070538E" w:rsidRPr="00B659DE">
        <w:rPr>
          <w:rFonts w:ascii="Arial" w:hAnsi="Arial" w:cs="Arial"/>
          <w:sz w:val="22"/>
          <w:szCs w:val="22"/>
          <w:lang w:val="es-PE"/>
        </w:rPr>
        <w:t xml:space="preserve"> </w:t>
      </w:r>
      <w:r w:rsidR="00B659DE" w:rsidRPr="00B659DE">
        <w:rPr>
          <w:rFonts w:ascii="Arial" w:hAnsi="Arial" w:cs="Arial"/>
          <w:sz w:val="22"/>
          <w:szCs w:val="22"/>
          <w:lang w:val="es-PE"/>
        </w:rPr>
        <w:t>Metodología para el análisis de riesgo climático en</w:t>
      </w:r>
      <w:r w:rsidR="00B659DE">
        <w:rPr>
          <w:rFonts w:ascii="Arial" w:hAnsi="Arial" w:cs="Arial"/>
          <w:sz w:val="22"/>
          <w:szCs w:val="22"/>
          <w:lang w:val="es-PE"/>
        </w:rPr>
        <w:t xml:space="preserve"> los proyectos mineros</w:t>
      </w:r>
      <w:r w:rsidR="00DA76EC">
        <w:rPr>
          <w:rFonts w:ascii="Arial" w:hAnsi="Arial" w:cs="Arial"/>
          <w:sz w:val="22"/>
          <w:szCs w:val="22"/>
          <w:lang w:val="es-PE"/>
        </w:rPr>
        <w:t xml:space="preserve">, estudios de caso en América latina y Canadá. </w:t>
      </w:r>
    </w:p>
    <w:p w14:paraId="5358B55C" w14:textId="77777777" w:rsidR="006C30CC" w:rsidRPr="009261C4" w:rsidRDefault="006C30CC" w:rsidP="006C30CC">
      <w:pPr>
        <w:pStyle w:val="AusencoNormal"/>
        <w:spacing w:before="120" w:after="120" w:line="360" w:lineRule="auto"/>
        <w:rPr>
          <w:rFonts w:ascii="Arial" w:hAnsi="Arial" w:cs="Arial"/>
          <w:sz w:val="22"/>
          <w:szCs w:val="22"/>
          <w:lang w:val="es-PE"/>
        </w:rPr>
      </w:pPr>
      <w:r w:rsidRPr="009261C4">
        <w:rPr>
          <w:rFonts w:ascii="Arial" w:hAnsi="Arial" w:cs="Arial"/>
          <w:sz w:val="22"/>
          <w:szCs w:val="22"/>
          <w:lang w:val="es-PE"/>
        </w:rPr>
        <w:t xml:space="preserve">Tema: Riesgo Climático </w:t>
      </w:r>
    </w:p>
    <w:p w14:paraId="266CB5F7" w14:textId="08AD64A3" w:rsidR="0070538E" w:rsidRPr="006E03F6" w:rsidRDefault="00BD2B0D" w:rsidP="0070538E">
      <w:pPr>
        <w:pStyle w:val="AusencoNormal"/>
        <w:spacing w:before="120" w:after="120" w:line="360" w:lineRule="auto"/>
        <w:rPr>
          <w:rFonts w:ascii="Arial" w:hAnsi="Arial" w:cs="Arial"/>
          <w:sz w:val="22"/>
          <w:szCs w:val="22"/>
          <w:lang w:val="es-PE"/>
        </w:rPr>
      </w:pPr>
      <w:r w:rsidRPr="006E03F6">
        <w:rPr>
          <w:rFonts w:ascii="Arial" w:hAnsi="Arial" w:cs="Arial"/>
          <w:sz w:val="22"/>
          <w:szCs w:val="22"/>
          <w:lang w:val="es-PE"/>
        </w:rPr>
        <w:t>Categoría</w:t>
      </w:r>
      <w:r w:rsidR="0070538E" w:rsidRPr="006E03F6">
        <w:rPr>
          <w:rFonts w:ascii="Arial" w:hAnsi="Arial" w:cs="Arial"/>
          <w:sz w:val="22"/>
          <w:szCs w:val="22"/>
          <w:lang w:val="es-PE"/>
        </w:rPr>
        <w:t>: ESG (</w:t>
      </w:r>
      <w:proofErr w:type="spellStart"/>
      <w:r w:rsidR="0070538E" w:rsidRPr="006E03F6">
        <w:rPr>
          <w:rFonts w:ascii="Arial" w:hAnsi="Arial" w:cs="Arial"/>
          <w:sz w:val="22"/>
          <w:szCs w:val="22"/>
          <w:lang w:val="es-PE"/>
        </w:rPr>
        <w:t>Environmental</w:t>
      </w:r>
      <w:proofErr w:type="spellEnd"/>
      <w:r w:rsidR="0070538E" w:rsidRPr="006E03F6">
        <w:rPr>
          <w:rFonts w:ascii="Arial" w:hAnsi="Arial" w:cs="Arial"/>
          <w:sz w:val="22"/>
          <w:szCs w:val="22"/>
          <w:lang w:val="es-PE"/>
        </w:rPr>
        <w:t xml:space="preserve">, Social, </w:t>
      </w:r>
      <w:proofErr w:type="spellStart"/>
      <w:r w:rsidR="0070538E" w:rsidRPr="006E03F6">
        <w:rPr>
          <w:rFonts w:ascii="Arial" w:hAnsi="Arial" w:cs="Arial"/>
          <w:sz w:val="22"/>
          <w:szCs w:val="22"/>
          <w:lang w:val="es-PE"/>
        </w:rPr>
        <w:t>Governance</w:t>
      </w:r>
      <w:proofErr w:type="spellEnd"/>
      <w:r w:rsidR="0070538E" w:rsidRPr="006E03F6">
        <w:rPr>
          <w:rFonts w:ascii="Arial" w:hAnsi="Arial" w:cs="Arial"/>
          <w:sz w:val="22"/>
          <w:szCs w:val="22"/>
          <w:lang w:val="es-PE"/>
        </w:rPr>
        <w:t>)</w:t>
      </w:r>
    </w:p>
    <w:p w14:paraId="31156643" w14:textId="2CF74FC7" w:rsidR="009261C4" w:rsidRDefault="0070538E" w:rsidP="0070538E">
      <w:pPr>
        <w:pStyle w:val="AusencoNormal"/>
        <w:spacing w:before="120" w:after="120" w:line="360" w:lineRule="auto"/>
        <w:rPr>
          <w:rFonts w:ascii="Arial" w:hAnsi="Arial" w:cs="Arial"/>
          <w:sz w:val="22"/>
          <w:szCs w:val="22"/>
          <w:lang w:val="es-PE"/>
        </w:rPr>
      </w:pPr>
      <w:r w:rsidRPr="0070538E">
        <w:rPr>
          <w:rFonts w:ascii="Arial" w:hAnsi="Arial" w:cs="Arial"/>
          <w:sz w:val="22"/>
          <w:szCs w:val="22"/>
          <w:lang w:val="es-PE"/>
        </w:rPr>
        <w:t>Autor: Andrea Calderon</w:t>
      </w:r>
      <w:r w:rsidR="00ED2DE5">
        <w:rPr>
          <w:rFonts w:ascii="Arial" w:hAnsi="Arial" w:cs="Arial"/>
          <w:sz w:val="22"/>
          <w:szCs w:val="22"/>
          <w:lang w:val="es-PE"/>
        </w:rPr>
        <w:t xml:space="preserve">, Ausenco, Especialista en </w:t>
      </w:r>
      <w:r w:rsidR="006725F5">
        <w:rPr>
          <w:rFonts w:ascii="Arial" w:hAnsi="Arial" w:cs="Arial"/>
          <w:sz w:val="22"/>
          <w:szCs w:val="22"/>
          <w:lang w:val="es-PE"/>
        </w:rPr>
        <w:t>adaptación y riesgo climático</w:t>
      </w:r>
      <w:r w:rsidR="006E03F6">
        <w:rPr>
          <w:rFonts w:ascii="Arial" w:hAnsi="Arial" w:cs="Arial"/>
          <w:sz w:val="22"/>
          <w:szCs w:val="22"/>
          <w:lang w:val="es-PE"/>
        </w:rPr>
        <w:t xml:space="preserve">, </w:t>
      </w:r>
      <w:hyperlink r:id="rId8" w:history="1">
        <w:r w:rsidR="001E7A4D" w:rsidRPr="00EE36F4">
          <w:rPr>
            <w:rStyle w:val="Hipervnculo"/>
            <w:rFonts w:ascii="Arial" w:hAnsi="Arial" w:cs="Arial"/>
            <w:sz w:val="22"/>
            <w:szCs w:val="22"/>
            <w:lang w:val="es-PE"/>
          </w:rPr>
          <w:t>andrea.calderon@ausenco.com</w:t>
        </w:r>
      </w:hyperlink>
      <w:r w:rsidR="001E7A4D">
        <w:rPr>
          <w:rFonts w:ascii="Arial" w:hAnsi="Arial" w:cs="Arial"/>
          <w:sz w:val="22"/>
          <w:szCs w:val="22"/>
          <w:lang w:val="es-PE"/>
        </w:rPr>
        <w:t xml:space="preserve"> (</w:t>
      </w:r>
      <w:hyperlink r:id="rId9" w:history="1">
        <w:r w:rsidR="001E7A4D" w:rsidRPr="00EE36F4">
          <w:rPr>
            <w:rStyle w:val="Hipervnculo"/>
            <w:rFonts w:ascii="Arial" w:hAnsi="Arial" w:cs="Arial"/>
            <w:sz w:val="22"/>
            <w:szCs w:val="22"/>
            <w:lang w:val="es-PE"/>
          </w:rPr>
          <w:t>andreacb1810@gmail.com</w:t>
        </w:r>
      </w:hyperlink>
      <w:r w:rsidR="001E7A4D">
        <w:rPr>
          <w:rFonts w:ascii="Arial" w:hAnsi="Arial" w:cs="Arial"/>
          <w:sz w:val="22"/>
          <w:szCs w:val="22"/>
          <w:lang w:val="es-PE"/>
        </w:rPr>
        <w:t>), 920157336</w:t>
      </w:r>
    </w:p>
    <w:p w14:paraId="340D2A60" w14:textId="1F316157" w:rsidR="0070538E" w:rsidRPr="0070538E" w:rsidRDefault="001E7A4D" w:rsidP="0070538E">
      <w:pPr>
        <w:pStyle w:val="AusencoNormal"/>
        <w:spacing w:before="120" w:after="120" w:line="360" w:lineRule="auto"/>
        <w:rPr>
          <w:rFonts w:ascii="Arial" w:hAnsi="Arial" w:cs="Arial"/>
          <w:sz w:val="22"/>
          <w:szCs w:val="22"/>
          <w:lang w:val="es-PE"/>
        </w:rPr>
      </w:pPr>
      <w:r>
        <w:rPr>
          <w:rFonts w:ascii="Arial" w:hAnsi="Arial" w:cs="Arial"/>
          <w:sz w:val="22"/>
          <w:szCs w:val="22"/>
          <w:lang w:val="es-PE"/>
        </w:rPr>
        <w:t>Co</w:t>
      </w:r>
      <w:r w:rsidR="003E0AC9">
        <w:rPr>
          <w:rFonts w:ascii="Arial" w:hAnsi="Arial" w:cs="Arial"/>
          <w:sz w:val="22"/>
          <w:szCs w:val="22"/>
          <w:lang w:val="es-PE"/>
        </w:rPr>
        <w:t>autor:</w:t>
      </w:r>
      <w:r w:rsidR="004D5CC4">
        <w:rPr>
          <w:rFonts w:ascii="Arial" w:hAnsi="Arial" w:cs="Arial"/>
          <w:sz w:val="22"/>
          <w:szCs w:val="22"/>
          <w:lang w:val="es-PE"/>
        </w:rPr>
        <w:t xml:space="preserve"> Nathan Debortoli</w:t>
      </w:r>
      <w:r w:rsidR="003E0AC9">
        <w:rPr>
          <w:rFonts w:ascii="Arial" w:hAnsi="Arial" w:cs="Arial"/>
          <w:sz w:val="22"/>
          <w:szCs w:val="22"/>
          <w:lang w:val="es-PE"/>
        </w:rPr>
        <w:t xml:space="preserve">, Ausenco, </w:t>
      </w:r>
      <w:r w:rsidR="00D65179">
        <w:rPr>
          <w:rFonts w:ascii="Arial" w:hAnsi="Arial" w:cs="Arial"/>
          <w:sz w:val="22"/>
          <w:szCs w:val="22"/>
          <w:lang w:val="es-PE"/>
        </w:rPr>
        <w:t xml:space="preserve">Gerente de adaptación y riesgo climático, </w:t>
      </w:r>
      <w:hyperlink r:id="rId10" w:history="1">
        <w:r w:rsidR="00742CDF" w:rsidRPr="00EE36F4">
          <w:rPr>
            <w:rStyle w:val="Hipervnculo"/>
            <w:rFonts w:ascii="Arial" w:hAnsi="Arial" w:cs="Arial"/>
            <w:sz w:val="22"/>
            <w:szCs w:val="22"/>
            <w:lang w:val="es-PE"/>
          </w:rPr>
          <w:t>natha.debortoli@ausenco.com</w:t>
        </w:r>
      </w:hyperlink>
      <w:r w:rsidR="00742CDF">
        <w:rPr>
          <w:rFonts w:ascii="Arial" w:hAnsi="Arial" w:cs="Arial"/>
          <w:sz w:val="22"/>
          <w:szCs w:val="22"/>
          <w:lang w:val="es-PE"/>
        </w:rPr>
        <w:t xml:space="preserve"> </w:t>
      </w:r>
    </w:p>
    <w:p w14:paraId="0C49C611" w14:textId="77777777" w:rsidR="001A08F5" w:rsidRDefault="0070538E" w:rsidP="001A08F5">
      <w:pPr>
        <w:pStyle w:val="AusencoNormal"/>
        <w:spacing w:before="120" w:after="120" w:line="360" w:lineRule="auto"/>
        <w:rPr>
          <w:rFonts w:ascii="Arial" w:hAnsi="Arial" w:cs="Arial"/>
          <w:sz w:val="22"/>
          <w:szCs w:val="22"/>
          <w:lang w:val="es-PE"/>
        </w:rPr>
      </w:pPr>
      <w:r w:rsidRPr="0070538E">
        <w:rPr>
          <w:rFonts w:ascii="Arial" w:hAnsi="Arial" w:cs="Arial"/>
          <w:sz w:val="22"/>
          <w:szCs w:val="22"/>
          <w:lang w:val="es-PE"/>
        </w:rPr>
        <w:t>Palabras claves:</w:t>
      </w:r>
      <w:r w:rsidR="00275DF2">
        <w:rPr>
          <w:rFonts w:ascii="Arial" w:hAnsi="Arial" w:cs="Arial"/>
          <w:sz w:val="22"/>
          <w:szCs w:val="22"/>
          <w:lang w:val="es-PE"/>
        </w:rPr>
        <w:t xml:space="preserve"> Cambio climático, </w:t>
      </w:r>
      <w:r w:rsidR="00477878">
        <w:rPr>
          <w:rFonts w:ascii="Arial" w:hAnsi="Arial" w:cs="Arial"/>
          <w:sz w:val="22"/>
          <w:szCs w:val="22"/>
          <w:lang w:val="es-PE"/>
        </w:rPr>
        <w:t xml:space="preserve">minería, riesgo climático, </w:t>
      </w:r>
      <w:r w:rsidR="00FE5B89">
        <w:rPr>
          <w:rFonts w:ascii="Arial" w:hAnsi="Arial" w:cs="Arial"/>
          <w:sz w:val="22"/>
          <w:szCs w:val="22"/>
          <w:lang w:val="es-PE"/>
        </w:rPr>
        <w:t>adaptación, infraestructura minera</w:t>
      </w:r>
      <w:r w:rsidR="00BD2B0D">
        <w:rPr>
          <w:rFonts w:ascii="Arial" w:hAnsi="Arial" w:cs="Arial"/>
          <w:sz w:val="22"/>
          <w:szCs w:val="22"/>
          <w:lang w:val="es-PE"/>
        </w:rPr>
        <w:t xml:space="preserve"> y escenarios climáticos. </w:t>
      </w:r>
    </w:p>
    <w:p w14:paraId="7C92FD2D" w14:textId="0FB41535" w:rsidR="00120F6D" w:rsidRPr="00120F6D" w:rsidRDefault="0085230D" w:rsidP="00120F6D">
      <w:pPr>
        <w:pStyle w:val="AusencoNormal"/>
        <w:spacing w:before="120" w:after="120" w:line="360" w:lineRule="auto"/>
        <w:rPr>
          <w:rFonts w:ascii="Arial" w:hAnsi="Arial" w:cs="Arial"/>
          <w:sz w:val="22"/>
          <w:szCs w:val="22"/>
          <w:lang w:val="es-PE"/>
        </w:rPr>
      </w:pPr>
      <w:r w:rsidRPr="000A6F60">
        <w:rPr>
          <w:rFonts w:ascii="Arial" w:hAnsi="Arial" w:cs="Arial"/>
          <w:sz w:val="24"/>
          <w:lang w:val="es-PE"/>
        </w:rPr>
        <w:t>Introducción</w:t>
      </w:r>
      <w:r w:rsidR="001A08F5">
        <w:rPr>
          <w:rFonts w:ascii="Arial" w:hAnsi="Arial" w:cs="Arial"/>
          <w:sz w:val="24"/>
          <w:lang w:val="es-PE"/>
        </w:rPr>
        <w:t xml:space="preserve">: </w:t>
      </w:r>
      <w:r w:rsidR="00120F6D" w:rsidRPr="00120F6D">
        <w:rPr>
          <w:rFonts w:ascii="Arial" w:hAnsi="Arial" w:cs="Arial"/>
          <w:sz w:val="22"/>
          <w:szCs w:val="22"/>
          <w:lang w:val="es-PE"/>
        </w:rPr>
        <w:t>En las últimas décadas, el sector minero ha sufrido fuertes impactos a nivel global debido a los efectos del cambio climático, reflejados en la creciente frecuencia de fenómenos extremos como sequías prolongadas, lluvias torrenciales, inundaciones y olas de calor. A nivel mundial, se calcula que las pérdidas anuales por interrupciones operativas y daños asociados al clima superan los US$ 10.000 millones. La escasez de agua compromete operaciones fundamentales en la minería, mientras que los eventos de inundación y deslizamientos generan riesgos para la logística de transporte y la estabilidad de las presas de relaves. A esto se suma una presión creciente de la sociedad civil y de nuevas regulaciones que exigen prácticas más sostenibles y resilientes por parte de la industria.</w:t>
      </w:r>
    </w:p>
    <w:p w14:paraId="74F05258" w14:textId="77777777" w:rsidR="00120F6D" w:rsidRPr="00120F6D" w:rsidRDefault="00120F6D" w:rsidP="00120F6D">
      <w:pPr>
        <w:pStyle w:val="AusencoNormal"/>
        <w:spacing w:before="120" w:after="120" w:line="360" w:lineRule="auto"/>
        <w:rPr>
          <w:rFonts w:ascii="Arial" w:hAnsi="Arial" w:cs="Arial"/>
          <w:sz w:val="22"/>
          <w:szCs w:val="22"/>
          <w:lang w:val="es-PE"/>
        </w:rPr>
      </w:pPr>
      <w:r w:rsidRPr="00120F6D">
        <w:rPr>
          <w:rFonts w:ascii="Arial" w:hAnsi="Arial" w:cs="Arial"/>
          <w:sz w:val="22"/>
          <w:szCs w:val="22"/>
          <w:lang w:val="es-PE"/>
        </w:rPr>
        <w:t>El análisis revisado plantea la necesidad de adoptar una estrategia integral para gestionar los riesgos climáticos en toda la cadena minera, desde el punto de extracción hasta los puertos de exportación. Esta propuesta combina información climática, variables socioeconómicas y saberes locales. La metodología sugerida se centra en mapear amenazas, identificar vulnerabilidades y evaluar niveles de exposición, utilizando como referencia distintos escenarios de cambio climático proyectados por el IPCC.</w:t>
      </w:r>
    </w:p>
    <w:p w14:paraId="68A598FB" w14:textId="1B84CBD4" w:rsidR="00BF565E" w:rsidRDefault="00120F6D" w:rsidP="00120F6D">
      <w:pPr>
        <w:pStyle w:val="AusencoNormal"/>
        <w:spacing w:before="120" w:after="120" w:line="360" w:lineRule="auto"/>
        <w:rPr>
          <w:rFonts w:ascii="Arial" w:hAnsi="Arial" w:cs="Arial"/>
          <w:sz w:val="22"/>
          <w:szCs w:val="22"/>
          <w:lang w:val="es-PE"/>
        </w:rPr>
      </w:pPr>
      <w:r w:rsidRPr="00120F6D">
        <w:rPr>
          <w:rFonts w:ascii="Arial" w:hAnsi="Arial" w:cs="Arial"/>
          <w:sz w:val="22"/>
          <w:szCs w:val="22"/>
          <w:lang w:val="es-PE"/>
        </w:rPr>
        <w:t>Los estudios de caso realizados en países de América Latina y Canadá evidenciaron que la cadena de valor minera es altamente vulnerable a los impactos climáticos, con costos de adaptación que oscilan entre US$ 100 y 700 millones por proyecto. Además, se detectó una carencia significativa de capacidades técnicas para integrar datos climáticos futuros en el diseño y planificación de infraestructura, lo que podría comprometer tanto la seguridad como la eficiencia de las operaciones mineras.</w:t>
      </w:r>
    </w:p>
    <w:p w14:paraId="7871AA94" w14:textId="77777777" w:rsidR="00FC7B1A" w:rsidRPr="00A178FF" w:rsidRDefault="00FC7B1A" w:rsidP="00FC7B1A">
      <w:pPr>
        <w:pStyle w:val="AusencoNormal"/>
        <w:spacing w:before="120" w:after="120" w:line="360" w:lineRule="auto"/>
        <w:rPr>
          <w:rFonts w:ascii="Arial" w:hAnsi="Arial" w:cs="Arial"/>
          <w:b/>
          <w:bCs/>
          <w:sz w:val="22"/>
          <w:szCs w:val="22"/>
          <w:u w:val="single"/>
          <w:lang w:val="es-PE"/>
        </w:rPr>
      </w:pPr>
      <w:r w:rsidRPr="00A178FF">
        <w:rPr>
          <w:rFonts w:ascii="Arial" w:hAnsi="Arial" w:cs="Arial"/>
          <w:b/>
          <w:bCs/>
          <w:sz w:val="22"/>
          <w:szCs w:val="22"/>
          <w:u w:val="single"/>
          <w:lang w:val="es-PE"/>
        </w:rPr>
        <w:t>Objetivos</w:t>
      </w:r>
    </w:p>
    <w:p w14:paraId="3BA9E5C7" w14:textId="330560A4" w:rsidR="00FC7B1A" w:rsidRPr="00FC7B1A" w:rsidRDefault="00FC7B1A" w:rsidP="001A08F5">
      <w:pPr>
        <w:pStyle w:val="AusencoNormal"/>
        <w:spacing w:before="120" w:after="120" w:line="360" w:lineRule="auto"/>
        <w:rPr>
          <w:rFonts w:ascii="Arial" w:hAnsi="Arial" w:cs="Arial"/>
          <w:sz w:val="22"/>
          <w:szCs w:val="22"/>
          <w:lang w:val="es-PE"/>
        </w:rPr>
      </w:pPr>
      <w:r w:rsidRPr="00FC7B1A">
        <w:rPr>
          <w:rFonts w:ascii="Arial" w:hAnsi="Arial" w:cs="Arial"/>
          <w:sz w:val="22"/>
          <w:szCs w:val="22"/>
          <w:lang w:val="es-PE"/>
        </w:rPr>
        <w:lastRenderedPageBreak/>
        <w:t>Desarrollar y aplicar un marco integral de riesgo climático en tres estudios de caso en Sudamérica</w:t>
      </w:r>
      <w:r w:rsidR="00624992">
        <w:rPr>
          <w:rFonts w:ascii="Arial" w:hAnsi="Arial" w:cs="Arial"/>
          <w:sz w:val="22"/>
          <w:szCs w:val="22"/>
          <w:lang w:val="es-PE"/>
        </w:rPr>
        <w:t xml:space="preserve"> y </w:t>
      </w:r>
      <w:proofErr w:type="spellStart"/>
      <w:r w:rsidR="00624992">
        <w:rPr>
          <w:rFonts w:ascii="Arial" w:hAnsi="Arial" w:cs="Arial"/>
          <w:sz w:val="22"/>
          <w:szCs w:val="22"/>
          <w:lang w:val="es-PE"/>
        </w:rPr>
        <w:t>canada</w:t>
      </w:r>
      <w:proofErr w:type="spellEnd"/>
      <w:r w:rsidRPr="00FC7B1A">
        <w:rPr>
          <w:rFonts w:ascii="Arial" w:hAnsi="Arial" w:cs="Arial"/>
          <w:sz w:val="22"/>
          <w:szCs w:val="22"/>
          <w:lang w:val="es-PE"/>
        </w:rPr>
        <w:t>, abarcando operaciones integradas desde la mina hasta el puerto.</w:t>
      </w:r>
    </w:p>
    <w:p w14:paraId="7FE0E06D" w14:textId="201548B6" w:rsidR="00FC7B1A" w:rsidRPr="00FC7B1A" w:rsidRDefault="00FC7B1A" w:rsidP="001A08F5">
      <w:pPr>
        <w:pStyle w:val="AusencoNormal"/>
        <w:spacing w:before="120" w:after="120" w:line="360" w:lineRule="auto"/>
        <w:rPr>
          <w:rFonts w:ascii="Arial" w:hAnsi="Arial" w:cs="Arial"/>
          <w:sz w:val="22"/>
          <w:szCs w:val="22"/>
          <w:lang w:val="es-PE"/>
        </w:rPr>
      </w:pPr>
      <w:r w:rsidRPr="00FC7B1A">
        <w:rPr>
          <w:rFonts w:ascii="Arial" w:hAnsi="Arial" w:cs="Arial"/>
          <w:sz w:val="22"/>
          <w:szCs w:val="22"/>
          <w:lang w:val="es-PE"/>
        </w:rPr>
        <w:t>Identificar puntos de inflexión y umbrales críticos de infraestructura bajo escenarios climáticos extremos para asegurar una mayor resiliencia operativa.</w:t>
      </w:r>
    </w:p>
    <w:p w14:paraId="2B253DE3" w14:textId="094295F3" w:rsidR="00FC7B1A" w:rsidRDefault="00FC7B1A" w:rsidP="001A08F5">
      <w:pPr>
        <w:pStyle w:val="AusencoNormal"/>
        <w:spacing w:before="120" w:after="120" w:line="360" w:lineRule="auto"/>
        <w:rPr>
          <w:rFonts w:ascii="Arial" w:hAnsi="Arial" w:cs="Arial"/>
          <w:sz w:val="22"/>
          <w:szCs w:val="22"/>
          <w:lang w:val="es-PE"/>
        </w:rPr>
      </w:pPr>
      <w:r w:rsidRPr="00FC7B1A">
        <w:rPr>
          <w:rFonts w:ascii="Arial" w:hAnsi="Arial" w:cs="Arial"/>
          <w:sz w:val="22"/>
          <w:szCs w:val="22"/>
          <w:lang w:val="es-PE"/>
        </w:rPr>
        <w:t>Adoptar una perspectiva sistémica integrando variables ambientales, socioeconómicas y de gobernanza, así como conocimientos locales, en la formulación de estrategias de adaptación.</w:t>
      </w:r>
    </w:p>
    <w:p w14:paraId="73A64384" w14:textId="608B70A9" w:rsidR="00E92928" w:rsidRPr="00E92928" w:rsidRDefault="00E92928" w:rsidP="00E92928">
      <w:pPr>
        <w:pStyle w:val="AusencoNormal"/>
        <w:spacing w:before="120" w:after="120" w:line="360" w:lineRule="auto"/>
        <w:rPr>
          <w:rFonts w:ascii="Arial" w:hAnsi="Arial" w:cs="Arial"/>
          <w:sz w:val="22"/>
          <w:szCs w:val="22"/>
          <w:lang w:val="es-PE"/>
        </w:rPr>
      </w:pPr>
      <w:r w:rsidRPr="00A178FF">
        <w:rPr>
          <w:rFonts w:ascii="Arial" w:hAnsi="Arial" w:cs="Arial"/>
          <w:b/>
          <w:bCs/>
          <w:sz w:val="22"/>
          <w:szCs w:val="22"/>
          <w:u w:val="single"/>
          <w:lang w:val="es-PE"/>
        </w:rPr>
        <w:t>Metodología</w:t>
      </w:r>
      <w:r w:rsidR="001A08F5">
        <w:rPr>
          <w:rFonts w:ascii="Arial" w:hAnsi="Arial" w:cs="Arial"/>
          <w:b/>
          <w:bCs/>
          <w:sz w:val="22"/>
          <w:szCs w:val="22"/>
          <w:u w:val="single"/>
          <w:lang w:val="es-PE"/>
        </w:rPr>
        <w:t xml:space="preserve">: </w:t>
      </w:r>
      <w:r w:rsidRPr="00E92928">
        <w:rPr>
          <w:rFonts w:ascii="Arial" w:hAnsi="Arial" w:cs="Arial"/>
          <w:sz w:val="22"/>
          <w:szCs w:val="22"/>
          <w:lang w:val="es-PE"/>
        </w:rPr>
        <w:t>Este estudio se basa en protocolos internacionales como el AR6 del IPCC, el Marco de Sendai, PIEVC, PIANC y normas ISO, adaptándolos al contexto minero. Los pasos incluyen:</w:t>
      </w:r>
    </w:p>
    <w:p w14:paraId="4C7922FA" w14:textId="703E49F2" w:rsidR="00E92928" w:rsidRPr="00E92928" w:rsidRDefault="00E92928" w:rsidP="001A08F5">
      <w:pPr>
        <w:pStyle w:val="AusencoNormal"/>
        <w:spacing w:before="120" w:after="120" w:line="360" w:lineRule="auto"/>
        <w:rPr>
          <w:rFonts w:ascii="Arial" w:hAnsi="Arial" w:cs="Arial"/>
          <w:sz w:val="22"/>
          <w:szCs w:val="22"/>
          <w:lang w:val="es-PE"/>
        </w:rPr>
      </w:pPr>
      <w:r w:rsidRPr="00E92928">
        <w:rPr>
          <w:rFonts w:ascii="Arial" w:hAnsi="Arial" w:cs="Arial"/>
          <w:sz w:val="22"/>
          <w:szCs w:val="22"/>
          <w:lang w:val="es-PE"/>
        </w:rPr>
        <w:t>Identificación de amenazas: Mapeo de eventos climáticos críticos (lluvias extremas, inundaciones, sequías, aumento del nivel del mar y derretimiento del permafrost).</w:t>
      </w:r>
    </w:p>
    <w:p w14:paraId="5E3FB825" w14:textId="5FC456AE" w:rsidR="00E92928" w:rsidRPr="00E92928" w:rsidRDefault="00E92928" w:rsidP="001A08F5">
      <w:pPr>
        <w:pStyle w:val="AusencoNormal"/>
        <w:spacing w:before="120" w:after="120" w:line="360" w:lineRule="auto"/>
        <w:rPr>
          <w:rFonts w:ascii="Arial" w:hAnsi="Arial" w:cs="Arial"/>
          <w:sz w:val="22"/>
          <w:szCs w:val="22"/>
          <w:lang w:val="es-PE"/>
        </w:rPr>
      </w:pPr>
      <w:r w:rsidRPr="00E92928">
        <w:rPr>
          <w:rFonts w:ascii="Arial" w:hAnsi="Arial" w:cs="Arial"/>
          <w:sz w:val="22"/>
          <w:szCs w:val="22"/>
          <w:lang w:val="es-PE"/>
        </w:rPr>
        <w:t>Evaluación de exposición y vulnerabilidad: Determinación de qué infraestructuras, poblaciones y ecosistemas están en riesgo y qué tan sensibles son a dichos eventos.</w:t>
      </w:r>
    </w:p>
    <w:p w14:paraId="4D884FCA" w14:textId="0E318175" w:rsidR="00E92928" w:rsidRPr="00E92928" w:rsidRDefault="00E92928" w:rsidP="001A08F5">
      <w:pPr>
        <w:pStyle w:val="AusencoNormal"/>
        <w:spacing w:before="120" w:after="120" w:line="360" w:lineRule="auto"/>
        <w:rPr>
          <w:rFonts w:ascii="Arial" w:hAnsi="Arial" w:cs="Arial"/>
          <w:sz w:val="22"/>
          <w:szCs w:val="22"/>
          <w:lang w:val="es-PE"/>
        </w:rPr>
      </w:pPr>
      <w:r w:rsidRPr="00E92928">
        <w:rPr>
          <w:rFonts w:ascii="Arial" w:hAnsi="Arial" w:cs="Arial"/>
          <w:sz w:val="22"/>
          <w:szCs w:val="22"/>
          <w:lang w:val="es-PE"/>
        </w:rPr>
        <w:t>Proyecciones climáticas: Integración de escenarios (SSP1-2.6, SSP2-4.5, SSP5-8.5) con técnicas de regionalización para clarificar la distribución espacial y temporal de los riesgos.</w:t>
      </w:r>
    </w:p>
    <w:p w14:paraId="0169C4E4" w14:textId="6435EDE5" w:rsidR="00E92928" w:rsidRPr="00E92928" w:rsidRDefault="00E92928" w:rsidP="001A08F5">
      <w:pPr>
        <w:pStyle w:val="AusencoNormal"/>
        <w:spacing w:before="120" w:after="120" w:line="360" w:lineRule="auto"/>
        <w:rPr>
          <w:rFonts w:ascii="Arial" w:hAnsi="Arial" w:cs="Arial"/>
          <w:sz w:val="22"/>
          <w:szCs w:val="22"/>
          <w:lang w:val="es-PE"/>
        </w:rPr>
      </w:pPr>
      <w:r w:rsidRPr="00E92928">
        <w:rPr>
          <w:rFonts w:ascii="Arial" w:hAnsi="Arial" w:cs="Arial"/>
          <w:sz w:val="22"/>
          <w:szCs w:val="22"/>
          <w:lang w:val="es-PE"/>
        </w:rPr>
        <w:t>Índice de riesgo integrado: Combinación de datos climáticos, ambientales, socioeconómicos y de gobernanza en un índice único que identifica puntos críticos y apoya la priorización de inversiones.</w:t>
      </w:r>
    </w:p>
    <w:p w14:paraId="40F7C447" w14:textId="4E5B47A3" w:rsidR="00E71E6C" w:rsidRDefault="00E92928" w:rsidP="001A08F5">
      <w:pPr>
        <w:pStyle w:val="AusencoNormal"/>
        <w:spacing w:before="120" w:after="120" w:line="360" w:lineRule="auto"/>
        <w:rPr>
          <w:rFonts w:ascii="Arial" w:hAnsi="Arial" w:cs="Arial"/>
          <w:sz w:val="22"/>
          <w:szCs w:val="22"/>
          <w:lang w:val="es-PE"/>
        </w:rPr>
      </w:pPr>
      <w:r w:rsidRPr="00E92928">
        <w:rPr>
          <w:rFonts w:ascii="Arial" w:hAnsi="Arial" w:cs="Arial"/>
          <w:sz w:val="22"/>
          <w:szCs w:val="22"/>
          <w:lang w:val="es-PE"/>
        </w:rPr>
        <w:t>Estrategias de adaptación: Propuesta de medidas que incluyen soluciones de ingeniería, infraestructura verde, reformas regulatorias y fortalecimiento de la gobernanza.</w:t>
      </w:r>
    </w:p>
    <w:p w14:paraId="5440EFFA" w14:textId="22BD8B1F" w:rsidR="004B1201" w:rsidRDefault="000C383C" w:rsidP="001A08F5">
      <w:pPr>
        <w:pStyle w:val="AusencoNormal"/>
        <w:spacing w:before="120" w:after="120" w:line="360" w:lineRule="auto"/>
      </w:pPr>
      <w:r w:rsidRPr="000C383C">
        <w:rPr>
          <w:rFonts w:ascii="Arial" w:hAnsi="Arial" w:cs="Arial"/>
          <w:b/>
          <w:bCs/>
          <w:sz w:val="22"/>
          <w:szCs w:val="22"/>
          <w:u w:val="single"/>
          <w:lang w:val="es-PE"/>
        </w:rPr>
        <w:t>Resultados</w:t>
      </w:r>
      <w:r w:rsidR="001A08F5">
        <w:rPr>
          <w:rFonts w:ascii="Arial" w:hAnsi="Arial" w:cs="Arial"/>
          <w:b/>
          <w:bCs/>
          <w:sz w:val="22"/>
          <w:szCs w:val="22"/>
          <w:u w:val="single"/>
          <w:lang w:val="es-PE"/>
        </w:rPr>
        <w:t xml:space="preserve">: </w:t>
      </w:r>
      <w:r w:rsidRPr="000C383C">
        <w:rPr>
          <w:rFonts w:ascii="Arial" w:hAnsi="Arial" w:cs="Arial"/>
          <w:sz w:val="22"/>
          <w:szCs w:val="22"/>
          <w:lang w:val="es-PE"/>
        </w:rPr>
        <w:t>Estudios en Chile, Perú, Ecuador y Canadá revelaron la vulnerabilidad generalizada del sector minero frente a extremos climáticos, desde amenazas costeras (tormentas y mareas) hasta fallas en oleoductos y ferrocarriles en regiones propensas a inundaciones y al deshielo del permafrost. Se estiman costos de adaptación entre US$100 y US$700 millones, lo que subraya la necesidad de medidas proactivas. Además, la investigación destaca la importancia de enfoques participativos que combinen análisis científico con conocimiento local, buscando planes de acción técnicamente sólidos y sensibles a las realidades locales.</w:t>
      </w:r>
      <w:r w:rsidR="004B1201">
        <w:t xml:space="preserve"> </w:t>
      </w:r>
    </w:p>
    <w:p w14:paraId="1A0E5BA0" w14:textId="470FFA5C" w:rsidR="00B503A1" w:rsidRPr="00B503A1" w:rsidRDefault="00706246" w:rsidP="00B503A1">
      <w:pPr>
        <w:pStyle w:val="AusencoNormal"/>
        <w:spacing w:before="120" w:after="120" w:line="360" w:lineRule="auto"/>
        <w:rPr>
          <w:rFonts w:ascii="Arial" w:hAnsi="Arial" w:cs="Arial"/>
          <w:sz w:val="22"/>
          <w:szCs w:val="22"/>
          <w:lang w:val="es-PE"/>
        </w:rPr>
      </w:pPr>
      <w:r w:rsidRPr="00F231A7">
        <w:rPr>
          <w:rFonts w:ascii="Arial" w:hAnsi="Arial" w:cs="Arial"/>
          <w:b/>
          <w:bCs/>
          <w:sz w:val="22"/>
          <w:szCs w:val="22"/>
          <w:u w:val="single"/>
          <w:lang w:val="es-PE"/>
        </w:rPr>
        <w:t xml:space="preserve">Andrea </w:t>
      </w:r>
      <w:proofErr w:type="spellStart"/>
      <w:r w:rsidRPr="00F231A7">
        <w:rPr>
          <w:rFonts w:ascii="Arial" w:hAnsi="Arial" w:cs="Arial"/>
          <w:b/>
          <w:bCs/>
          <w:sz w:val="22"/>
          <w:szCs w:val="22"/>
          <w:u w:val="single"/>
          <w:lang w:val="es-PE"/>
        </w:rPr>
        <w:t>Calderon</w:t>
      </w:r>
      <w:proofErr w:type="spellEnd"/>
      <w:r w:rsidR="001A08F5">
        <w:rPr>
          <w:rFonts w:ascii="Arial" w:hAnsi="Arial" w:cs="Arial"/>
          <w:b/>
          <w:bCs/>
          <w:sz w:val="22"/>
          <w:szCs w:val="22"/>
          <w:u w:val="single"/>
          <w:lang w:val="es-PE"/>
        </w:rPr>
        <w:t xml:space="preserve">: </w:t>
      </w:r>
      <w:r w:rsidR="00B503A1" w:rsidRPr="00B503A1">
        <w:rPr>
          <w:rFonts w:ascii="Arial" w:hAnsi="Arial" w:cs="Arial"/>
          <w:sz w:val="22"/>
          <w:szCs w:val="22"/>
          <w:lang w:val="es-PE"/>
        </w:rPr>
        <w:t xml:space="preserve">Especialista bilingüe en hidráulica e hidrología y cambio climático, con una maestría en Recursos Hídricos. Cuenta con más de </w:t>
      </w:r>
      <w:r w:rsidR="00B503A1">
        <w:rPr>
          <w:rFonts w:ascii="Arial" w:hAnsi="Arial" w:cs="Arial"/>
          <w:sz w:val="22"/>
          <w:szCs w:val="22"/>
          <w:lang w:val="es-PE"/>
        </w:rPr>
        <w:t xml:space="preserve">7 </w:t>
      </w:r>
      <w:r w:rsidR="00B503A1" w:rsidRPr="00B503A1">
        <w:rPr>
          <w:rFonts w:ascii="Arial" w:hAnsi="Arial" w:cs="Arial"/>
          <w:sz w:val="22"/>
          <w:szCs w:val="22"/>
          <w:lang w:val="es-PE"/>
        </w:rPr>
        <w:t>años de experiencia en los sectores de minería, energía y sostenibilidad manejando proyectos nacionales e internacionales.</w:t>
      </w:r>
    </w:p>
    <w:p w14:paraId="7A8E5CCA" w14:textId="2FC3CCCA" w:rsidR="00D93038" w:rsidRPr="00D93038" w:rsidRDefault="00C946E9" w:rsidP="00D93038">
      <w:pPr>
        <w:pStyle w:val="AusencoNormal"/>
        <w:spacing w:before="120" w:after="120" w:line="360" w:lineRule="auto"/>
        <w:rPr>
          <w:rFonts w:ascii="Arial" w:hAnsi="Arial" w:cs="Arial"/>
          <w:sz w:val="22"/>
          <w:szCs w:val="22"/>
          <w:lang w:val="es-PE"/>
        </w:rPr>
      </w:pPr>
      <w:r>
        <w:rPr>
          <w:rFonts w:ascii="Arial" w:hAnsi="Arial" w:cs="Arial"/>
          <w:sz w:val="22"/>
          <w:szCs w:val="22"/>
          <w:lang w:val="es-PE"/>
        </w:rPr>
        <w:t>E</w:t>
      </w:r>
      <w:r w:rsidR="006E3B21">
        <w:rPr>
          <w:rFonts w:ascii="Arial" w:hAnsi="Arial" w:cs="Arial"/>
          <w:sz w:val="22"/>
          <w:szCs w:val="22"/>
          <w:lang w:val="es-PE"/>
        </w:rPr>
        <w:t xml:space="preserve">xperiencia </w:t>
      </w:r>
      <w:r w:rsidR="00D93038" w:rsidRPr="00D93038">
        <w:rPr>
          <w:rFonts w:ascii="Arial" w:hAnsi="Arial" w:cs="Arial"/>
          <w:sz w:val="22"/>
          <w:szCs w:val="22"/>
          <w:lang w:val="es-PE"/>
        </w:rPr>
        <w:t xml:space="preserve">en modelamiento hidrológico, análisis de información meteorológica para aprovechamiento hídrico y estudios de caracterización climatológica. Así mismo capacitado </w:t>
      </w:r>
      <w:r w:rsidR="00D93038" w:rsidRPr="00D93038">
        <w:rPr>
          <w:rFonts w:ascii="Arial" w:hAnsi="Arial" w:cs="Arial"/>
          <w:sz w:val="22"/>
          <w:szCs w:val="22"/>
          <w:lang w:val="es-PE"/>
        </w:rPr>
        <w:lastRenderedPageBreak/>
        <w:t xml:space="preserve">en modelamiento y diseño de estructuras hidráulicas para aprovechamiento, manejo y control del agua en los sectores de agricultura, energía, transporte, saneamiento y minería.  </w:t>
      </w:r>
    </w:p>
    <w:p w14:paraId="428ABCAD" w14:textId="77777777" w:rsidR="00D93038" w:rsidRPr="00D93038" w:rsidRDefault="00D93038" w:rsidP="00D93038">
      <w:pPr>
        <w:pStyle w:val="AusencoNormal"/>
        <w:spacing w:before="120" w:after="120" w:line="360" w:lineRule="auto"/>
        <w:rPr>
          <w:rFonts w:ascii="Arial" w:hAnsi="Arial" w:cs="Arial"/>
          <w:sz w:val="22"/>
          <w:szCs w:val="22"/>
          <w:lang w:val="es-PE"/>
        </w:rPr>
      </w:pPr>
      <w:r w:rsidRPr="00D93038">
        <w:rPr>
          <w:rFonts w:ascii="Arial" w:hAnsi="Arial" w:cs="Arial"/>
          <w:sz w:val="22"/>
          <w:szCs w:val="22"/>
          <w:lang w:val="es-PE"/>
        </w:rPr>
        <w:t>Análisis del fenómeno del Niño y evaluación de la disponibilidad hídrica Futura para diferentes Unidades Hidrográficas. Modelamiento hidrológico de instalaciones de lixiviación, presas de relaves, reservorios de agua, caminos de acceso-acarreo, entre otro.</w:t>
      </w:r>
    </w:p>
    <w:p w14:paraId="49025F22" w14:textId="23B04C9C" w:rsidR="00706246" w:rsidRPr="006A5A25" w:rsidRDefault="00706246" w:rsidP="000C383C">
      <w:pPr>
        <w:pStyle w:val="AusencoNormal"/>
        <w:spacing w:before="120" w:after="120" w:line="360" w:lineRule="auto"/>
        <w:rPr>
          <w:rFonts w:ascii="Arial" w:hAnsi="Arial" w:cs="Arial"/>
          <w:b/>
          <w:bCs/>
          <w:sz w:val="22"/>
          <w:szCs w:val="22"/>
          <w:u w:val="single"/>
          <w:lang w:val="es-PE"/>
        </w:rPr>
      </w:pPr>
      <w:r w:rsidRPr="006A5A25">
        <w:rPr>
          <w:rFonts w:ascii="Arial" w:hAnsi="Arial" w:cs="Arial"/>
          <w:b/>
          <w:bCs/>
          <w:sz w:val="22"/>
          <w:szCs w:val="22"/>
          <w:u w:val="single"/>
          <w:lang w:val="es-PE"/>
        </w:rPr>
        <w:t xml:space="preserve">Nathan </w:t>
      </w:r>
      <w:proofErr w:type="spellStart"/>
      <w:r w:rsidRPr="006A5A25">
        <w:rPr>
          <w:rFonts w:ascii="Arial" w:hAnsi="Arial" w:cs="Arial"/>
          <w:b/>
          <w:bCs/>
          <w:sz w:val="22"/>
          <w:szCs w:val="22"/>
          <w:u w:val="single"/>
          <w:lang w:val="es-PE"/>
        </w:rPr>
        <w:t>Debortoli</w:t>
      </w:r>
      <w:proofErr w:type="spellEnd"/>
      <w:r w:rsidRPr="006A5A25">
        <w:rPr>
          <w:rFonts w:ascii="Arial" w:hAnsi="Arial" w:cs="Arial"/>
          <w:b/>
          <w:bCs/>
          <w:sz w:val="22"/>
          <w:szCs w:val="22"/>
          <w:u w:val="single"/>
          <w:lang w:val="es-PE"/>
        </w:rPr>
        <w:t xml:space="preserve"> </w:t>
      </w:r>
    </w:p>
    <w:p w14:paraId="3BC7E885" w14:textId="739558C1" w:rsidR="006A5A25" w:rsidRPr="006A5A25" w:rsidRDefault="006A5A25" w:rsidP="006A5A25">
      <w:pPr>
        <w:pStyle w:val="AusencoNormal"/>
        <w:spacing w:before="120" w:after="120" w:line="360" w:lineRule="auto"/>
        <w:rPr>
          <w:rFonts w:ascii="Arial" w:hAnsi="Arial" w:cs="Arial"/>
          <w:sz w:val="22"/>
          <w:szCs w:val="22"/>
          <w:lang w:val="es-PE"/>
        </w:rPr>
      </w:pPr>
      <w:r w:rsidRPr="006A5A25">
        <w:rPr>
          <w:rFonts w:ascii="Arial" w:hAnsi="Arial" w:cs="Arial"/>
          <w:sz w:val="22"/>
          <w:szCs w:val="22"/>
          <w:lang w:val="es-PE"/>
        </w:rPr>
        <w:t>Nathan tiene más de 1</w:t>
      </w:r>
      <w:r>
        <w:rPr>
          <w:rFonts w:ascii="Arial" w:hAnsi="Arial" w:cs="Arial"/>
          <w:sz w:val="22"/>
          <w:szCs w:val="22"/>
          <w:lang w:val="es-PE"/>
        </w:rPr>
        <w:t>5</w:t>
      </w:r>
      <w:r w:rsidRPr="006A5A25">
        <w:rPr>
          <w:rFonts w:ascii="Arial" w:hAnsi="Arial" w:cs="Arial"/>
          <w:sz w:val="22"/>
          <w:szCs w:val="22"/>
          <w:lang w:val="es-PE"/>
        </w:rPr>
        <w:t xml:space="preserve"> años de experiencia en la búsqueda de soluciones para integrar la ciencia climática, ambiental, socioeconómica e institucional en varias escalas y regiones. Ha diseñado métodos únicos para combatir el cambio climático fomentando la adaptación a los riesgos naturales a escala de desarrollo regional y nacional. Nathan ha implementado índices para evaluar la vulnerabilidad y resiliencia de varios territorios a los desastres naturales en el Ártico, las áreas templadas y tropicales (es decir, sequías, deslizamientos de tierra, inundaciones y eventos climáticos extremos), brindando información crucial para implementar estrategias y políticas de adaptación a nivel nacional, regionales y municipales. Su enfoque utiliza conjuntos de datos complejos con productos holísticos y flexibles que pueden comunicarse fácilmente con el público (comunidades, tomadores de decisiones y formuladores de políticas).</w:t>
      </w:r>
    </w:p>
    <w:p w14:paraId="7F300AC2" w14:textId="77777777" w:rsidR="006A5A25" w:rsidRPr="006A5A25" w:rsidRDefault="006A5A25" w:rsidP="006A5A25">
      <w:pPr>
        <w:pStyle w:val="AusencoNormal"/>
        <w:spacing w:before="120" w:after="120" w:line="360" w:lineRule="auto"/>
        <w:rPr>
          <w:rFonts w:ascii="Arial" w:hAnsi="Arial" w:cs="Arial"/>
          <w:sz w:val="22"/>
          <w:szCs w:val="22"/>
          <w:lang w:val="es-PE"/>
        </w:rPr>
      </w:pPr>
      <w:r w:rsidRPr="006A5A25">
        <w:rPr>
          <w:rFonts w:ascii="Arial" w:hAnsi="Arial" w:cs="Arial"/>
          <w:sz w:val="22"/>
          <w:szCs w:val="22"/>
          <w:lang w:val="es-PE"/>
        </w:rPr>
        <w:t>Su cartera incluye evaluaciones de vulnerabilidad y adaptación al cambio climático y cálculos de costos para infraestructura ambiental, climática y de transporte y energía. Realización de análisis y mapeo de políticas públicas relacionadas con el clima y el medio ambiente, implementación de estrategias climáticas y ecológicas, desarrollo de escenarios y gobernanza, modelación del uso del suelo, teledetección, mapeo SIG con aplicación en ciencias ambientales y climáticas, reducción de escala de escenarios de cambio, sustentabilidad indicadores, análisis de redes de sistemas sociales y ecológicos.</w:t>
      </w:r>
    </w:p>
    <w:p w14:paraId="6148A2EC" w14:textId="4716198B" w:rsidR="00F231A7" w:rsidRPr="000C383C" w:rsidRDefault="006A5A25" w:rsidP="006A5A25">
      <w:pPr>
        <w:pStyle w:val="AusencoNormal"/>
        <w:spacing w:before="120" w:after="120" w:line="360" w:lineRule="auto"/>
        <w:rPr>
          <w:rFonts w:ascii="Arial" w:hAnsi="Arial" w:cs="Arial"/>
          <w:sz w:val="22"/>
          <w:szCs w:val="22"/>
          <w:lang w:val="es-PE"/>
        </w:rPr>
      </w:pPr>
      <w:r w:rsidRPr="006A5A25">
        <w:rPr>
          <w:rFonts w:ascii="Arial" w:hAnsi="Arial" w:cs="Arial"/>
          <w:sz w:val="22"/>
          <w:szCs w:val="22"/>
          <w:lang w:val="es-PE"/>
        </w:rPr>
        <w:t xml:space="preserve">Nathan ha trabajado con más de once universidades y centros de investigación en las Américas, Europa y Asia. Tiene experiencia con diversos grupos sociales (es decir, pequeños y grandes agricultores, pescadores, pueblos indígenas y extractores de esencia forestal) y ecosistemas (bosques tropicales y subtropicales, pastizales, zonas semiáridas, sabanas, zonas costeras bajas y el Ártico). </w:t>
      </w:r>
    </w:p>
    <w:sectPr w:rsidR="00F231A7" w:rsidRPr="000C383C" w:rsidSect="0070538E">
      <w:pgSz w:w="11906" w:h="16838"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DAD90" w14:textId="77777777" w:rsidR="00DD2676" w:rsidRDefault="00DD2676" w:rsidP="00851F16">
      <w:pPr>
        <w:spacing w:before="0" w:after="0"/>
      </w:pPr>
      <w:r>
        <w:separator/>
      </w:r>
    </w:p>
  </w:endnote>
  <w:endnote w:type="continuationSeparator" w:id="0">
    <w:p w14:paraId="04F00B16" w14:textId="77777777" w:rsidR="00DD2676" w:rsidRDefault="00DD2676"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Poppins Medium">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91D67" w14:textId="77777777" w:rsidR="00DD2676" w:rsidRDefault="00DD2676" w:rsidP="00851F16">
      <w:pPr>
        <w:spacing w:before="0" w:after="0"/>
      </w:pPr>
      <w:r>
        <w:separator/>
      </w:r>
    </w:p>
  </w:footnote>
  <w:footnote w:type="continuationSeparator" w:id="0">
    <w:p w14:paraId="67E64E55" w14:textId="77777777" w:rsidR="00DD2676" w:rsidRDefault="00DD2676" w:rsidP="00851F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13C10FFD"/>
    <w:multiLevelType w:val="hybridMultilevel"/>
    <w:tmpl w:val="0CAC5E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9" w15:restartNumberingAfterBreak="0">
    <w:nsid w:val="2F8E055B"/>
    <w:multiLevelType w:val="hybridMultilevel"/>
    <w:tmpl w:val="6A1C53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1"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54964A49"/>
    <w:multiLevelType w:val="multilevel"/>
    <w:tmpl w:val="2CEEEA68"/>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3"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87457547">
    <w:abstractNumId w:val="11"/>
  </w:num>
  <w:num w:numId="2" w16cid:durableId="1763139018">
    <w:abstractNumId w:val="11"/>
  </w:num>
  <w:num w:numId="3" w16cid:durableId="1076510557">
    <w:abstractNumId w:val="11"/>
  </w:num>
  <w:num w:numId="4" w16cid:durableId="1324968968">
    <w:abstractNumId w:val="11"/>
  </w:num>
  <w:num w:numId="5" w16cid:durableId="631255926">
    <w:abstractNumId w:val="5"/>
  </w:num>
  <w:num w:numId="6" w16cid:durableId="182984741">
    <w:abstractNumId w:val="5"/>
  </w:num>
  <w:num w:numId="7" w16cid:durableId="400450565">
    <w:abstractNumId w:val="4"/>
  </w:num>
  <w:num w:numId="8" w16cid:durableId="1490438099">
    <w:abstractNumId w:val="13"/>
  </w:num>
  <w:num w:numId="9" w16cid:durableId="1010373855">
    <w:abstractNumId w:val="3"/>
  </w:num>
  <w:num w:numId="10" w16cid:durableId="827095668">
    <w:abstractNumId w:val="3"/>
  </w:num>
  <w:num w:numId="11" w16cid:durableId="278953977">
    <w:abstractNumId w:val="2"/>
  </w:num>
  <w:num w:numId="12" w16cid:durableId="1602834113">
    <w:abstractNumId w:val="2"/>
  </w:num>
  <w:num w:numId="13" w16cid:durableId="886181939">
    <w:abstractNumId w:val="1"/>
  </w:num>
  <w:num w:numId="14" w16cid:durableId="521670106">
    <w:abstractNumId w:val="13"/>
  </w:num>
  <w:num w:numId="15" w16cid:durableId="2034451602">
    <w:abstractNumId w:val="0"/>
  </w:num>
  <w:num w:numId="16" w16cid:durableId="1093546884">
    <w:abstractNumId w:val="13"/>
  </w:num>
  <w:num w:numId="17" w16cid:durableId="1179274004">
    <w:abstractNumId w:val="12"/>
  </w:num>
  <w:num w:numId="18" w16cid:durableId="1181630062">
    <w:abstractNumId w:val="12"/>
  </w:num>
  <w:num w:numId="19" w16cid:durableId="1614434508">
    <w:abstractNumId w:val="12"/>
  </w:num>
  <w:num w:numId="20" w16cid:durableId="1512256802">
    <w:abstractNumId w:val="12"/>
  </w:num>
  <w:num w:numId="21" w16cid:durableId="1361778015">
    <w:abstractNumId w:val="6"/>
  </w:num>
  <w:num w:numId="22" w16cid:durableId="1464620371">
    <w:abstractNumId w:val="6"/>
  </w:num>
  <w:num w:numId="23" w16cid:durableId="308369437">
    <w:abstractNumId w:val="6"/>
  </w:num>
  <w:num w:numId="24" w16cid:durableId="1813675548">
    <w:abstractNumId w:val="10"/>
  </w:num>
  <w:num w:numId="25" w16cid:durableId="1000809449">
    <w:abstractNumId w:val="10"/>
  </w:num>
  <w:num w:numId="26" w16cid:durableId="1162543295">
    <w:abstractNumId w:val="10"/>
  </w:num>
  <w:num w:numId="27" w16cid:durableId="444693606">
    <w:abstractNumId w:val="8"/>
  </w:num>
  <w:num w:numId="28" w16cid:durableId="148595012">
    <w:abstractNumId w:val="8"/>
  </w:num>
  <w:num w:numId="29" w16cid:durableId="1950819673">
    <w:abstractNumId w:val="8"/>
  </w:num>
  <w:num w:numId="30" w16cid:durableId="1060833605">
    <w:abstractNumId w:val="14"/>
  </w:num>
  <w:num w:numId="31" w16cid:durableId="676156475">
    <w:abstractNumId w:val="14"/>
  </w:num>
  <w:num w:numId="32" w16cid:durableId="1643004784">
    <w:abstractNumId w:val="14"/>
  </w:num>
  <w:num w:numId="33" w16cid:durableId="1025785790">
    <w:abstractNumId w:val="9"/>
  </w:num>
  <w:num w:numId="34" w16cid:durableId="985822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8E"/>
    <w:rsid w:val="000016FF"/>
    <w:rsid w:val="00033C1C"/>
    <w:rsid w:val="0008130C"/>
    <w:rsid w:val="000A6F60"/>
    <w:rsid w:val="000B5FBF"/>
    <w:rsid w:val="000C232E"/>
    <w:rsid w:val="000C383C"/>
    <w:rsid w:val="000D1073"/>
    <w:rsid w:val="000D52ED"/>
    <w:rsid w:val="000E5A48"/>
    <w:rsid w:val="00120F6D"/>
    <w:rsid w:val="00124AA0"/>
    <w:rsid w:val="00136C96"/>
    <w:rsid w:val="001552F1"/>
    <w:rsid w:val="00173E07"/>
    <w:rsid w:val="00174473"/>
    <w:rsid w:val="001A08F5"/>
    <w:rsid w:val="001B5DE3"/>
    <w:rsid w:val="001C3404"/>
    <w:rsid w:val="001E0BEB"/>
    <w:rsid w:val="001E1AC6"/>
    <w:rsid w:val="001E7A4D"/>
    <w:rsid w:val="001F7A06"/>
    <w:rsid w:val="0021082E"/>
    <w:rsid w:val="0021525A"/>
    <w:rsid w:val="00275DF2"/>
    <w:rsid w:val="002763AC"/>
    <w:rsid w:val="00294EA4"/>
    <w:rsid w:val="002C429E"/>
    <w:rsid w:val="002D2ACF"/>
    <w:rsid w:val="002E3112"/>
    <w:rsid w:val="002F04B0"/>
    <w:rsid w:val="003128DE"/>
    <w:rsid w:val="00315E46"/>
    <w:rsid w:val="003169DA"/>
    <w:rsid w:val="00356EAC"/>
    <w:rsid w:val="003626F0"/>
    <w:rsid w:val="00364D98"/>
    <w:rsid w:val="00382149"/>
    <w:rsid w:val="003965D7"/>
    <w:rsid w:val="003D5135"/>
    <w:rsid w:val="003E0AC9"/>
    <w:rsid w:val="00436B3D"/>
    <w:rsid w:val="00444B6E"/>
    <w:rsid w:val="00457262"/>
    <w:rsid w:val="00477878"/>
    <w:rsid w:val="00483813"/>
    <w:rsid w:val="004B1201"/>
    <w:rsid w:val="004D5CC4"/>
    <w:rsid w:val="004D60F8"/>
    <w:rsid w:val="004E47A5"/>
    <w:rsid w:val="004F1C24"/>
    <w:rsid w:val="00506947"/>
    <w:rsid w:val="00510356"/>
    <w:rsid w:val="0051233A"/>
    <w:rsid w:val="00537F94"/>
    <w:rsid w:val="0056519B"/>
    <w:rsid w:val="00573EC5"/>
    <w:rsid w:val="00577F4A"/>
    <w:rsid w:val="00592E94"/>
    <w:rsid w:val="00602125"/>
    <w:rsid w:val="006076F8"/>
    <w:rsid w:val="00624992"/>
    <w:rsid w:val="006406F2"/>
    <w:rsid w:val="00644238"/>
    <w:rsid w:val="0065436F"/>
    <w:rsid w:val="00660350"/>
    <w:rsid w:val="00671741"/>
    <w:rsid w:val="006725F5"/>
    <w:rsid w:val="00675E45"/>
    <w:rsid w:val="00695C0D"/>
    <w:rsid w:val="006965CF"/>
    <w:rsid w:val="006A5A25"/>
    <w:rsid w:val="006B2252"/>
    <w:rsid w:val="006C30CC"/>
    <w:rsid w:val="006E03F6"/>
    <w:rsid w:val="006E3B21"/>
    <w:rsid w:val="006F713F"/>
    <w:rsid w:val="00700C25"/>
    <w:rsid w:val="0070538E"/>
    <w:rsid w:val="00706246"/>
    <w:rsid w:val="00706E3D"/>
    <w:rsid w:val="00717909"/>
    <w:rsid w:val="0073489E"/>
    <w:rsid w:val="00742CDF"/>
    <w:rsid w:val="007679BD"/>
    <w:rsid w:val="00790939"/>
    <w:rsid w:val="00795CF2"/>
    <w:rsid w:val="007A08D8"/>
    <w:rsid w:val="007B7DBB"/>
    <w:rsid w:val="007C3725"/>
    <w:rsid w:val="00803647"/>
    <w:rsid w:val="00840225"/>
    <w:rsid w:val="00851F16"/>
    <w:rsid w:val="0085230D"/>
    <w:rsid w:val="00864A73"/>
    <w:rsid w:val="00893C30"/>
    <w:rsid w:val="008A1416"/>
    <w:rsid w:val="008A582B"/>
    <w:rsid w:val="008B2443"/>
    <w:rsid w:val="008F145C"/>
    <w:rsid w:val="00916FBC"/>
    <w:rsid w:val="009261C4"/>
    <w:rsid w:val="0096701D"/>
    <w:rsid w:val="00986292"/>
    <w:rsid w:val="00987870"/>
    <w:rsid w:val="009A2148"/>
    <w:rsid w:val="009D4D51"/>
    <w:rsid w:val="00A11F21"/>
    <w:rsid w:val="00A13042"/>
    <w:rsid w:val="00A13379"/>
    <w:rsid w:val="00A178FF"/>
    <w:rsid w:val="00A40BCF"/>
    <w:rsid w:val="00A5400F"/>
    <w:rsid w:val="00A57CE6"/>
    <w:rsid w:val="00A60D34"/>
    <w:rsid w:val="00A66C4F"/>
    <w:rsid w:val="00AA499C"/>
    <w:rsid w:val="00AA6E16"/>
    <w:rsid w:val="00AB6E63"/>
    <w:rsid w:val="00B01EFA"/>
    <w:rsid w:val="00B4484F"/>
    <w:rsid w:val="00B454EC"/>
    <w:rsid w:val="00B503A1"/>
    <w:rsid w:val="00B659DE"/>
    <w:rsid w:val="00B70C05"/>
    <w:rsid w:val="00B70C18"/>
    <w:rsid w:val="00BB78F2"/>
    <w:rsid w:val="00BD2B0D"/>
    <w:rsid w:val="00BF565E"/>
    <w:rsid w:val="00C74333"/>
    <w:rsid w:val="00C946E9"/>
    <w:rsid w:val="00CA50A5"/>
    <w:rsid w:val="00CC2E16"/>
    <w:rsid w:val="00CF18CC"/>
    <w:rsid w:val="00CF7318"/>
    <w:rsid w:val="00D219C5"/>
    <w:rsid w:val="00D2282F"/>
    <w:rsid w:val="00D45685"/>
    <w:rsid w:val="00D54B1C"/>
    <w:rsid w:val="00D64634"/>
    <w:rsid w:val="00D65179"/>
    <w:rsid w:val="00D93038"/>
    <w:rsid w:val="00DA76EC"/>
    <w:rsid w:val="00DB4F85"/>
    <w:rsid w:val="00DD2676"/>
    <w:rsid w:val="00DE06F5"/>
    <w:rsid w:val="00E03503"/>
    <w:rsid w:val="00E10B97"/>
    <w:rsid w:val="00E27799"/>
    <w:rsid w:val="00E31100"/>
    <w:rsid w:val="00E51ABF"/>
    <w:rsid w:val="00E549ED"/>
    <w:rsid w:val="00E56F52"/>
    <w:rsid w:val="00E71E6C"/>
    <w:rsid w:val="00E73794"/>
    <w:rsid w:val="00E738F8"/>
    <w:rsid w:val="00E74A71"/>
    <w:rsid w:val="00E92928"/>
    <w:rsid w:val="00E93E96"/>
    <w:rsid w:val="00E96936"/>
    <w:rsid w:val="00E97A42"/>
    <w:rsid w:val="00EA4B26"/>
    <w:rsid w:val="00EA5814"/>
    <w:rsid w:val="00EB05E8"/>
    <w:rsid w:val="00EB57E1"/>
    <w:rsid w:val="00EC2BA7"/>
    <w:rsid w:val="00ED2DE5"/>
    <w:rsid w:val="00EE40EA"/>
    <w:rsid w:val="00EF794B"/>
    <w:rsid w:val="00F12E14"/>
    <w:rsid w:val="00F231A7"/>
    <w:rsid w:val="00F35756"/>
    <w:rsid w:val="00F40DBC"/>
    <w:rsid w:val="00F520A8"/>
    <w:rsid w:val="00F96E86"/>
    <w:rsid w:val="00FB4C33"/>
    <w:rsid w:val="00FC0402"/>
    <w:rsid w:val="00FC65BB"/>
    <w:rsid w:val="00FC7B1A"/>
    <w:rsid w:val="00FE5B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5EBE5"/>
  <w15:chartTrackingRefBased/>
  <w15:docId w15:val="{C8F6CCFA-93CB-4E2C-86AA-F0EBD468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Ttulo1">
    <w:name w:val="heading 1"/>
    <w:next w:val="AusencoNormalIndent"/>
    <w:link w:val="Ttulo1C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Ttulo2">
    <w:name w:val="heading 2"/>
    <w:next w:val="AusencoNormalIndent"/>
    <w:link w:val="Ttulo2C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Ttulo3">
    <w:name w:val="heading 3"/>
    <w:next w:val="AusencoNormalIndent"/>
    <w:link w:val="Ttulo3C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Ttulo4">
    <w:name w:val="heading 4"/>
    <w:next w:val="AusencoNormalIndent"/>
    <w:link w:val="Ttulo4C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Ttulo5">
    <w:name w:val="heading 5"/>
    <w:basedOn w:val="Normal"/>
    <w:next w:val="Normal"/>
    <w:link w:val="Ttulo5C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Ttulo6">
    <w:name w:val="heading 6"/>
    <w:basedOn w:val="Normal"/>
    <w:next w:val="Normal"/>
    <w:link w:val="Ttulo6C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Ttulo7">
    <w:name w:val="heading 7"/>
    <w:basedOn w:val="Normal"/>
    <w:next w:val="Normal"/>
    <w:link w:val="Ttulo7C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Ttulo8">
    <w:name w:val="heading 8"/>
    <w:basedOn w:val="Normal"/>
    <w:next w:val="Normal"/>
    <w:link w:val="Ttulo8C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Ttulo9">
    <w:name w:val="heading 9"/>
    <w:basedOn w:val="Normal"/>
    <w:next w:val="Normal"/>
    <w:link w:val="Ttulo9C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Ttulo1Car">
    <w:name w:val="Título 1 Car"/>
    <w:basedOn w:val="Fuentedeprrafopredeter"/>
    <w:link w:val="Ttulo1"/>
    <w:rsid w:val="00CF18CC"/>
    <w:rPr>
      <w:rFonts w:asciiTheme="majorHAnsi" w:eastAsia="Times New Roman" w:hAnsiTheme="majorHAnsi" w:cs="Arial"/>
      <w:b/>
      <w:bCs/>
      <w:kern w:val="32"/>
      <w:sz w:val="24"/>
      <w:szCs w:val="32"/>
      <w:lang w:val="en-CA" w:eastAsia="en-AU"/>
    </w:rPr>
  </w:style>
  <w:style w:type="character" w:customStyle="1" w:styleId="Ttulo2Car">
    <w:name w:val="Título 2 Car"/>
    <w:basedOn w:val="Fuentedeprrafopredeter"/>
    <w:link w:val="Ttulo2"/>
    <w:rsid w:val="00CF18CC"/>
    <w:rPr>
      <w:rFonts w:asciiTheme="majorHAnsi" w:eastAsia="Times New Roman" w:hAnsiTheme="majorHAnsi" w:cs="Arial"/>
      <w:b/>
      <w:bCs/>
      <w:iCs/>
      <w:sz w:val="20"/>
      <w:szCs w:val="28"/>
      <w:lang w:val="en-CA" w:eastAsia="en-AU"/>
    </w:rPr>
  </w:style>
  <w:style w:type="character" w:customStyle="1" w:styleId="Ttulo3Car">
    <w:name w:val="Título 3 Car"/>
    <w:basedOn w:val="Fuentedeprrafopredeter"/>
    <w:link w:val="Ttulo3"/>
    <w:rsid w:val="00CF18CC"/>
    <w:rPr>
      <w:rFonts w:asciiTheme="majorHAnsi" w:eastAsia="Times New Roman" w:hAnsiTheme="majorHAnsi" w:cs="Arial"/>
      <w:b/>
      <w:bCs/>
      <w:sz w:val="20"/>
      <w:szCs w:val="26"/>
      <w:lang w:val="en-CA" w:eastAsia="en-AU"/>
    </w:rPr>
  </w:style>
  <w:style w:type="character" w:customStyle="1" w:styleId="Ttulo4Car">
    <w:name w:val="Título 4 Car"/>
    <w:basedOn w:val="Fuentedeprrafopredeter"/>
    <w:link w:val="Ttulo4"/>
    <w:rsid w:val="00CF18CC"/>
    <w:rPr>
      <w:rFonts w:asciiTheme="majorHAnsi" w:eastAsia="Times New Roman" w:hAnsiTheme="majorHAnsi" w:cs="Times New Roman"/>
      <w:bCs/>
      <w:sz w:val="20"/>
      <w:szCs w:val="28"/>
      <w:lang w:val="en-CA" w:eastAsia="en-AU"/>
    </w:rPr>
  </w:style>
  <w:style w:type="character" w:customStyle="1" w:styleId="Ttulo5Car">
    <w:name w:val="Título 5 Car"/>
    <w:basedOn w:val="Fuentedeprrafopredeter"/>
    <w:link w:val="Ttulo5"/>
    <w:uiPriority w:val="9"/>
    <w:semiHidden/>
    <w:rsid w:val="00F520A8"/>
    <w:rPr>
      <w:rFonts w:asciiTheme="majorHAnsi" w:eastAsiaTheme="majorEastAsia" w:hAnsiTheme="majorHAnsi" w:cstheme="majorBidi"/>
      <w:color w:val="002331" w:themeColor="accent1" w:themeShade="7F"/>
    </w:rPr>
  </w:style>
  <w:style w:type="character" w:customStyle="1" w:styleId="Ttulo6Car">
    <w:name w:val="Título 6 Car"/>
    <w:basedOn w:val="Fuentedeprrafopredeter"/>
    <w:link w:val="Ttulo6"/>
    <w:uiPriority w:val="9"/>
    <w:semiHidden/>
    <w:rsid w:val="00F520A8"/>
    <w:rPr>
      <w:rFonts w:asciiTheme="majorHAnsi" w:eastAsiaTheme="majorEastAsia" w:hAnsiTheme="majorHAnsi" w:cstheme="majorBidi"/>
      <w:i/>
      <w:iCs/>
      <w:color w:val="002331" w:themeColor="accent1" w:themeShade="7F"/>
    </w:rPr>
  </w:style>
  <w:style w:type="character" w:customStyle="1" w:styleId="Ttulo7Car">
    <w:name w:val="Título 7 Car"/>
    <w:basedOn w:val="Fuentedeprrafopredeter"/>
    <w:link w:val="Ttulo7"/>
    <w:uiPriority w:val="9"/>
    <w:semiHidden/>
    <w:rsid w:val="00F520A8"/>
    <w:rPr>
      <w:rFonts w:asciiTheme="majorHAnsi" w:eastAsiaTheme="majorEastAsia" w:hAnsiTheme="majorHAnsi" w:cstheme="majorBidi"/>
      <w:i/>
      <w:iCs/>
      <w:color w:val="36516D" w:themeColor="text1" w:themeTint="BF"/>
    </w:rPr>
  </w:style>
  <w:style w:type="character" w:customStyle="1" w:styleId="Ttulo8Car">
    <w:name w:val="Título 8 Car"/>
    <w:basedOn w:val="Fuentedeprrafopredeter"/>
    <w:link w:val="Ttulo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Ttulo9Car">
    <w:name w:val="Título 9 Car"/>
    <w:basedOn w:val="Fuentedeprrafopredeter"/>
    <w:link w:val="Ttulo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fa">
    <w:name w:val="Bibliography"/>
    <w:basedOn w:val="AusencoNormalIndent"/>
    <w:rsid w:val="00D45685"/>
    <w:pPr>
      <w:ind w:left="1418" w:hanging="567"/>
    </w:pPr>
  </w:style>
  <w:style w:type="paragraph" w:styleId="Descripci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a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a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tulo">
    <w:name w:val="Title"/>
    <w:basedOn w:val="AusencoNormal"/>
    <w:next w:val="AusencoNormal"/>
    <w:link w:val="TtuloCar"/>
    <w:qFormat/>
    <w:rsid w:val="00CF18CC"/>
    <w:pPr>
      <w:jc w:val="left"/>
    </w:pPr>
    <w:rPr>
      <w:rFonts w:asciiTheme="majorHAnsi" w:hAnsiTheme="majorHAnsi" w:cs="Arial"/>
      <w:b/>
      <w:bCs/>
      <w:kern w:val="28"/>
      <w:sz w:val="60"/>
      <w:szCs w:val="32"/>
    </w:rPr>
  </w:style>
  <w:style w:type="character" w:customStyle="1" w:styleId="TtuloCar">
    <w:name w:val="Título Car"/>
    <w:basedOn w:val="Fuentedeprrafopredeter"/>
    <w:link w:val="Ttulo"/>
    <w:rsid w:val="00CF18CC"/>
    <w:rPr>
      <w:rFonts w:asciiTheme="majorHAnsi" w:eastAsia="Times New Roman" w:hAnsiTheme="majorHAnsi" w:cs="Arial"/>
      <w:b/>
      <w:bCs/>
      <w:kern w:val="28"/>
      <w:sz w:val="60"/>
      <w:szCs w:val="32"/>
      <w:lang w:val="en-CA" w:eastAsia="en-AU"/>
    </w:rPr>
  </w:style>
  <w:style w:type="paragraph" w:styleId="TD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aconcuadrcula">
    <w:name w:val="Table Grid"/>
    <w:basedOn w:val="Tabla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ipervnculo">
    <w:name w:val="Hyperlink"/>
    <w:basedOn w:val="Fuentedeprrafopredeter"/>
    <w:uiPriority w:val="99"/>
    <w:semiHidden/>
    <w:rsid w:val="00F35756"/>
    <w:rPr>
      <w:color w:val="0095C8" w:themeColor="hyperlink"/>
      <w:u w:val="single"/>
    </w:rPr>
  </w:style>
  <w:style w:type="paragraph" w:styleId="TD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DC4">
    <w:name w:val="toc 4"/>
    <w:basedOn w:val="Normal"/>
    <w:next w:val="Normal"/>
    <w:autoRedefine/>
    <w:uiPriority w:val="39"/>
    <w:semiHidden/>
    <w:rsid w:val="00F35756"/>
    <w:pPr>
      <w:spacing w:after="100"/>
      <w:ind w:left="660"/>
    </w:pPr>
  </w:style>
  <w:style w:type="paragraph" w:styleId="TDC5">
    <w:name w:val="toc 5"/>
    <w:basedOn w:val="Normal"/>
    <w:next w:val="Normal"/>
    <w:autoRedefine/>
    <w:uiPriority w:val="39"/>
    <w:semiHidden/>
    <w:rsid w:val="00F35756"/>
    <w:pPr>
      <w:spacing w:after="100"/>
      <w:ind w:left="880"/>
    </w:pPr>
  </w:style>
  <w:style w:type="paragraph" w:styleId="TDC6">
    <w:name w:val="toc 6"/>
    <w:basedOn w:val="Normal"/>
    <w:next w:val="Normal"/>
    <w:autoRedefine/>
    <w:uiPriority w:val="39"/>
    <w:semiHidden/>
    <w:rsid w:val="00F35756"/>
    <w:pPr>
      <w:spacing w:after="100"/>
      <w:ind w:left="1100"/>
    </w:pPr>
  </w:style>
  <w:style w:type="paragraph" w:styleId="TDC7">
    <w:name w:val="toc 7"/>
    <w:basedOn w:val="Normal"/>
    <w:next w:val="Normal"/>
    <w:autoRedefine/>
    <w:uiPriority w:val="39"/>
    <w:semiHidden/>
    <w:rsid w:val="00F35756"/>
    <w:pPr>
      <w:spacing w:after="100"/>
      <w:ind w:left="1320"/>
    </w:pPr>
  </w:style>
  <w:style w:type="paragraph" w:styleId="TDC8">
    <w:name w:val="toc 8"/>
    <w:basedOn w:val="Normal"/>
    <w:next w:val="Normal"/>
    <w:autoRedefine/>
    <w:uiPriority w:val="39"/>
    <w:semiHidden/>
    <w:rsid w:val="00F35756"/>
    <w:pPr>
      <w:spacing w:after="100"/>
      <w:ind w:left="1540"/>
    </w:pPr>
  </w:style>
  <w:style w:type="paragraph" w:styleId="TDC9">
    <w:name w:val="toc 9"/>
    <w:basedOn w:val="Normal"/>
    <w:next w:val="Normal"/>
    <w:autoRedefine/>
    <w:uiPriority w:val="39"/>
    <w:semiHidden/>
    <w:rsid w:val="00F35756"/>
    <w:pPr>
      <w:spacing w:after="100"/>
      <w:ind w:left="1760"/>
    </w:pPr>
  </w:style>
  <w:style w:type="paragraph" w:styleId="Tabladeilustracion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Textodeglobo">
    <w:name w:val="Balloon Text"/>
    <w:basedOn w:val="Normal"/>
    <w:link w:val="TextodegloboCar"/>
    <w:uiPriority w:val="99"/>
    <w:semiHidden/>
    <w:rsid w:val="00A66C4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6C4F"/>
    <w:rPr>
      <w:rFonts w:ascii="Tahoma" w:hAnsi="Tahoma" w:cs="Tahoma"/>
      <w:sz w:val="16"/>
      <w:szCs w:val="16"/>
    </w:rPr>
  </w:style>
  <w:style w:type="paragraph" w:styleId="Encabezado">
    <w:name w:val="header"/>
    <w:basedOn w:val="Normal"/>
    <w:link w:val="EncabezadoCar"/>
    <w:uiPriority w:val="99"/>
    <w:semiHidden/>
    <w:rsid w:val="00F96E86"/>
    <w:pPr>
      <w:tabs>
        <w:tab w:val="center" w:pos="4513"/>
        <w:tab w:val="right" w:pos="9026"/>
      </w:tabs>
      <w:spacing w:before="0" w:after="0"/>
    </w:pPr>
  </w:style>
  <w:style w:type="paragraph" w:styleId="Piedepgina">
    <w:name w:val="footer"/>
    <w:basedOn w:val="Normal"/>
    <w:link w:val="PiedepginaCar"/>
    <w:uiPriority w:val="99"/>
    <w:semiHidden/>
    <w:rsid w:val="00F96E86"/>
    <w:pPr>
      <w:tabs>
        <w:tab w:val="center" w:pos="4820"/>
        <w:tab w:val="right" w:pos="9639"/>
      </w:tabs>
      <w:spacing w:before="0" w:after="0"/>
    </w:pPr>
    <w:rPr>
      <w:sz w:val="12"/>
    </w:rPr>
  </w:style>
  <w:style w:type="character" w:customStyle="1" w:styleId="PiedepginaCar">
    <w:name w:val="Pie de página Car"/>
    <w:basedOn w:val="Fuentedeprrafopredeter"/>
    <w:link w:val="Piedepgina"/>
    <w:uiPriority w:val="99"/>
    <w:semiHidden/>
    <w:rsid w:val="00F96E86"/>
    <w:rPr>
      <w:rFonts w:ascii="Arial" w:hAnsi="Arial"/>
      <w:sz w:val="12"/>
    </w:rPr>
  </w:style>
  <w:style w:type="character" w:customStyle="1" w:styleId="EncabezadoCar">
    <w:name w:val="Encabezado Car"/>
    <w:basedOn w:val="Fuentedeprrafopredeter"/>
    <w:link w:val="Encabezado"/>
    <w:uiPriority w:val="99"/>
    <w:semiHidden/>
    <w:rsid w:val="00F96E86"/>
  </w:style>
  <w:style w:type="character" w:styleId="Nmerodepgina">
    <w:name w:val="page number"/>
    <w:basedOn w:val="Fuentedeprrafopredeter"/>
    <w:uiPriority w:val="99"/>
    <w:semiHidden/>
    <w:rsid w:val="00F96E86"/>
  </w:style>
  <w:style w:type="paragraph" w:styleId="Subttulo">
    <w:name w:val="Subtitle"/>
    <w:basedOn w:val="Normal"/>
    <w:next w:val="Normal"/>
    <w:link w:val="SubttuloCar"/>
    <w:uiPriority w:val="1"/>
    <w:qFormat/>
    <w:rsid w:val="0070538E"/>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tuloCar">
    <w:name w:val="Subtítulo Car"/>
    <w:basedOn w:val="Fuentedeprrafopredeter"/>
    <w:link w:val="Subttulo"/>
    <w:uiPriority w:val="1"/>
    <w:rsid w:val="0070538E"/>
    <w:rPr>
      <w:rFonts w:eastAsiaTheme="majorEastAsia" w:cstheme="majorBidi"/>
      <w:color w:val="45688B" w:themeColor="text1" w:themeTint="A6"/>
      <w:spacing w:val="15"/>
      <w:sz w:val="28"/>
      <w:szCs w:val="28"/>
    </w:rPr>
  </w:style>
  <w:style w:type="paragraph" w:styleId="Cita">
    <w:name w:val="Quote"/>
    <w:basedOn w:val="Normal"/>
    <w:next w:val="Normal"/>
    <w:link w:val="CitaCar"/>
    <w:uiPriority w:val="29"/>
    <w:qFormat/>
    <w:rsid w:val="0070538E"/>
    <w:pPr>
      <w:spacing w:before="160" w:after="160"/>
      <w:jc w:val="center"/>
    </w:pPr>
    <w:rPr>
      <w:i/>
      <w:iCs/>
      <w:color w:val="36516D" w:themeColor="text1" w:themeTint="BF"/>
    </w:rPr>
  </w:style>
  <w:style w:type="character" w:customStyle="1" w:styleId="CitaCar">
    <w:name w:val="Cita Car"/>
    <w:basedOn w:val="Fuentedeprrafopredeter"/>
    <w:link w:val="Cita"/>
    <w:uiPriority w:val="29"/>
    <w:rsid w:val="0070538E"/>
    <w:rPr>
      <w:rFonts w:ascii="Arial" w:hAnsi="Arial"/>
      <w:i/>
      <w:iCs/>
      <w:color w:val="36516D" w:themeColor="text1" w:themeTint="BF"/>
      <w:sz w:val="20"/>
    </w:rPr>
  </w:style>
  <w:style w:type="paragraph" w:styleId="Prrafodelista">
    <w:name w:val="List Paragraph"/>
    <w:basedOn w:val="Normal"/>
    <w:uiPriority w:val="34"/>
    <w:qFormat/>
    <w:rsid w:val="0070538E"/>
    <w:pPr>
      <w:ind w:left="720"/>
      <w:contextualSpacing/>
    </w:pPr>
  </w:style>
  <w:style w:type="character" w:styleId="nfasisintenso">
    <w:name w:val="Intense Emphasis"/>
    <w:basedOn w:val="Fuentedeprrafopredeter"/>
    <w:uiPriority w:val="21"/>
    <w:semiHidden/>
    <w:qFormat/>
    <w:rsid w:val="0070538E"/>
    <w:rPr>
      <w:i/>
      <w:iCs/>
      <w:color w:val="00344A" w:themeColor="accent1" w:themeShade="BF"/>
    </w:rPr>
  </w:style>
  <w:style w:type="paragraph" w:styleId="Citadestacada">
    <w:name w:val="Intense Quote"/>
    <w:basedOn w:val="Normal"/>
    <w:next w:val="Normal"/>
    <w:link w:val="CitadestacadaCar"/>
    <w:uiPriority w:val="30"/>
    <w:qFormat/>
    <w:rsid w:val="0070538E"/>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CitadestacadaCar">
    <w:name w:val="Cita destacada Car"/>
    <w:basedOn w:val="Fuentedeprrafopredeter"/>
    <w:link w:val="Citadestacada"/>
    <w:uiPriority w:val="30"/>
    <w:rsid w:val="0070538E"/>
    <w:rPr>
      <w:rFonts w:ascii="Arial" w:hAnsi="Arial"/>
      <w:i/>
      <w:iCs/>
      <w:color w:val="00344A" w:themeColor="accent1" w:themeShade="BF"/>
      <w:sz w:val="20"/>
    </w:rPr>
  </w:style>
  <w:style w:type="character" w:styleId="Referenciaintensa">
    <w:name w:val="Intense Reference"/>
    <w:basedOn w:val="Fuentedeprrafopredeter"/>
    <w:uiPriority w:val="32"/>
    <w:semiHidden/>
    <w:qFormat/>
    <w:rsid w:val="0070538E"/>
    <w:rPr>
      <w:b/>
      <w:bCs/>
      <w:smallCaps/>
      <w:color w:val="00344A" w:themeColor="accent1" w:themeShade="BF"/>
      <w:spacing w:val="5"/>
    </w:rPr>
  </w:style>
  <w:style w:type="character" w:styleId="Mencinsinresolver">
    <w:name w:val="Unresolved Mention"/>
    <w:basedOn w:val="Fuentedeprrafopredeter"/>
    <w:uiPriority w:val="99"/>
    <w:semiHidden/>
    <w:unhideWhenUsed/>
    <w:rsid w:val="001E7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calderon@ausenc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natha.debortoli@ausenco.com" TargetMode="External"/><Relationship Id="rId4" Type="http://schemas.openxmlformats.org/officeDocument/2006/relationships/settings" Target="settings.xml"/><Relationship Id="rId9" Type="http://schemas.openxmlformats.org/officeDocument/2006/relationships/hyperlink" Target="mailto:andreacb1810@gmail.com" TargetMode="Externa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2917</TotalTime>
  <Pages>3</Pages>
  <Words>1161</Words>
  <Characters>6390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Calderon</dc:creator>
  <cp:keywords/>
  <dc:description/>
  <cp:lastModifiedBy>Carla Bustamante</cp:lastModifiedBy>
  <cp:revision>48</cp:revision>
  <dcterms:created xsi:type="dcterms:W3CDTF">2025-04-24T06:24:00Z</dcterms:created>
  <dcterms:modified xsi:type="dcterms:W3CDTF">2025-05-12T02:27:00Z</dcterms:modified>
</cp:coreProperties>
</file>