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39E6" w14:textId="77777777" w:rsidR="00ED0D90" w:rsidRDefault="00ED0D90" w:rsidP="00ED0D90">
      <w:pPr>
        <w:jc w:val="center"/>
        <w:rPr>
          <w:b/>
          <w:bCs/>
          <w:sz w:val="36"/>
          <w:szCs w:val="36"/>
          <w:lang w:val="es-PE"/>
        </w:rPr>
      </w:pPr>
      <w:r w:rsidRPr="00ED0D90">
        <w:rPr>
          <w:b/>
          <w:bCs/>
          <w:sz w:val="36"/>
          <w:szCs w:val="36"/>
          <w:lang w:val="es-PE"/>
        </w:rPr>
        <w:t>SIMULACION DEL PLANEAMIENTO A LARGO PLAZO DE UN PROYECTO GREENFIELD DE LITIO</w:t>
      </w:r>
    </w:p>
    <w:p w14:paraId="0247922B" w14:textId="0F0E256F" w:rsidR="00ED0D90" w:rsidRPr="00ED0D90" w:rsidRDefault="00ED0D90" w:rsidP="00ED0D90">
      <w:pPr>
        <w:spacing w:after="0"/>
        <w:jc w:val="center"/>
        <w:rPr>
          <w:lang w:val="es-PE"/>
        </w:rPr>
      </w:pPr>
      <w:r w:rsidRPr="00ED0D90">
        <w:rPr>
          <w:lang w:val="es-PE"/>
        </w:rPr>
        <w:t xml:space="preserve">Autor / César Armando Asto Villanueva / Egresado Universidad Nacional de Ingeniería. </w:t>
      </w:r>
    </w:p>
    <w:p w14:paraId="21832A64" w14:textId="032066F5" w:rsidR="00ED0D90" w:rsidRPr="00ED0D90" w:rsidRDefault="00ED0D90" w:rsidP="00ED0D90">
      <w:pPr>
        <w:spacing w:after="0"/>
        <w:jc w:val="center"/>
        <w:rPr>
          <w:lang w:val="es-PE"/>
        </w:rPr>
      </w:pPr>
      <w:r w:rsidRPr="00ED0D90">
        <w:rPr>
          <w:lang w:val="es-PE"/>
        </w:rPr>
        <w:t xml:space="preserve">Coautor / Williams Alex Ramos Solis </w:t>
      </w:r>
      <w:r w:rsidRPr="00ED0D90">
        <w:rPr>
          <w:lang w:val="es-PE"/>
        </w:rPr>
        <w:t>/ Egresado Universidad Nacional de Ingeniería.</w:t>
      </w:r>
    </w:p>
    <w:p w14:paraId="378C3A6F" w14:textId="77777777" w:rsidR="00ED0D90" w:rsidRPr="00ED0D90" w:rsidRDefault="00ED0D90" w:rsidP="00ED0D90">
      <w:pPr>
        <w:spacing w:after="0"/>
        <w:jc w:val="center"/>
        <w:rPr>
          <w:sz w:val="24"/>
          <w:szCs w:val="24"/>
          <w:lang w:val="es-PE"/>
        </w:rPr>
      </w:pPr>
    </w:p>
    <w:p w14:paraId="0FB8EDFC" w14:textId="478A0FDC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 xml:space="preserve">El presente proyecto, desarrollado por </w:t>
      </w:r>
      <w:r w:rsidR="00ED0D90">
        <w:rPr>
          <w:lang w:val="es-PE"/>
        </w:rPr>
        <w:t>egresados</w:t>
      </w:r>
      <w:r w:rsidRPr="00ED0D90">
        <w:rPr>
          <w:lang w:val="es-PE"/>
        </w:rPr>
        <w:t xml:space="preserve"> de la Universidad Nacional de Ingeniería, aborda la simulación del planeamiento minero a largo plazo de un proyecto </w:t>
      </w:r>
      <w:proofErr w:type="spellStart"/>
      <w:r w:rsidRPr="00ED0D90">
        <w:rPr>
          <w:lang w:val="es-PE"/>
        </w:rPr>
        <w:t>greenfield</w:t>
      </w:r>
      <w:proofErr w:type="spellEnd"/>
      <w:r w:rsidRPr="00ED0D90">
        <w:rPr>
          <w:lang w:val="es-PE"/>
        </w:rPr>
        <w:t xml:space="preserve"> de litio, que considera una etapa inicial de explotación a tajo abierto y una posterior transición a minería subterránea. El yacimiento analizado contiene mineralización económicamente significativa de </w:t>
      </w:r>
      <w:proofErr w:type="spellStart"/>
      <w:r w:rsidRPr="00ED0D90">
        <w:rPr>
          <w:lang w:val="es-PE"/>
        </w:rPr>
        <w:t>Li₂O</w:t>
      </w:r>
      <w:proofErr w:type="spellEnd"/>
      <w:r w:rsidRPr="00ED0D90">
        <w:rPr>
          <w:lang w:val="es-PE"/>
        </w:rPr>
        <w:t xml:space="preserve"> y </w:t>
      </w:r>
      <w:proofErr w:type="spellStart"/>
      <w:r w:rsidRPr="00ED0D90">
        <w:rPr>
          <w:lang w:val="es-PE"/>
        </w:rPr>
        <w:t>Ta₂O</w:t>
      </w:r>
      <w:proofErr w:type="spellEnd"/>
      <w:r w:rsidRPr="00ED0D90">
        <w:rPr>
          <w:lang w:val="es-PE"/>
        </w:rPr>
        <w:t xml:space="preserve">₅, contenidos en cuerpos </w:t>
      </w:r>
      <w:proofErr w:type="spellStart"/>
      <w:r w:rsidRPr="00ED0D90">
        <w:rPr>
          <w:lang w:val="es-PE"/>
        </w:rPr>
        <w:t>pegmatíticos</w:t>
      </w:r>
      <w:proofErr w:type="spellEnd"/>
      <w:r w:rsidRPr="00ED0D90">
        <w:rPr>
          <w:lang w:val="es-PE"/>
        </w:rPr>
        <w:t xml:space="preserve"> con geometría </w:t>
      </w:r>
      <w:proofErr w:type="spellStart"/>
      <w:r w:rsidRPr="00ED0D90">
        <w:rPr>
          <w:lang w:val="es-PE"/>
        </w:rPr>
        <w:t>vetiforme</w:t>
      </w:r>
      <w:proofErr w:type="spellEnd"/>
      <w:r w:rsidRPr="00ED0D90">
        <w:rPr>
          <w:lang w:val="es-PE"/>
        </w:rPr>
        <w:t>.</w:t>
      </w:r>
    </w:p>
    <w:p w14:paraId="448E90FF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 xml:space="preserve">La evaluación comenzó con la estimación de reservas minerales, divididas en cuatro fases de minado a cielo abierto. El modelo de optimización económica se realizó en función del Net </w:t>
      </w:r>
      <w:proofErr w:type="spellStart"/>
      <w:r w:rsidRPr="00ED0D90">
        <w:rPr>
          <w:lang w:val="es-PE"/>
        </w:rPr>
        <w:t>Smelter</w:t>
      </w:r>
      <w:proofErr w:type="spellEnd"/>
      <w:r w:rsidRPr="00ED0D90">
        <w:rPr>
          <w:lang w:val="es-PE"/>
        </w:rPr>
        <w:t xml:space="preserve"> </w:t>
      </w:r>
      <w:proofErr w:type="spellStart"/>
      <w:r w:rsidRPr="00ED0D90">
        <w:rPr>
          <w:lang w:val="es-PE"/>
        </w:rPr>
        <w:t>Return</w:t>
      </w:r>
      <w:proofErr w:type="spellEnd"/>
      <w:r w:rsidRPr="00ED0D90">
        <w:rPr>
          <w:lang w:val="es-PE"/>
        </w:rPr>
        <w:t xml:space="preserve"> (NSR), considerando precios de mercado a largo plazo, leyes metalúrgicas, recuperaciones, costos operativos y regalías. Se excluyeron variables comerciales como penalidades o deducciones por falta de información empresarial. La capacidad de planta se estimó en 11,027 </w:t>
      </w:r>
      <w:proofErr w:type="spellStart"/>
      <w:r w:rsidRPr="00ED0D90">
        <w:rPr>
          <w:lang w:val="es-PE"/>
        </w:rPr>
        <w:t>tpd</w:t>
      </w:r>
      <w:proofErr w:type="spellEnd"/>
      <w:r w:rsidRPr="00ED0D90">
        <w:rPr>
          <w:lang w:val="es-PE"/>
        </w:rPr>
        <w:t xml:space="preserve">, operando 360 días al año, y el plan de minado fue diseñado para cumplir con una ley de alimentación a planta entre 0.818% y 1.2% de </w:t>
      </w:r>
      <w:proofErr w:type="spellStart"/>
      <w:r w:rsidRPr="00ED0D90">
        <w:rPr>
          <w:lang w:val="es-PE"/>
        </w:rPr>
        <w:t>Li₂O</w:t>
      </w:r>
      <w:proofErr w:type="spellEnd"/>
      <w:r w:rsidRPr="00ED0D90">
        <w:rPr>
          <w:lang w:val="es-PE"/>
        </w:rPr>
        <w:t>.</w:t>
      </w:r>
    </w:p>
    <w:p w14:paraId="2C5D662C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 xml:space="preserve">Se implementó un modelamiento geológico 3D del cuerpo mineralizado, validado por datos de sondajes, análisis geoquímicos y topografía. Se realizaron estudios estadísticos y </w:t>
      </w:r>
      <w:proofErr w:type="spellStart"/>
      <w:r w:rsidRPr="00ED0D90">
        <w:rPr>
          <w:lang w:val="es-PE"/>
        </w:rPr>
        <w:t>variográficos</w:t>
      </w:r>
      <w:proofErr w:type="spellEnd"/>
      <w:r w:rsidRPr="00ED0D90">
        <w:rPr>
          <w:lang w:val="es-PE"/>
        </w:rPr>
        <w:t xml:space="preserve"> para definir la continuidad espacial de los elementos de interés, estableciendo composiciones óptimas, tratamiento de valores atípicos, y parámetros de búsqueda en la estimación de recursos. El modelo de bloques resultante fue categorizado en recursos medidos, indicados e inferidos, y validado visualmente.</w:t>
      </w:r>
    </w:p>
    <w:p w14:paraId="1625702B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 xml:space="preserve">El análisis </w:t>
      </w:r>
      <w:proofErr w:type="spellStart"/>
      <w:r w:rsidRPr="00ED0D90">
        <w:rPr>
          <w:lang w:val="es-PE"/>
        </w:rPr>
        <w:t>pit-by-pit</w:t>
      </w:r>
      <w:proofErr w:type="spellEnd"/>
      <w:r w:rsidRPr="00ED0D90">
        <w:rPr>
          <w:lang w:val="es-PE"/>
        </w:rPr>
        <w:t xml:space="preserve"> mediante el software Whittle permitió optimizar las fases de minado y simular diferentes escenarios económicos, obteniendo una vida útil de 14 años para la explotación a tajo abierto. El diseño minero incluyó </w:t>
      </w:r>
      <w:proofErr w:type="spellStart"/>
      <w:r w:rsidRPr="00ED0D90">
        <w:rPr>
          <w:lang w:val="es-PE"/>
        </w:rPr>
        <w:t>secuenciamiento</w:t>
      </w:r>
      <w:proofErr w:type="spellEnd"/>
      <w:r w:rsidRPr="00ED0D90">
        <w:rPr>
          <w:lang w:val="es-PE"/>
        </w:rPr>
        <w:t xml:space="preserve"> de fases, consumo de material por fase, botaderos, accesos, chancadora y presa de relaves. Se estimó un tonelaje total de 41 millones de toneladas en el primer año, con un stock diferencial de alta y baja ley para gestionar la alimentación a planta.</w:t>
      </w:r>
    </w:p>
    <w:p w14:paraId="354CCE5B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lastRenderedPageBreak/>
        <w:t xml:space="preserve">Posteriormente, se evaluó la viabilidad de continuar el proyecto mediante minería subterránea, usando el método </w:t>
      </w:r>
      <w:proofErr w:type="spellStart"/>
      <w:r w:rsidRPr="00ED0D90">
        <w:rPr>
          <w:lang w:val="es-PE"/>
        </w:rPr>
        <w:t>sublevel</w:t>
      </w:r>
      <w:proofErr w:type="spellEnd"/>
      <w:r w:rsidRPr="00ED0D90">
        <w:rPr>
          <w:lang w:val="es-PE"/>
        </w:rPr>
        <w:t xml:space="preserve"> </w:t>
      </w:r>
      <w:proofErr w:type="spellStart"/>
      <w:r w:rsidRPr="00ED0D90">
        <w:rPr>
          <w:lang w:val="es-PE"/>
        </w:rPr>
        <w:t>stoping</w:t>
      </w:r>
      <w:proofErr w:type="spellEnd"/>
      <w:r w:rsidRPr="00ED0D90">
        <w:rPr>
          <w:lang w:val="es-PE"/>
        </w:rPr>
        <w:t xml:space="preserve">. Se consideró una vida útil adicional de 5 años, con una capacidad anual de tratamiento de 4.02 millones de toneladas. Se generó el diseño de cámaras, rampas, sistemas de ventilación y transporte, además del plan de producción, empleando el módulo </w:t>
      </w:r>
      <w:proofErr w:type="spellStart"/>
      <w:r w:rsidRPr="00ED0D90">
        <w:rPr>
          <w:lang w:val="es-PE"/>
        </w:rPr>
        <w:t>MinePlan</w:t>
      </w:r>
      <w:proofErr w:type="spellEnd"/>
      <w:r w:rsidRPr="00ED0D90">
        <w:rPr>
          <w:lang w:val="es-PE"/>
        </w:rPr>
        <w:t xml:space="preserve"> Atlas.</w:t>
      </w:r>
    </w:p>
    <w:p w14:paraId="5E953D64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>Los resultados económicos para el conjunto del proyecto muestran un Valor Actual Neto (VAN) de 973 millones USD, una Tasa Interna de Retorno (TIR) de 11% y un periodo de recuperación de la inversión de 1.53 años. El análisis de sensibilidad evidenció la robustez del proyecto ante variaciones en las principales variables económicas.</w:t>
      </w:r>
    </w:p>
    <w:p w14:paraId="1E611858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 xml:space="preserve">Finalmente, se plantean recomendaciones para optimizar el OPEX, incluyendo el uso de </w:t>
      </w:r>
      <w:proofErr w:type="spellStart"/>
      <w:r w:rsidRPr="00ED0D90">
        <w:rPr>
          <w:lang w:val="es-PE"/>
        </w:rPr>
        <w:t>trolleytrucks</w:t>
      </w:r>
      <w:proofErr w:type="spellEnd"/>
      <w:r w:rsidRPr="00ED0D90">
        <w:rPr>
          <w:lang w:val="es-PE"/>
        </w:rPr>
        <w:t xml:space="preserve"> para transporte de desmonte, alternativas más económicas para la gestión de relaves, y campañas de pruebas metalúrgicas para mejorar recuperaciones. El diseño de la presa de relaves fue validado mediante simulaciones geotécnicas, arrojando un factor de seguridad de 1.349, considerado aceptable.</w:t>
      </w:r>
    </w:p>
    <w:p w14:paraId="0DEFBAD8" w14:textId="77777777" w:rsidR="00EF232C" w:rsidRPr="00ED0D90" w:rsidRDefault="00000000" w:rsidP="00ED0D90">
      <w:pPr>
        <w:spacing w:line="360" w:lineRule="auto"/>
        <w:jc w:val="both"/>
        <w:rPr>
          <w:lang w:val="es-PE"/>
        </w:rPr>
      </w:pPr>
      <w:r w:rsidRPr="00ED0D90">
        <w:rPr>
          <w:lang w:val="es-PE"/>
        </w:rPr>
        <w:t>Este proyecto representa un enfoque integral y técnico para evaluar un depósito de litio en etapa temprana, destacando su potencial económico y la posibilidad de continuidad mediante explotación subterránea.</w:t>
      </w:r>
    </w:p>
    <w:sectPr w:rsidR="00EF232C" w:rsidRPr="00ED0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037573">
    <w:abstractNumId w:val="8"/>
  </w:num>
  <w:num w:numId="2" w16cid:durableId="613249027">
    <w:abstractNumId w:val="6"/>
  </w:num>
  <w:num w:numId="3" w16cid:durableId="475605988">
    <w:abstractNumId w:val="5"/>
  </w:num>
  <w:num w:numId="4" w16cid:durableId="1959215422">
    <w:abstractNumId w:val="4"/>
  </w:num>
  <w:num w:numId="5" w16cid:durableId="1682732375">
    <w:abstractNumId w:val="7"/>
  </w:num>
  <w:num w:numId="6" w16cid:durableId="167915104">
    <w:abstractNumId w:val="3"/>
  </w:num>
  <w:num w:numId="7" w16cid:durableId="1771582389">
    <w:abstractNumId w:val="2"/>
  </w:num>
  <w:num w:numId="8" w16cid:durableId="302586508">
    <w:abstractNumId w:val="1"/>
  </w:num>
  <w:num w:numId="9" w16cid:durableId="104374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1C44"/>
    <w:rsid w:val="00ED0D90"/>
    <w:rsid w:val="00EF23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D9461"/>
  <w14:defaultImageDpi w14:val="300"/>
  <w15:docId w15:val="{2CE1A8F8-B98E-443C-85B5-BB436313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 Edu Toro Fustamante</cp:lastModifiedBy>
  <cp:revision>2</cp:revision>
  <dcterms:created xsi:type="dcterms:W3CDTF">2013-12-23T23:15:00Z</dcterms:created>
  <dcterms:modified xsi:type="dcterms:W3CDTF">2025-05-13T05:09:00Z</dcterms:modified>
  <cp:category/>
</cp:coreProperties>
</file>