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CE0CB" w14:textId="56B63323" w:rsidR="00A5761F" w:rsidRPr="000A238C" w:rsidRDefault="003E1C6A" w:rsidP="000A238C">
      <w:pPr>
        <w:pBdr>
          <w:bottom w:val="single" w:sz="12" w:space="1" w:color="auto"/>
        </w:pBdr>
        <w:spacing w:line="360" w:lineRule="auto"/>
        <w:jc w:val="center"/>
        <w:rPr>
          <w:rFonts w:ascii="Arial" w:hAnsi="Arial" w:cs="Arial"/>
          <w:b/>
          <w:bCs/>
          <w:lang w:val="es-PE"/>
        </w:rPr>
      </w:pPr>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0A238C">
      <w:pPr>
        <w:spacing w:after="0" w:line="360" w:lineRule="auto"/>
        <w:jc w:val="center"/>
        <w:rPr>
          <w:rFonts w:ascii="Arial" w:hAnsi="Arial" w:cs="Arial"/>
          <w:b/>
          <w:lang w:val="es-PE"/>
        </w:rPr>
      </w:pPr>
      <w:r>
        <w:rPr>
          <w:rFonts w:ascii="Arial" w:hAnsi="Arial" w:cs="Arial"/>
          <w:b/>
          <w:lang w:val="es-PE"/>
        </w:rPr>
        <w:t>Información</w:t>
      </w:r>
    </w:p>
    <w:p w14:paraId="74949FAD" w14:textId="16E99C6D" w:rsidR="00A5761F" w:rsidRPr="000A238C" w:rsidRDefault="00A5761F" w:rsidP="000A238C">
      <w:pPr>
        <w:spacing w:after="0" w:line="360" w:lineRule="auto"/>
        <w:rPr>
          <w:rFonts w:ascii="Arial" w:hAnsi="Arial" w:cs="Arial"/>
          <w:bCs/>
          <w:lang w:val="es-PE"/>
        </w:rPr>
      </w:pPr>
      <w:r w:rsidRPr="000A238C">
        <w:rPr>
          <w:rFonts w:ascii="Arial" w:hAnsi="Arial" w:cs="Arial"/>
          <w:b/>
          <w:lang w:val="es-PE"/>
        </w:rPr>
        <w:t>Título</w:t>
      </w:r>
      <w:r w:rsidR="000F277F" w:rsidRPr="000A238C">
        <w:rPr>
          <w:rFonts w:ascii="Arial" w:hAnsi="Arial" w:cs="Arial"/>
          <w:b/>
          <w:lang w:val="es-PE"/>
        </w:rPr>
        <w:t xml:space="preserve"> del trabajo</w:t>
      </w:r>
      <w:r w:rsidRPr="000A238C">
        <w:rPr>
          <w:rFonts w:ascii="Arial" w:hAnsi="Arial" w:cs="Arial"/>
          <w:b/>
          <w:lang w:val="es-PE"/>
        </w:rPr>
        <w:t xml:space="preserve">: </w:t>
      </w:r>
      <w:r w:rsidR="004E4398">
        <w:rPr>
          <w:rFonts w:ascii="Arial" w:hAnsi="Arial" w:cs="Arial"/>
          <w:bCs/>
          <w:lang w:val="es-PE"/>
        </w:rPr>
        <w:t>Gobernanza Participativa como Pilar del Cierre Responsable de Minas</w:t>
      </w:r>
    </w:p>
    <w:p w14:paraId="7DD33A35" w14:textId="10EA3BA1" w:rsidR="000577E4" w:rsidRPr="000A238C" w:rsidRDefault="000577E4" w:rsidP="000A238C">
      <w:pPr>
        <w:spacing w:after="0" w:line="360" w:lineRule="auto"/>
        <w:rPr>
          <w:rFonts w:ascii="Arial" w:hAnsi="Arial" w:cs="Arial"/>
          <w:lang w:val="es-PE"/>
        </w:rPr>
      </w:pPr>
      <w:r w:rsidRPr="000A238C">
        <w:rPr>
          <w:rFonts w:ascii="Arial" w:hAnsi="Arial" w:cs="Arial"/>
          <w:b/>
          <w:bCs/>
          <w:lang w:val="es-PE"/>
        </w:rPr>
        <w:t>Categoría</w:t>
      </w:r>
      <w:r w:rsidRPr="000A238C">
        <w:rPr>
          <w:rFonts w:ascii="Arial" w:hAnsi="Arial" w:cs="Arial"/>
          <w:lang w:val="es-PE"/>
        </w:rPr>
        <w:t xml:space="preserve">: </w:t>
      </w:r>
      <w:r w:rsidR="001420D7">
        <w:rPr>
          <w:rFonts w:ascii="Arial" w:hAnsi="Arial" w:cs="Arial"/>
          <w:lang w:val="es-PE"/>
        </w:rPr>
        <w:t>ESG</w:t>
      </w:r>
    </w:p>
    <w:p w14:paraId="438A99A0" w14:textId="673429A1" w:rsidR="000A238C" w:rsidRPr="000A238C" w:rsidRDefault="000A238C" w:rsidP="000A238C">
      <w:pPr>
        <w:spacing w:after="0" w:line="360" w:lineRule="auto"/>
        <w:rPr>
          <w:rFonts w:ascii="Arial" w:hAnsi="Arial" w:cs="Arial"/>
          <w:lang w:val="es-PE"/>
        </w:rPr>
      </w:pPr>
      <w:r>
        <w:rPr>
          <w:rFonts w:ascii="Arial" w:hAnsi="Arial" w:cs="Arial"/>
          <w:b/>
          <w:bCs/>
          <w:lang w:val="es-PE"/>
        </w:rPr>
        <w:t>Tema</w:t>
      </w:r>
      <w:r w:rsidRPr="000A238C">
        <w:rPr>
          <w:rFonts w:ascii="Arial" w:hAnsi="Arial" w:cs="Arial"/>
          <w:lang w:val="es-PE"/>
        </w:rPr>
        <w:t xml:space="preserve">: </w:t>
      </w:r>
      <w:r w:rsidR="00F626FC">
        <w:rPr>
          <w:rFonts w:ascii="Arial" w:hAnsi="Arial" w:cs="Arial"/>
          <w:lang w:val="es-PE"/>
        </w:rPr>
        <w:t>Participación y diálogo efectivo</w:t>
      </w:r>
    </w:p>
    <w:p w14:paraId="42AF2A68" w14:textId="54AFD499" w:rsidR="00C31A66" w:rsidRPr="000A238C" w:rsidRDefault="00C31A66" w:rsidP="000A238C">
      <w:pPr>
        <w:spacing w:after="0" w:line="360" w:lineRule="auto"/>
        <w:rPr>
          <w:rFonts w:ascii="Arial" w:hAnsi="Arial" w:cs="Arial"/>
          <w:b/>
          <w:bCs/>
          <w:lang w:val="es-PE"/>
        </w:rPr>
      </w:pPr>
      <w:r w:rsidRPr="000A238C">
        <w:rPr>
          <w:rFonts w:ascii="Arial" w:hAnsi="Arial" w:cs="Arial"/>
          <w:b/>
          <w:bCs/>
          <w:lang w:val="es-PE"/>
        </w:rPr>
        <w:t>Datos del autor(es):</w:t>
      </w:r>
    </w:p>
    <w:p w14:paraId="2A062639" w14:textId="222E62CA" w:rsidR="00501E63" w:rsidRDefault="00C1240F"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r w:rsidRPr="00C1240F">
        <w:rPr>
          <w:rFonts w:ascii="Arial" w:hAnsi="Arial" w:cs="Arial"/>
          <w:lang w:val="es-419"/>
        </w:rPr>
        <w:t xml:space="preserve">Yesenia </w:t>
      </w:r>
      <w:proofErr w:type="spellStart"/>
      <w:r w:rsidRPr="00C1240F">
        <w:rPr>
          <w:rFonts w:ascii="Arial" w:hAnsi="Arial" w:cs="Arial"/>
          <w:lang w:val="es-419"/>
        </w:rPr>
        <w:t>Haymé</w:t>
      </w:r>
      <w:proofErr w:type="spellEnd"/>
      <w:r w:rsidRPr="00C1240F">
        <w:rPr>
          <w:rFonts w:ascii="Arial" w:hAnsi="Arial" w:cs="Arial"/>
          <w:lang w:val="es-419"/>
        </w:rPr>
        <w:t xml:space="preserve"> Peláez Lobato</w:t>
      </w:r>
      <w:r w:rsidR="00501E63" w:rsidRPr="00C82237">
        <w:rPr>
          <w:rFonts w:ascii="Arial" w:hAnsi="Arial" w:cs="Arial"/>
          <w:lang w:val="es-419"/>
        </w:rPr>
        <w:t xml:space="preserve">, Newmont </w:t>
      </w:r>
      <w:r>
        <w:rPr>
          <w:rFonts w:ascii="Arial" w:hAnsi="Arial" w:cs="Arial"/>
          <w:lang w:val="es-419"/>
        </w:rPr>
        <w:t>Yanacocha</w:t>
      </w:r>
      <w:r w:rsidR="00501E63" w:rsidRPr="00C82237">
        <w:rPr>
          <w:rFonts w:ascii="Arial" w:hAnsi="Arial" w:cs="Arial"/>
          <w:lang w:val="es-419"/>
        </w:rPr>
        <w:t xml:space="preserve">, </w:t>
      </w:r>
      <w:r w:rsidR="00886D3E">
        <w:rPr>
          <w:rFonts w:ascii="Arial" w:hAnsi="Arial" w:cs="Arial"/>
          <w:lang w:val="es-419"/>
        </w:rPr>
        <w:t>Jefa de Planeamiento Cierre</w:t>
      </w:r>
      <w:r w:rsidR="00F55A6B">
        <w:rPr>
          <w:rFonts w:ascii="Arial" w:hAnsi="Arial" w:cs="Arial"/>
          <w:lang w:val="es-419"/>
        </w:rPr>
        <w:t>.</w:t>
      </w:r>
      <w:r w:rsidR="00501E63" w:rsidRPr="00C82237">
        <w:rPr>
          <w:rFonts w:ascii="Arial" w:hAnsi="Arial" w:cs="Arial"/>
          <w:lang w:val="es-419"/>
        </w:rPr>
        <w:t xml:space="preserve"> </w:t>
      </w:r>
      <w:hyperlink r:id="rId9" w:history="1">
        <w:r w:rsidR="0022072D" w:rsidRPr="0022072D">
          <w:rPr>
            <w:rStyle w:val="Hyperlink"/>
            <w:rFonts w:ascii="Arial" w:hAnsi="Arial" w:cs="Arial"/>
          </w:rPr>
          <w:t>yesenia.pelaez@newmont.com</w:t>
        </w:r>
      </w:hyperlink>
      <w:r w:rsidR="00501E63" w:rsidRPr="00C82237">
        <w:rPr>
          <w:rFonts w:ascii="Arial" w:hAnsi="Arial" w:cs="Arial"/>
          <w:lang w:val="es-419"/>
        </w:rPr>
        <w:t xml:space="preserve">, </w:t>
      </w:r>
      <w:r w:rsidR="008B5004">
        <w:rPr>
          <w:rFonts w:ascii="Arial" w:hAnsi="Arial" w:cs="Arial"/>
          <w:lang w:val="es-419"/>
        </w:rPr>
        <w:t>999</w:t>
      </w:r>
      <w:r w:rsidR="008B782A">
        <w:rPr>
          <w:rFonts w:ascii="Arial" w:hAnsi="Arial" w:cs="Arial"/>
          <w:lang w:val="es-419"/>
        </w:rPr>
        <w:t>907574</w:t>
      </w:r>
      <w:r w:rsidR="00501E63" w:rsidRPr="00C82237">
        <w:rPr>
          <w:rFonts w:ascii="Arial" w:hAnsi="Arial" w:cs="Arial"/>
          <w:lang w:val="es-419"/>
        </w:rPr>
        <w:t>.</w:t>
      </w:r>
    </w:p>
    <w:p w14:paraId="1FA67749" w14:textId="1ECF7532" w:rsidR="00BB69C0" w:rsidRPr="00BB69C0" w:rsidRDefault="00BB69C0" w:rsidP="004203A0">
      <w:pPr>
        <w:pStyle w:val="ListParagraph"/>
        <w:numPr>
          <w:ilvl w:val="0"/>
          <w:numId w:val="8"/>
        </w:numPr>
        <w:pBdr>
          <w:bottom w:val="single" w:sz="12" w:space="1" w:color="auto"/>
        </w:pBdr>
        <w:spacing w:after="0" w:line="360" w:lineRule="auto"/>
        <w:ind w:left="284" w:hanging="284"/>
        <w:rPr>
          <w:rFonts w:ascii="Arial" w:hAnsi="Arial" w:cs="Arial"/>
          <w:lang w:val="es-419"/>
        </w:rPr>
      </w:pPr>
      <w:r w:rsidRPr="00BB69C0">
        <w:rPr>
          <w:rFonts w:ascii="Arial" w:hAnsi="Arial" w:cs="Arial"/>
          <w:lang w:val="es-419"/>
        </w:rPr>
        <w:t>Evelyn Margot Torres Aliaga, Newmont Yanacocha, Su</w:t>
      </w:r>
      <w:r>
        <w:rPr>
          <w:rFonts w:ascii="Arial" w:hAnsi="Arial" w:cs="Arial"/>
          <w:lang w:val="es-419"/>
        </w:rPr>
        <w:t xml:space="preserve">perintendente de Relaciones Comunitarias. </w:t>
      </w:r>
      <w:hyperlink r:id="rId10" w:history="1">
        <w:r w:rsidR="00C15A20" w:rsidRPr="001A598A">
          <w:rPr>
            <w:rStyle w:val="Hyperlink"/>
            <w:rFonts w:ascii="Arial" w:hAnsi="Arial" w:cs="Arial"/>
            <w:lang w:val="es-419"/>
          </w:rPr>
          <w:t>evelyn.torres@newmont.com</w:t>
        </w:r>
      </w:hyperlink>
      <w:r w:rsidR="00C15A20">
        <w:rPr>
          <w:rFonts w:ascii="Arial" w:hAnsi="Arial" w:cs="Arial"/>
          <w:lang w:val="es-419"/>
        </w:rPr>
        <w:t>, 979789322</w:t>
      </w:r>
    </w:p>
    <w:p w14:paraId="78CD0140" w14:textId="77777777" w:rsidR="000A238C" w:rsidRPr="00BB69C0" w:rsidRDefault="000A238C" w:rsidP="000A238C">
      <w:pPr>
        <w:spacing w:after="0" w:line="360" w:lineRule="auto"/>
        <w:jc w:val="center"/>
        <w:rPr>
          <w:rFonts w:ascii="Arial" w:hAnsi="Arial" w:cs="Arial"/>
          <w:b/>
          <w:lang w:val="es-419"/>
        </w:rPr>
      </w:pPr>
    </w:p>
    <w:p w14:paraId="18F45805" w14:textId="649665D1" w:rsidR="000A238C" w:rsidRPr="000A238C" w:rsidRDefault="000A238C" w:rsidP="000A238C">
      <w:pPr>
        <w:spacing w:after="0" w:line="360" w:lineRule="auto"/>
        <w:jc w:val="center"/>
        <w:rPr>
          <w:rFonts w:ascii="Arial" w:hAnsi="Arial" w:cs="Arial"/>
          <w:b/>
          <w:lang w:val="es-PE"/>
        </w:rPr>
      </w:pPr>
      <w:r>
        <w:rPr>
          <w:rFonts w:ascii="Arial" w:hAnsi="Arial" w:cs="Arial"/>
          <w:b/>
          <w:lang w:val="es-PE"/>
        </w:rPr>
        <w:t>Contenido</w:t>
      </w:r>
    </w:p>
    <w:p w14:paraId="2474021C" w14:textId="32F9175B" w:rsidR="00D709E7" w:rsidRPr="00D709E7" w:rsidRDefault="007F640F" w:rsidP="00D709E7">
      <w:pPr>
        <w:spacing w:after="0" w:line="360" w:lineRule="auto"/>
        <w:ind w:firstLine="720"/>
        <w:jc w:val="both"/>
        <w:rPr>
          <w:rFonts w:ascii="Arial" w:hAnsi="Arial" w:cs="Arial"/>
          <w:lang w:val="es-PE"/>
        </w:rPr>
      </w:pPr>
      <w:r>
        <w:rPr>
          <w:rFonts w:ascii="Arial" w:hAnsi="Arial" w:cs="Arial"/>
          <w:lang w:val="es-PE"/>
        </w:rPr>
        <w:t>En Newmont Yanacocha, d</w:t>
      </w:r>
      <w:r w:rsidR="00D709E7" w:rsidRPr="00D709E7">
        <w:rPr>
          <w:rFonts w:ascii="Arial" w:hAnsi="Arial" w:cs="Arial"/>
          <w:lang w:val="es-PE"/>
        </w:rPr>
        <w:t xml:space="preserve">urante el desarrollo de la operación, </w:t>
      </w:r>
      <w:r w:rsidR="006F1DF6">
        <w:rPr>
          <w:rFonts w:ascii="Arial" w:hAnsi="Arial" w:cs="Arial"/>
          <w:lang w:val="es-PE"/>
        </w:rPr>
        <w:t>se</w:t>
      </w:r>
      <w:r w:rsidR="00D709E7" w:rsidRPr="00D709E7">
        <w:rPr>
          <w:rFonts w:ascii="Arial" w:hAnsi="Arial" w:cs="Arial"/>
          <w:lang w:val="es-PE"/>
        </w:rPr>
        <w:t xml:space="preserve"> ha desarrollado diversas acciones de comunicación relacionadas con el cierre de minas progresivo. En los últimos años, en el marco de la transición hacia el cierre el cierre final, </w:t>
      </w:r>
      <w:r w:rsidR="006F1DF6">
        <w:rPr>
          <w:rFonts w:ascii="Arial" w:hAnsi="Arial" w:cs="Arial"/>
          <w:lang w:val="es-PE"/>
        </w:rPr>
        <w:t>en Newmont Yanacocha se</w:t>
      </w:r>
      <w:r w:rsidR="00D709E7" w:rsidRPr="00D709E7">
        <w:rPr>
          <w:rFonts w:ascii="Arial" w:hAnsi="Arial" w:cs="Arial"/>
          <w:lang w:val="es-PE"/>
        </w:rPr>
        <w:t xml:space="preserve"> ha iniciado una serie de estudios técnicos especializados para sustentar el Plan de Cierre Final, todas estas acciones las viene realizando cumplimiento con el marco regulatorio nacional y sus estándares corporativos. </w:t>
      </w:r>
    </w:p>
    <w:p w14:paraId="11819F34" w14:textId="77777777" w:rsidR="00D709E7" w:rsidRPr="00D709E7" w:rsidRDefault="00D709E7" w:rsidP="00D709E7">
      <w:pPr>
        <w:spacing w:after="0" w:line="360" w:lineRule="auto"/>
        <w:ind w:firstLine="720"/>
        <w:jc w:val="both"/>
        <w:rPr>
          <w:rFonts w:ascii="Arial" w:hAnsi="Arial" w:cs="Arial"/>
          <w:lang w:val="es-PE"/>
        </w:rPr>
      </w:pPr>
      <w:r w:rsidRPr="00D709E7">
        <w:rPr>
          <w:rFonts w:ascii="Arial" w:hAnsi="Arial" w:cs="Arial"/>
          <w:lang w:val="es-PE"/>
        </w:rPr>
        <w:t>Durante este proceso de transición, hemos fortalecido los mecanismos de participación social para anticipar riesgos, gestionar expectativas y promover una visión compartida del cierre con nuestros grupos de interés. Esto se ha logrado mediante la socialización de la propuesta técnica de cierre de minas en el marco de los estudios de prefactibilidad. Desde el inicio de nuestras operaciones, hemos fomentado el involucramiento social en relación al plan de cierre  de la empresa y los avances relacionados al cierre progresivo de la mina.</w:t>
      </w:r>
    </w:p>
    <w:p w14:paraId="34C535C1" w14:textId="77777777" w:rsidR="00D709E7" w:rsidRPr="00D709E7" w:rsidRDefault="00D709E7" w:rsidP="00D709E7">
      <w:pPr>
        <w:spacing w:after="0" w:line="360" w:lineRule="auto"/>
        <w:ind w:firstLine="720"/>
        <w:jc w:val="both"/>
        <w:rPr>
          <w:rFonts w:ascii="Arial" w:hAnsi="Arial" w:cs="Arial"/>
          <w:lang w:val="es-PE"/>
        </w:rPr>
      </w:pPr>
      <w:r w:rsidRPr="00D709E7">
        <w:rPr>
          <w:rFonts w:ascii="Arial" w:hAnsi="Arial" w:cs="Arial"/>
          <w:lang w:val="es-PE"/>
        </w:rPr>
        <w:t>Consideramos, que la participación ciudadana en los procesos mineros es una condición clave para el desarrollo sostenible, la legitimidad social y la prevención de conflictos. La minería responsable, basada en principios internacionales y normativas nacionales, reconoce que el involucramiento, activo y temprano, de la población en el área de influencia directa e indirecta genera transparencia, confianza y una mayor efectividad en la gestión de impactos.</w:t>
      </w:r>
    </w:p>
    <w:p w14:paraId="0CABF8DF" w14:textId="24227D85" w:rsidR="00D709E7" w:rsidRPr="00D709E7" w:rsidRDefault="00D709E7" w:rsidP="00D709E7">
      <w:pPr>
        <w:spacing w:after="0" w:line="360" w:lineRule="auto"/>
        <w:ind w:firstLine="720"/>
        <w:jc w:val="both"/>
        <w:rPr>
          <w:rFonts w:ascii="Arial" w:hAnsi="Arial" w:cs="Arial"/>
          <w:lang w:val="es-PE"/>
        </w:rPr>
      </w:pPr>
      <w:r w:rsidRPr="00D709E7">
        <w:rPr>
          <w:rFonts w:ascii="Arial" w:hAnsi="Arial" w:cs="Arial"/>
          <w:lang w:val="es-PE"/>
        </w:rPr>
        <w:t>En respuesta a este escenario, se diseñó e implementó una estrategia de participación ciudadana temprana mediante talleres informativos y participativos</w:t>
      </w:r>
      <w:r w:rsidR="00EC6613">
        <w:rPr>
          <w:rFonts w:ascii="Arial" w:hAnsi="Arial" w:cs="Arial"/>
          <w:lang w:val="es-PE"/>
        </w:rPr>
        <w:t>.</w:t>
      </w:r>
      <w:r w:rsidRPr="00D709E7">
        <w:rPr>
          <w:rFonts w:ascii="Arial" w:hAnsi="Arial" w:cs="Arial"/>
          <w:lang w:val="es-PE"/>
        </w:rPr>
        <w:t xml:space="preserve"> Estos talleres se orientaron a socializar el enfoque</w:t>
      </w:r>
      <w:r w:rsidR="00EC6613">
        <w:rPr>
          <w:rFonts w:ascii="Arial" w:hAnsi="Arial" w:cs="Arial"/>
          <w:lang w:val="es-PE"/>
        </w:rPr>
        <w:t xml:space="preserve"> y las opciones </w:t>
      </w:r>
      <w:r w:rsidRPr="00D709E7">
        <w:rPr>
          <w:rFonts w:ascii="Arial" w:hAnsi="Arial" w:cs="Arial"/>
          <w:lang w:val="es-PE"/>
        </w:rPr>
        <w:t>del cierre técnico y recoger de manera estructurada las percepciones, inquietudes y preocupaciones de los distintos grupos de interés. Esta metodología permitió generar información social clave para retroalimentar el diseño técnico del cierre y reforzar la planificación fomentando la confianza en el relacionamiento comunitario.</w:t>
      </w:r>
    </w:p>
    <w:p w14:paraId="3C7728A0" w14:textId="365E9295" w:rsidR="00D709E7" w:rsidRPr="00D709E7" w:rsidRDefault="00D709E7" w:rsidP="00D709E7">
      <w:pPr>
        <w:spacing w:after="0" w:line="360" w:lineRule="auto"/>
        <w:ind w:firstLine="720"/>
        <w:jc w:val="both"/>
        <w:rPr>
          <w:rFonts w:ascii="Arial" w:hAnsi="Arial" w:cs="Arial"/>
          <w:lang w:val="es-PE"/>
        </w:rPr>
      </w:pPr>
      <w:r w:rsidRPr="00D709E7">
        <w:rPr>
          <w:rFonts w:ascii="Arial" w:hAnsi="Arial" w:cs="Arial"/>
          <w:lang w:val="es-PE"/>
        </w:rPr>
        <w:t xml:space="preserve">El presente trabajo se enmarca en la experiencia </w:t>
      </w:r>
      <w:r w:rsidR="00BB69C0">
        <w:rPr>
          <w:rFonts w:ascii="Arial" w:hAnsi="Arial" w:cs="Arial"/>
          <w:lang w:val="es-PE"/>
        </w:rPr>
        <w:t>en Newmont</w:t>
      </w:r>
      <w:r w:rsidRPr="00D709E7">
        <w:rPr>
          <w:rFonts w:ascii="Arial" w:hAnsi="Arial" w:cs="Arial"/>
          <w:lang w:val="es-PE"/>
        </w:rPr>
        <w:t xml:space="preserve"> Yanacocha como un caso práctico donde la participación anticipada de grupos de interés contribuye a:</w:t>
      </w:r>
    </w:p>
    <w:p w14:paraId="425E6302" w14:textId="77777777" w:rsidR="00D709E7" w:rsidRPr="00D709E7" w:rsidRDefault="00D709E7" w:rsidP="00D709E7">
      <w:pPr>
        <w:spacing w:after="0" w:line="360" w:lineRule="auto"/>
        <w:ind w:firstLine="720"/>
        <w:jc w:val="both"/>
        <w:rPr>
          <w:rFonts w:ascii="Arial" w:hAnsi="Arial" w:cs="Arial"/>
          <w:lang w:val="es-PE"/>
        </w:rPr>
      </w:pPr>
      <w:r w:rsidRPr="00D709E7">
        <w:rPr>
          <w:rFonts w:ascii="Arial" w:hAnsi="Arial" w:cs="Arial"/>
          <w:lang w:val="es-PE"/>
        </w:rPr>
        <w:lastRenderedPageBreak/>
        <w:t>•</w:t>
      </w:r>
      <w:r w:rsidRPr="00D709E7">
        <w:rPr>
          <w:rFonts w:ascii="Arial" w:hAnsi="Arial" w:cs="Arial"/>
          <w:lang w:val="es-PE"/>
        </w:rPr>
        <w:tab/>
        <w:t>Mejorar la calidad del diseño del cierre,</w:t>
      </w:r>
    </w:p>
    <w:p w14:paraId="3A09183F" w14:textId="77777777" w:rsidR="00D709E7" w:rsidRPr="00D709E7" w:rsidRDefault="00D709E7" w:rsidP="00D709E7">
      <w:pPr>
        <w:spacing w:after="0" w:line="360" w:lineRule="auto"/>
        <w:ind w:firstLine="720"/>
        <w:jc w:val="both"/>
        <w:rPr>
          <w:rFonts w:ascii="Arial" w:hAnsi="Arial" w:cs="Arial"/>
          <w:lang w:val="es-PE"/>
        </w:rPr>
      </w:pPr>
      <w:r w:rsidRPr="00D709E7">
        <w:rPr>
          <w:rFonts w:ascii="Arial" w:hAnsi="Arial" w:cs="Arial"/>
          <w:lang w:val="es-PE"/>
        </w:rPr>
        <w:t>•</w:t>
      </w:r>
      <w:r w:rsidRPr="00D709E7">
        <w:rPr>
          <w:rFonts w:ascii="Arial" w:hAnsi="Arial" w:cs="Arial"/>
          <w:lang w:val="es-PE"/>
        </w:rPr>
        <w:tab/>
        <w:t>Gestionar riesgos sociales en el escenario de cierre de mina, y</w:t>
      </w:r>
    </w:p>
    <w:p w14:paraId="09F3FE89" w14:textId="77777777" w:rsidR="00D709E7" w:rsidRPr="00D709E7" w:rsidRDefault="00D709E7" w:rsidP="00D709E7">
      <w:pPr>
        <w:spacing w:after="0" w:line="360" w:lineRule="auto"/>
        <w:ind w:firstLine="720"/>
        <w:jc w:val="both"/>
        <w:rPr>
          <w:rFonts w:ascii="Arial" w:hAnsi="Arial" w:cs="Arial"/>
          <w:lang w:val="es-PE"/>
        </w:rPr>
      </w:pPr>
      <w:r w:rsidRPr="00D709E7">
        <w:rPr>
          <w:rFonts w:ascii="Arial" w:hAnsi="Arial" w:cs="Arial"/>
          <w:lang w:val="es-PE"/>
        </w:rPr>
        <w:t>•</w:t>
      </w:r>
      <w:r w:rsidRPr="00D709E7">
        <w:rPr>
          <w:rFonts w:ascii="Arial" w:hAnsi="Arial" w:cs="Arial"/>
          <w:lang w:val="es-PE"/>
        </w:rPr>
        <w:tab/>
        <w:t>Consolidar un cierre con enfoque integral, técnico y socialmente legitimado.</w:t>
      </w:r>
    </w:p>
    <w:p w14:paraId="0C48A2E6" w14:textId="49C4E79A" w:rsidR="002243B9" w:rsidRPr="001A7322" w:rsidRDefault="00D709E7" w:rsidP="00D709E7">
      <w:pPr>
        <w:spacing w:after="0" w:line="360" w:lineRule="auto"/>
        <w:ind w:firstLine="720"/>
        <w:jc w:val="both"/>
        <w:rPr>
          <w:rFonts w:ascii="Arial" w:hAnsi="Arial" w:cs="Arial"/>
          <w:lang w:val="es-PE"/>
        </w:rPr>
      </w:pPr>
      <w:r w:rsidRPr="00D709E7">
        <w:rPr>
          <w:rFonts w:ascii="Arial" w:hAnsi="Arial" w:cs="Arial"/>
          <w:lang w:val="es-PE"/>
        </w:rPr>
        <w:t>Este enfoque representa una evolución en la gestión del cierre de una mina en el Perú, y constituye una práctica replicable en otras operaciones en transición hacia el cierre, donde la planificación integrada del cierre, responde también al involucramiento social comunitari</w:t>
      </w:r>
      <w:r w:rsidR="00EC6613">
        <w:rPr>
          <w:rFonts w:ascii="Arial" w:hAnsi="Arial" w:cs="Arial"/>
          <w:lang w:val="es-PE"/>
        </w:rPr>
        <w:t>o</w:t>
      </w:r>
      <w:r w:rsidRPr="00D709E7">
        <w:rPr>
          <w:rFonts w:ascii="Arial" w:hAnsi="Arial" w:cs="Arial"/>
          <w:lang w:val="es-PE"/>
        </w:rPr>
        <w:t>.</w:t>
      </w:r>
    </w:p>
    <w:p w14:paraId="0A1206EF" w14:textId="77777777" w:rsidR="004C5C43" w:rsidRPr="000A238C" w:rsidRDefault="004C5C43" w:rsidP="004C5C43">
      <w:pPr>
        <w:spacing w:before="120" w:after="0" w:line="360" w:lineRule="auto"/>
        <w:jc w:val="both"/>
        <w:rPr>
          <w:rFonts w:ascii="Arial" w:hAnsi="Arial" w:cs="Arial"/>
          <w:b/>
          <w:bCs/>
          <w:lang w:val="es-PE"/>
        </w:rPr>
      </w:pPr>
      <w:r>
        <w:rPr>
          <w:rFonts w:ascii="Arial" w:hAnsi="Arial" w:cs="Arial"/>
          <w:b/>
          <w:bCs/>
          <w:lang w:val="es-PE"/>
        </w:rPr>
        <w:t>Metodología</w:t>
      </w:r>
    </w:p>
    <w:p w14:paraId="690FE6DB" w14:textId="46A5761F" w:rsidR="002A7CE9" w:rsidRPr="002A7CE9" w:rsidRDefault="00A14452" w:rsidP="002A7CE9">
      <w:pPr>
        <w:spacing w:after="0" w:line="360" w:lineRule="auto"/>
        <w:ind w:firstLine="720"/>
        <w:jc w:val="both"/>
        <w:rPr>
          <w:rFonts w:ascii="Arial" w:hAnsi="Arial" w:cs="Arial"/>
          <w:lang w:val="es-PE"/>
        </w:rPr>
      </w:pPr>
      <w:r w:rsidRPr="00A14452">
        <w:rPr>
          <w:rFonts w:ascii="Arial" w:hAnsi="Arial" w:cs="Arial"/>
          <w:lang w:val="es-PE"/>
        </w:rPr>
        <w:t>La metodología implementada en los talleres participativos para el cierre de minas se estructuró en cinco fases interrelacionadas, cada una de ellas orientada a maximizar la participación de la comunidad, promover el entendimiento sobre el proceso de cierre y mitigar los riesgos sociales. La participación e involucramiento temprano en el cierre de minas contribuye a la aceptación social del plan de cierre y facilitan la gestión de impactos sociales a largo plazo.</w:t>
      </w:r>
    </w:p>
    <w:p w14:paraId="7E9442C6" w14:textId="1F441947" w:rsidR="00B11D94" w:rsidRDefault="00445EF2" w:rsidP="00690949">
      <w:pPr>
        <w:pStyle w:val="ListParagraph"/>
        <w:numPr>
          <w:ilvl w:val="0"/>
          <w:numId w:val="17"/>
        </w:numPr>
        <w:spacing w:after="0" w:line="360" w:lineRule="auto"/>
        <w:ind w:left="284" w:hanging="284"/>
        <w:jc w:val="both"/>
        <w:rPr>
          <w:rFonts w:ascii="Arial" w:hAnsi="Arial" w:cs="Arial"/>
          <w:lang w:val="es-PE"/>
        </w:rPr>
      </w:pPr>
      <w:r>
        <w:rPr>
          <w:rFonts w:ascii="Arial" w:hAnsi="Arial" w:cs="Arial"/>
          <w:b/>
          <w:bCs/>
          <w:lang w:val="es-PE"/>
        </w:rPr>
        <w:t>Primera fase: Identificación de temas clave y construcción de la narrativa</w:t>
      </w:r>
      <w:r w:rsidR="002A7CE9" w:rsidRPr="00B11D94">
        <w:rPr>
          <w:rFonts w:ascii="Arial" w:hAnsi="Arial" w:cs="Arial"/>
          <w:lang w:val="es-PE"/>
        </w:rPr>
        <w:t xml:space="preserve">: </w:t>
      </w:r>
      <w:r w:rsidR="00B51323">
        <w:rPr>
          <w:rFonts w:ascii="Arial" w:hAnsi="Arial" w:cs="Arial"/>
          <w:lang w:val="es-PE"/>
        </w:rPr>
        <w:t>C</w:t>
      </w:r>
      <w:r w:rsidR="00B51323" w:rsidRPr="00B51323">
        <w:rPr>
          <w:rFonts w:ascii="Arial" w:hAnsi="Arial" w:cs="Arial"/>
          <w:lang w:val="es-PE"/>
        </w:rPr>
        <w:t>onsistió en identificar los temas más relevantes para ser informados a la comunidad, basándose en el “</w:t>
      </w:r>
      <w:proofErr w:type="spellStart"/>
      <w:r w:rsidR="00B51323" w:rsidRPr="00733E32">
        <w:rPr>
          <w:rFonts w:ascii="Arial" w:hAnsi="Arial" w:cs="Arial"/>
          <w:i/>
          <w:iCs/>
          <w:lang w:val="es-PE"/>
        </w:rPr>
        <w:t>Knowledge</w:t>
      </w:r>
      <w:proofErr w:type="spellEnd"/>
      <w:r w:rsidR="00B51323" w:rsidRPr="00733E32">
        <w:rPr>
          <w:rFonts w:ascii="Arial" w:hAnsi="Arial" w:cs="Arial"/>
          <w:i/>
          <w:iCs/>
          <w:lang w:val="es-PE"/>
        </w:rPr>
        <w:t xml:space="preserve"> Base</w:t>
      </w:r>
      <w:r w:rsidR="00B51323" w:rsidRPr="00B51323">
        <w:rPr>
          <w:rFonts w:ascii="Arial" w:hAnsi="Arial" w:cs="Arial"/>
          <w:lang w:val="es-PE"/>
        </w:rPr>
        <w:t xml:space="preserve">” generado durante procesos informativos previos sobre el cierre de minas. </w:t>
      </w:r>
    </w:p>
    <w:p w14:paraId="2E356F92" w14:textId="1542888A" w:rsidR="00187AD8" w:rsidRDefault="00B51323" w:rsidP="00690949">
      <w:pPr>
        <w:pStyle w:val="ListParagraph"/>
        <w:numPr>
          <w:ilvl w:val="0"/>
          <w:numId w:val="17"/>
        </w:numPr>
        <w:spacing w:after="0" w:line="360" w:lineRule="auto"/>
        <w:ind w:left="284" w:hanging="284"/>
        <w:jc w:val="both"/>
        <w:rPr>
          <w:rFonts w:ascii="Arial" w:hAnsi="Arial" w:cs="Arial"/>
          <w:lang w:val="es-PE"/>
        </w:rPr>
      </w:pPr>
      <w:r>
        <w:rPr>
          <w:rFonts w:ascii="Arial" w:hAnsi="Arial" w:cs="Arial"/>
          <w:b/>
          <w:bCs/>
          <w:lang w:val="es-PE"/>
        </w:rPr>
        <w:t xml:space="preserve">Segunda fase: Mapeo y priorización de </w:t>
      </w:r>
      <w:proofErr w:type="spellStart"/>
      <w:r w:rsidRPr="00733E32">
        <w:rPr>
          <w:rFonts w:ascii="Arial" w:hAnsi="Arial" w:cs="Arial"/>
          <w:b/>
          <w:bCs/>
          <w:i/>
          <w:iCs/>
          <w:lang w:val="es-PE"/>
        </w:rPr>
        <w:t>stakaholders</w:t>
      </w:r>
      <w:proofErr w:type="spellEnd"/>
      <w:r w:rsidR="002A7CE9" w:rsidRPr="00B11D94">
        <w:rPr>
          <w:rFonts w:ascii="Arial" w:hAnsi="Arial" w:cs="Arial"/>
          <w:lang w:val="es-PE"/>
        </w:rPr>
        <w:t xml:space="preserve">: </w:t>
      </w:r>
      <w:r w:rsidR="00733E32">
        <w:rPr>
          <w:rFonts w:ascii="Arial" w:hAnsi="Arial" w:cs="Arial"/>
          <w:lang w:val="es-PE"/>
        </w:rPr>
        <w:t>Mapear</w:t>
      </w:r>
      <w:r w:rsidR="00733E32" w:rsidRPr="00733E32">
        <w:rPr>
          <w:rFonts w:ascii="Arial" w:hAnsi="Arial" w:cs="Arial"/>
          <w:lang w:val="es-PE"/>
        </w:rPr>
        <w:t xml:space="preserve"> actores considerando variables clave como ubicación geográfica, nivel de riesgo asociado a las infraestructuras de la mina, beneficiarios de descargas de agua y expectativas e interés en el cierre de minas. </w:t>
      </w:r>
    </w:p>
    <w:p w14:paraId="63E17824" w14:textId="4E18174C" w:rsidR="00187AD8" w:rsidRDefault="00733E32" w:rsidP="00690949">
      <w:pPr>
        <w:pStyle w:val="ListParagraph"/>
        <w:numPr>
          <w:ilvl w:val="0"/>
          <w:numId w:val="17"/>
        </w:numPr>
        <w:spacing w:after="0" w:line="360" w:lineRule="auto"/>
        <w:ind w:left="284" w:hanging="284"/>
        <w:jc w:val="both"/>
        <w:rPr>
          <w:rFonts w:ascii="Arial" w:hAnsi="Arial" w:cs="Arial"/>
          <w:lang w:val="es-PE"/>
        </w:rPr>
      </w:pPr>
      <w:r>
        <w:rPr>
          <w:rFonts w:ascii="Arial" w:hAnsi="Arial" w:cs="Arial"/>
          <w:b/>
          <w:bCs/>
          <w:lang w:val="es-PE"/>
        </w:rPr>
        <w:t>Tercera fase: Adaptaci</w:t>
      </w:r>
      <w:r w:rsidR="00BC004C">
        <w:rPr>
          <w:rFonts w:ascii="Arial" w:hAnsi="Arial" w:cs="Arial"/>
          <w:b/>
          <w:bCs/>
          <w:lang w:val="es-PE"/>
        </w:rPr>
        <w:t>ón de narrativa técnica</w:t>
      </w:r>
      <w:r w:rsidR="002A7CE9" w:rsidRPr="00187AD8">
        <w:rPr>
          <w:rFonts w:ascii="Arial" w:hAnsi="Arial" w:cs="Arial"/>
          <w:lang w:val="es-PE"/>
        </w:rPr>
        <w:t xml:space="preserve">: </w:t>
      </w:r>
      <w:r w:rsidR="00554226" w:rsidRPr="00554226">
        <w:rPr>
          <w:rFonts w:ascii="Arial" w:hAnsi="Arial" w:cs="Arial"/>
          <w:lang w:val="es-PE"/>
        </w:rPr>
        <w:t>Un equipo multidisciplinario</w:t>
      </w:r>
      <w:r w:rsidR="00783376">
        <w:rPr>
          <w:rFonts w:ascii="Arial" w:hAnsi="Arial" w:cs="Arial"/>
          <w:lang w:val="es-PE"/>
        </w:rPr>
        <w:t xml:space="preserve"> de</w:t>
      </w:r>
      <w:r w:rsidR="00543783">
        <w:rPr>
          <w:rFonts w:ascii="Arial" w:hAnsi="Arial" w:cs="Arial"/>
          <w:lang w:val="es-PE"/>
        </w:rPr>
        <w:t xml:space="preserve"> </w:t>
      </w:r>
      <w:r w:rsidR="00554226" w:rsidRPr="00554226">
        <w:rPr>
          <w:rFonts w:ascii="Arial" w:hAnsi="Arial" w:cs="Arial"/>
          <w:lang w:val="es-PE"/>
        </w:rPr>
        <w:t xml:space="preserve">expertos de las áreas de gestión de agua, cierre de minas, relaciones comunitarias y comunicaciones, trabajó conjuntamente para desarrollar los mensajes. Estos mensajes fueron diseñados para transformar el lenguaje técnico utilizado en la propuesta de cierre en términos más accesibles y comprensibles para los públicos objetivos, denominado como lenguaje culturalmente aceptable. </w:t>
      </w:r>
    </w:p>
    <w:p w14:paraId="7189BDF1" w14:textId="3E97D0B7" w:rsidR="00187AD8" w:rsidRDefault="004E007F" w:rsidP="00690949">
      <w:pPr>
        <w:pStyle w:val="ListParagraph"/>
        <w:numPr>
          <w:ilvl w:val="0"/>
          <w:numId w:val="17"/>
        </w:numPr>
        <w:spacing w:after="0" w:line="360" w:lineRule="auto"/>
        <w:ind w:left="284" w:hanging="284"/>
        <w:jc w:val="both"/>
        <w:rPr>
          <w:rFonts w:ascii="Arial" w:hAnsi="Arial" w:cs="Arial"/>
          <w:lang w:val="es-PE"/>
        </w:rPr>
      </w:pPr>
      <w:r>
        <w:rPr>
          <w:rFonts w:ascii="Arial" w:hAnsi="Arial" w:cs="Arial"/>
          <w:b/>
          <w:bCs/>
          <w:lang w:val="es-PE"/>
        </w:rPr>
        <w:t>Cuarta fase: Desarrollo del plan de comunicaciones</w:t>
      </w:r>
      <w:r w:rsidR="002A7CE9" w:rsidRPr="00187AD8">
        <w:rPr>
          <w:rFonts w:ascii="Arial" w:hAnsi="Arial" w:cs="Arial"/>
          <w:lang w:val="es-PE"/>
        </w:rPr>
        <w:t xml:space="preserve">: </w:t>
      </w:r>
      <w:r w:rsidR="005B0A4F" w:rsidRPr="005B0A4F">
        <w:rPr>
          <w:rFonts w:ascii="Arial" w:hAnsi="Arial" w:cs="Arial"/>
          <w:lang w:val="es-PE"/>
        </w:rPr>
        <w:t>En esta etapa se consolida todo el trabajo previo en un conjunto de productos y mecanismos que faciliten la comprensión, la participación y la consolidación de los resultados obtenidos en los talleres participativos. Para ello, se desarrolló la construcción de herramientas dinámicas y lúdicas (infografías</w:t>
      </w:r>
      <w:r w:rsidR="008A1944">
        <w:rPr>
          <w:rFonts w:ascii="Arial" w:hAnsi="Arial" w:cs="Arial"/>
          <w:lang w:val="es-PE"/>
        </w:rPr>
        <w:t xml:space="preserve">, </w:t>
      </w:r>
      <w:proofErr w:type="spellStart"/>
      <w:r w:rsidR="008A1944" w:rsidRPr="00543783">
        <w:rPr>
          <w:rFonts w:ascii="Arial" w:hAnsi="Arial" w:cs="Arial"/>
          <w:i/>
          <w:iCs/>
          <w:lang w:val="es-PE"/>
        </w:rPr>
        <w:t>dashboards</w:t>
      </w:r>
      <w:proofErr w:type="spellEnd"/>
      <w:r w:rsidR="005B0A4F" w:rsidRPr="005B0A4F">
        <w:rPr>
          <w:rFonts w:ascii="Arial" w:hAnsi="Arial" w:cs="Arial"/>
          <w:lang w:val="es-PE"/>
        </w:rPr>
        <w:t xml:space="preserve"> &amp; maqueta interactiva), incluyendo una propuesta metodológica que garantice la representatividad de género. </w:t>
      </w:r>
    </w:p>
    <w:p w14:paraId="501F9C44" w14:textId="46D9675B" w:rsidR="00BA43CE" w:rsidRDefault="00B77DA5" w:rsidP="00690949">
      <w:pPr>
        <w:pStyle w:val="ListParagraph"/>
        <w:numPr>
          <w:ilvl w:val="0"/>
          <w:numId w:val="17"/>
        </w:numPr>
        <w:spacing w:after="0" w:line="360" w:lineRule="auto"/>
        <w:ind w:left="284" w:hanging="284"/>
        <w:jc w:val="both"/>
        <w:rPr>
          <w:rFonts w:ascii="Arial" w:hAnsi="Arial" w:cs="Arial"/>
          <w:lang w:val="es-PE"/>
        </w:rPr>
      </w:pPr>
      <w:r>
        <w:rPr>
          <w:rFonts w:ascii="Arial" w:hAnsi="Arial" w:cs="Arial"/>
          <w:b/>
          <w:bCs/>
          <w:lang w:val="es-PE"/>
        </w:rPr>
        <w:t>Quinta fase: Implementación de talleres participativos</w:t>
      </w:r>
      <w:r w:rsidR="002A7CE9" w:rsidRPr="00187AD8">
        <w:rPr>
          <w:rFonts w:ascii="Arial" w:hAnsi="Arial" w:cs="Arial"/>
          <w:lang w:val="es-PE"/>
        </w:rPr>
        <w:t xml:space="preserve">: </w:t>
      </w:r>
      <w:r w:rsidR="00DF0F23" w:rsidRPr="00DF0F23">
        <w:rPr>
          <w:rFonts w:ascii="Arial" w:hAnsi="Arial" w:cs="Arial"/>
          <w:lang w:val="es-PE"/>
        </w:rPr>
        <w:t xml:space="preserve">El proceso de implementación, abordó 6 pasos estructurados a lo largo del taller. Teniendo como punto de partida, la bienvenida y contextualización del propósito del taller, haciendo énfasis de que este responde al cumplimiento de estándares de la empresa, y no a algún requerimiento regulatorio del país. Seguidamente, se desarrolló la explicación del plan técnico de cierre en el marco de los estudios, haciendo uso de los diseños infográficos – de cierre- por componente mayor de la huella operativa. Para reforzar el entendimiento de esta explicación, se </w:t>
      </w:r>
      <w:r w:rsidR="00AA0662" w:rsidRPr="00DF0F23">
        <w:rPr>
          <w:rFonts w:ascii="Arial" w:hAnsi="Arial" w:cs="Arial"/>
          <w:lang w:val="es-PE"/>
        </w:rPr>
        <w:t>desarrolló</w:t>
      </w:r>
      <w:r w:rsidR="00DF0F23" w:rsidRPr="00DF0F23">
        <w:rPr>
          <w:rFonts w:ascii="Arial" w:hAnsi="Arial" w:cs="Arial"/>
          <w:lang w:val="es-PE"/>
        </w:rPr>
        <w:t xml:space="preserve"> un espacio particular para de manera interactiva hacer uso de la maqueta, la cual aseguró la participación de cada asistente al taller.</w:t>
      </w:r>
      <w:r w:rsidR="008044BC">
        <w:rPr>
          <w:rFonts w:ascii="Arial" w:hAnsi="Arial" w:cs="Arial"/>
          <w:lang w:val="es-PE"/>
        </w:rPr>
        <w:t xml:space="preserve"> </w:t>
      </w:r>
      <w:r w:rsidR="008044BC">
        <w:rPr>
          <w:rFonts w:ascii="Arial" w:hAnsi="Arial" w:cs="Arial"/>
          <w:lang w:val="es-PE"/>
        </w:rPr>
        <w:lastRenderedPageBreak/>
        <w:t xml:space="preserve">Un aspecto importante </w:t>
      </w:r>
      <w:r w:rsidR="00C0355F">
        <w:rPr>
          <w:rFonts w:ascii="Arial" w:hAnsi="Arial" w:cs="Arial"/>
          <w:lang w:val="es-PE"/>
        </w:rPr>
        <w:t>en</w:t>
      </w:r>
      <w:r w:rsidR="008044BC">
        <w:rPr>
          <w:rFonts w:ascii="Arial" w:hAnsi="Arial" w:cs="Arial"/>
          <w:lang w:val="es-PE"/>
        </w:rPr>
        <w:t xml:space="preserve"> el desarrollo de los talleres </w:t>
      </w:r>
      <w:r w:rsidR="00C0355F">
        <w:rPr>
          <w:rFonts w:ascii="Arial" w:hAnsi="Arial" w:cs="Arial"/>
          <w:lang w:val="es-PE"/>
        </w:rPr>
        <w:t xml:space="preserve">es que </w:t>
      </w:r>
      <w:r w:rsidR="008044BC">
        <w:rPr>
          <w:rFonts w:ascii="Arial" w:hAnsi="Arial" w:cs="Arial"/>
          <w:lang w:val="es-PE"/>
        </w:rPr>
        <w:t xml:space="preserve">se contó con la participación </w:t>
      </w:r>
      <w:r w:rsidR="000D1246">
        <w:rPr>
          <w:rFonts w:ascii="Arial" w:hAnsi="Arial" w:cs="Arial"/>
          <w:lang w:val="es-PE"/>
        </w:rPr>
        <w:t>de las áreas técnicas: agua, cierre</w:t>
      </w:r>
      <w:r w:rsidR="00B45116">
        <w:rPr>
          <w:rFonts w:ascii="Arial" w:hAnsi="Arial" w:cs="Arial"/>
          <w:lang w:val="es-PE"/>
        </w:rPr>
        <w:t xml:space="preserve">, diques; lo que permitió dar respuesta a preguntas del público asistente y a su vez, que las áreas involucradas en el cierre de mina </w:t>
      </w:r>
      <w:r w:rsidR="00C0355F">
        <w:rPr>
          <w:rFonts w:ascii="Arial" w:hAnsi="Arial" w:cs="Arial"/>
          <w:lang w:val="es-PE"/>
        </w:rPr>
        <w:t xml:space="preserve">se acerquen a las preocupaciones de la población aledaña al proyecto. </w:t>
      </w:r>
    </w:p>
    <w:p w14:paraId="4919561F" w14:textId="70313ED5" w:rsidR="00B7029D" w:rsidRPr="000A238C" w:rsidRDefault="00B7029D" w:rsidP="00B7029D">
      <w:pPr>
        <w:spacing w:before="120" w:after="0" w:line="360" w:lineRule="auto"/>
        <w:jc w:val="both"/>
        <w:rPr>
          <w:rFonts w:ascii="Arial" w:hAnsi="Arial" w:cs="Arial"/>
          <w:b/>
          <w:bCs/>
          <w:lang w:val="es-PE"/>
        </w:rPr>
      </w:pPr>
      <w:r>
        <w:rPr>
          <w:rFonts w:ascii="Arial" w:hAnsi="Arial" w:cs="Arial"/>
          <w:b/>
          <w:bCs/>
          <w:lang w:val="es-PE"/>
        </w:rPr>
        <w:t>Resultados</w:t>
      </w:r>
    </w:p>
    <w:p w14:paraId="4F20AD3C" w14:textId="77777777" w:rsidR="006F3D54" w:rsidRPr="006F3D54" w:rsidRDefault="006F3D54" w:rsidP="007B05A4">
      <w:pPr>
        <w:pStyle w:val="ListParagraph"/>
        <w:numPr>
          <w:ilvl w:val="0"/>
          <w:numId w:val="16"/>
        </w:numPr>
        <w:spacing w:after="0" w:line="360" w:lineRule="auto"/>
        <w:ind w:left="426" w:hanging="426"/>
        <w:jc w:val="both"/>
        <w:rPr>
          <w:rFonts w:ascii="Arial" w:hAnsi="Arial" w:cs="Arial"/>
          <w:lang w:val="es-PE"/>
        </w:rPr>
      </w:pPr>
      <w:r w:rsidRPr="007B05A4">
        <w:rPr>
          <w:rFonts w:ascii="Arial" w:hAnsi="Arial" w:cs="Arial"/>
          <w:u w:val="single"/>
          <w:lang w:val="es-PE"/>
        </w:rPr>
        <w:t>Gestión del agua</w:t>
      </w:r>
      <w:r w:rsidRPr="006F3D54">
        <w:rPr>
          <w:rFonts w:ascii="Arial" w:hAnsi="Arial" w:cs="Arial"/>
          <w:lang w:val="es-PE"/>
        </w:rPr>
        <w:t>: Los participantes expresaron una preocupación significativa sobre la calidad y cantidad del agua durante el cierre final. Particularmente, se mencionaron los riesgos de contaminación del agua subterránea debido a posibles infiltraciones en tajos, pilas y depósitos.</w:t>
      </w:r>
    </w:p>
    <w:p w14:paraId="33A2BE6C" w14:textId="77777777" w:rsidR="006F3D54" w:rsidRPr="006F3D54" w:rsidRDefault="006F3D54" w:rsidP="007B05A4">
      <w:pPr>
        <w:pStyle w:val="ListParagraph"/>
        <w:numPr>
          <w:ilvl w:val="0"/>
          <w:numId w:val="16"/>
        </w:numPr>
        <w:spacing w:after="0" w:line="360" w:lineRule="auto"/>
        <w:ind w:left="426" w:hanging="426"/>
        <w:jc w:val="both"/>
        <w:rPr>
          <w:rFonts w:ascii="Arial" w:hAnsi="Arial" w:cs="Arial"/>
          <w:lang w:val="es-PE"/>
        </w:rPr>
      </w:pPr>
      <w:r w:rsidRPr="007B1F9A">
        <w:rPr>
          <w:rFonts w:ascii="Arial" w:hAnsi="Arial" w:cs="Arial"/>
          <w:u w:val="single"/>
          <w:lang w:val="es-PE"/>
        </w:rPr>
        <w:t>Estabilidad de las infraestructuras</w:t>
      </w:r>
      <w:r w:rsidRPr="006F3D54">
        <w:rPr>
          <w:rFonts w:ascii="Arial" w:hAnsi="Arial" w:cs="Arial"/>
          <w:lang w:val="es-PE"/>
        </w:rPr>
        <w:t>: La seguridad y estabilidad de las infraestructuras mineras, como tajos, pilas de lixiviación, depósitos de desmonte y relaveras, fue otra de las preocupaciones recurrentes.</w:t>
      </w:r>
    </w:p>
    <w:p w14:paraId="05701718" w14:textId="77777777" w:rsidR="006F3D54" w:rsidRPr="006F3D54" w:rsidRDefault="006F3D54" w:rsidP="007B05A4">
      <w:pPr>
        <w:pStyle w:val="ListParagraph"/>
        <w:numPr>
          <w:ilvl w:val="0"/>
          <w:numId w:val="16"/>
        </w:numPr>
        <w:spacing w:after="0" w:line="360" w:lineRule="auto"/>
        <w:ind w:left="426" w:hanging="426"/>
        <w:jc w:val="both"/>
        <w:rPr>
          <w:rFonts w:ascii="Arial" w:hAnsi="Arial" w:cs="Arial"/>
          <w:lang w:val="es-PE"/>
        </w:rPr>
      </w:pPr>
      <w:r w:rsidRPr="007B1F9A">
        <w:rPr>
          <w:rFonts w:ascii="Arial" w:hAnsi="Arial" w:cs="Arial"/>
          <w:u w:val="single"/>
          <w:lang w:val="es-PE"/>
        </w:rPr>
        <w:t>Remoción de diques</w:t>
      </w:r>
      <w:r w:rsidRPr="006F3D54">
        <w:rPr>
          <w:rFonts w:ascii="Arial" w:hAnsi="Arial" w:cs="Arial"/>
          <w:lang w:val="es-PE"/>
        </w:rPr>
        <w:t xml:space="preserve">: Hubo inquietudes sobre el control de sedimentos y la calidad del agua durante la remoción de diques. A su vez se mostró preocupación en relación a la desaparición misma del dique  percibido como una pérdida. </w:t>
      </w:r>
    </w:p>
    <w:p w14:paraId="3832AFBD" w14:textId="77777777" w:rsidR="006F3D54" w:rsidRPr="006F3D54" w:rsidRDefault="006F3D54" w:rsidP="007B05A4">
      <w:pPr>
        <w:pStyle w:val="ListParagraph"/>
        <w:numPr>
          <w:ilvl w:val="0"/>
          <w:numId w:val="16"/>
        </w:numPr>
        <w:spacing w:after="0" w:line="360" w:lineRule="auto"/>
        <w:ind w:left="426" w:hanging="426"/>
        <w:jc w:val="both"/>
        <w:rPr>
          <w:rFonts w:ascii="Arial" w:hAnsi="Arial" w:cs="Arial"/>
          <w:lang w:val="es-PE"/>
        </w:rPr>
      </w:pPr>
      <w:r w:rsidRPr="007B1F9A">
        <w:rPr>
          <w:rFonts w:ascii="Arial" w:hAnsi="Arial" w:cs="Arial"/>
          <w:u w:val="single"/>
          <w:lang w:val="es-PE"/>
        </w:rPr>
        <w:t>Oportunidades laborales y contratación local</w:t>
      </w:r>
      <w:r w:rsidRPr="006F3D54">
        <w:rPr>
          <w:rFonts w:ascii="Arial" w:hAnsi="Arial" w:cs="Arial"/>
          <w:lang w:val="es-PE"/>
        </w:rPr>
        <w:t xml:space="preserve">: Los asistentes mostraron su preocupación en relación a disminución de oportunidades en empleo y contrataciones locales. Se expresó el interés por generar oportunidades laborales durante y después del proceso de cierre, con un énfasis particular en la contratación local y la inversión social en las fases de cierre y </w:t>
      </w:r>
      <w:proofErr w:type="spellStart"/>
      <w:r w:rsidRPr="006F3D54">
        <w:rPr>
          <w:rFonts w:ascii="Arial" w:hAnsi="Arial" w:cs="Arial"/>
          <w:lang w:val="es-PE"/>
        </w:rPr>
        <w:t>post-cierre</w:t>
      </w:r>
      <w:proofErr w:type="spellEnd"/>
      <w:r w:rsidRPr="006F3D54">
        <w:rPr>
          <w:rFonts w:ascii="Arial" w:hAnsi="Arial" w:cs="Arial"/>
          <w:lang w:val="es-PE"/>
        </w:rPr>
        <w:t>.</w:t>
      </w:r>
    </w:p>
    <w:p w14:paraId="0B8CAC19" w14:textId="77777777" w:rsidR="006F3D54" w:rsidRPr="006F3D54" w:rsidRDefault="006F3D54" w:rsidP="007B05A4">
      <w:pPr>
        <w:pStyle w:val="ListParagraph"/>
        <w:numPr>
          <w:ilvl w:val="0"/>
          <w:numId w:val="16"/>
        </w:numPr>
        <w:spacing w:after="0" w:line="360" w:lineRule="auto"/>
        <w:ind w:left="426" w:hanging="426"/>
        <w:jc w:val="both"/>
        <w:rPr>
          <w:rFonts w:ascii="Arial" w:hAnsi="Arial" w:cs="Arial"/>
          <w:lang w:val="es-PE"/>
        </w:rPr>
      </w:pPr>
      <w:r w:rsidRPr="007B1F9A">
        <w:rPr>
          <w:rFonts w:ascii="Arial" w:hAnsi="Arial" w:cs="Arial"/>
          <w:u w:val="single"/>
          <w:lang w:val="es-PE"/>
        </w:rPr>
        <w:t>Rehabilitación de áreas</w:t>
      </w:r>
      <w:r w:rsidRPr="006F3D54">
        <w:rPr>
          <w:rFonts w:ascii="Arial" w:hAnsi="Arial" w:cs="Arial"/>
          <w:lang w:val="es-PE"/>
        </w:rPr>
        <w:t>: Se destacó la necesidad de garantizar una rehabilitación efectiva de las áreas afectadas, con un enfoque en la restauración de la vegetación y la biodiversidad.</w:t>
      </w:r>
    </w:p>
    <w:p w14:paraId="2EB2E4AB" w14:textId="21F5CB00" w:rsidR="006F3D54" w:rsidRPr="006F3D54" w:rsidRDefault="006F3D54" w:rsidP="007B05A4">
      <w:pPr>
        <w:pStyle w:val="ListParagraph"/>
        <w:numPr>
          <w:ilvl w:val="0"/>
          <w:numId w:val="16"/>
        </w:numPr>
        <w:spacing w:after="0" w:line="360" w:lineRule="auto"/>
        <w:ind w:left="426" w:hanging="426"/>
        <w:jc w:val="both"/>
        <w:rPr>
          <w:rFonts w:ascii="Arial" w:hAnsi="Arial" w:cs="Arial"/>
          <w:lang w:val="es-PE"/>
        </w:rPr>
      </w:pPr>
      <w:r w:rsidRPr="00330F0E">
        <w:rPr>
          <w:rFonts w:ascii="Arial" w:hAnsi="Arial" w:cs="Arial"/>
          <w:u w:val="single"/>
          <w:lang w:val="es-PE"/>
        </w:rPr>
        <w:t>Interés por la propiedad de la empresa (uso futuro de la tierra)</w:t>
      </w:r>
      <w:r w:rsidRPr="006F3D54">
        <w:rPr>
          <w:rFonts w:ascii="Arial" w:hAnsi="Arial" w:cs="Arial"/>
          <w:lang w:val="es-PE"/>
        </w:rPr>
        <w:t xml:space="preserve">: Muchos participantes </w:t>
      </w:r>
      <w:proofErr w:type="spellStart"/>
      <w:r w:rsidRPr="006F3D54">
        <w:rPr>
          <w:rFonts w:ascii="Arial" w:hAnsi="Arial" w:cs="Arial"/>
          <w:lang w:val="es-PE"/>
        </w:rPr>
        <w:t>exresaron</w:t>
      </w:r>
      <w:proofErr w:type="spellEnd"/>
      <w:r w:rsidRPr="006F3D54">
        <w:rPr>
          <w:rFonts w:ascii="Arial" w:hAnsi="Arial" w:cs="Arial"/>
          <w:lang w:val="es-PE"/>
        </w:rPr>
        <w:t xml:space="preserve"> su deseo de obtener más información la propiedad de la empresa y los requerimientos para mantener los procesos informativos sobre los avances del cierre de la mina.</w:t>
      </w:r>
    </w:p>
    <w:p w14:paraId="06A1EE89" w14:textId="266F76A3" w:rsidR="001A7322" w:rsidRPr="0096177C" w:rsidRDefault="0096177C" w:rsidP="0096177C">
      <w:pPr>
        <w:spacing w:after="0" w:line="360" w:lineRule="auto"/>
        <w:jc w:val="both"/>
        <w:rPr>
          <w:rFonts w:ascii="Arial" w:hAnsi="Arial" w:cs="Arial"/>
          <w:b/>
          <w:bCs/>
          <w:lang w:val="es-PE"/>
        </w:rPr>
      </w:pPr>
      <w:r w:rsidRPr="0096177C">
        <w:rPr>
          <w:rFonts w:ascii="Arial" w:hAnsi="Arial" w:cs="Arial"/>
          <w:b/>
          <w:bCs/>
          <w:lang w:val="es-PE"/>
        </w:rPr>
        <w:t>Conclusiones</w:t>
      </w:r>
    </w:p>
    <w:p w14:paraId="356E6835" w14:textId="04675F4D" w:rsidR="00C7088D" w:rsidRPr="00C7088D" w:rsidRDefault="005F4144" w:rsidP="005F4144">
      <w:pPr>
        <w:spacing w:after="0" w:line="360" w:lineRule="auto"/>
        <w:ind w:firstLine="720"/>
        <w:jc w:val="both"/>
        <w:rPr>
          <w:rFonts w:ascii="Arial" w:hAnsi="Arial" w:cs="Arial"/>
          <w:lang w:val="es-PE"/>
        </w:rPr>
      </w:pPr>
      <w:r w:rsidRPr="005F4144">
        <w:rPr>
          <w:rFonts w:ascii="Arial" w:hAnsi="Arial" w:cs="Arial"/>
          <w:lang w:val="es-PE"/>
        </w:rPr>
        <w:t>En resumen, los resultados de estos talleres participativos han sido clave para identificar tanto las preocupaciones actuales de la comunidad como las prioridades emergentes relacionadas con el cierre de la mina. Es crucial que estas preocupaciones sean atendidas de manera sistemática y continua, para evitar conflictos y promover un proceso de cierre que sea tanto socialmente responsable como ambientalmente sostenible.</w:t>
      </w:r>
    </w:p>
    <w:p w14:paraId="17E1E07F" w14:textId="68B59B7B" w:rsidR="00A702A8" w:rsidRPr="00D927C1" w:rsidRDefault="00A702A8" w:rsidP="00F33FC6">
      <w:pPr>
        <w:pBdr>
          <w:bottom w:val="single" w:sz="12" w:space="1" w:color="auto"/>
        </w:pBdr>
        <w:spacing w:after="0" w:line="360" w:lineRule="auto"/>
        <w:rPr>
          <w:rFonts w:ascii="Arial" w:hAnsi="Arial" w:cs="Arial"/>
          <w:lang w:val="es-419"/>
        </w:rPr>
      </w:pPr>
    </w:p>
    <w:p w14:paraId="31745EF0" w14:textId="77777777" w:rsidR="009B74E2" w:rsidRDefault="000F277F" w:rsidP="000A238C">
      <w:pPr>
        <w:spacing w:after="0" w:line="360" w:lineRule="auto"/>
        <w:rPr>
          <w:rFonts w:ascii="Arial" w:hAnsi="Arial" w:cs="Arial"/>
          <w:lang w:val="es-PE"/>
        </w:rPr>
      </w:pPr>
      <w:r w:rsidRPr="000A238C">
        <w:rPr>
          <w:rFonts w:ascii="Arial" w:hAnsi="Arial" w:cs="Arial"/>
          <w:b/>
          <w:bCs/>
          <w:lang w:val="es-PE"/>
        </w:rPr>
        <w:t>Reseña profesional del autor(es)</w:t>
      </w:r>
      <w:r w:rsidRPr="000A238C">
        <w:rPr>
          <w:rFonts w:ascii="Arial" w:hAnsi="Arial" w:cs="Arial"/>
          <w:lang w:val="es-PE"/>
        </w:rPr>
        <w:t>:</w:t>
      </w:r>
    </w:p>
    <w:p w14:paraId="739C2EE7" w14:textId="44CF3F19" w:rsidR="000F277F" w:rsidRPr="009B74E2" w:rsidRDefault="00A67BCB" w:rsidP="000A238C">
      <w:pPr>
        <w:spacing w:after="0" w:line="360" w:lineRule="auto"/>
        <w:rPr>
          <w:rFonts w:ascii="Arial" w:hAnsi="Arial" w:cs="Arial"/>
          <w:b/>
          <w:bCs/>
          <w:lang w:val="es-PE"/>
        </w:rPr>
      </w:pPr>
      <w:r w:rsidRPr="00A67BCB">
        <w:rPr>
          <w:rFonts w:ascii="Arial" w:hAnsi="Arial" w:cs="Arial"/>
          <w:b/>
          <w:bCs/>
          <w:lang w:val="es-PE"/>
        </w:rPr>
        <w:t xml:space="preserve">Yesenia </w:t>
      </w:r>
      <w:proofErr w:type="spellStart"/>
      <w:r w:rsidRPr="00A67BCB">
        <w:rPr>
          <w:rFonts w:ascii="Arial" w:hAnsi="Arial" w:cs="Arial"/>
          <w:b/>
          <w:bCs/>
          <w:lang w:val="es-PE"/>
        </w:rPr>
        <w:t>Haymé</w:t>
      </w:r>
      <w:proofErr w:type="spellEnd"/>
      <w:r w:rsidRPr="00A67BCB">
        <w:rPr>
          <w:rFonts w:ascii="Arial" w:hAnsi="Arial" w:cs="Arial"/>
          <w:b/>
          <w:bCs/>
          <w:lang w:val="es-PE"/>
        </w:rPr>
        <w:t xml:space="preserve"> Peláez Lobato</w:t>
      </w:r>
      <w:r w:rsidR="000F277F" w:rsidRPr="009B74E2">
        <w:rPr>
          <w:rFonts w:ascii="Arial" w:hAnsi="Arial" w:cs="Arial"/>
          <w:b/>
          <w:bCs/>
          <w:lang w:val="es-PE"/>
        </w:rPr>
        <w:t xml:space="preserve"> </w:t>
      </w:r>
    </w:p>
    <w:p w14:paraId="5B960EC3" w14:textId="562C4CAF" w:rsidR="00CA4948" w:rsidRDefault="00B90B48" w:rsidP="009B74E2">
      <w:pPr>
        <w:spacing w:after="0" w:line="360" w:lineRule="auto"/>
        <w:jc w:val="both"/>
        <w:rPr>
          <w:rFonts w:ascii="Arial" w:hAnsi="Arial" w:cs="Arial"/>
          <w:lang w:val="es-PE"/>
        </w:rPr>
      </w:pPr>
      <w:r w:rsidRPr="00B90B48">
        <w:rPr>
          <w:rFonts w:ascii="Arial" w:hAnsi="Arial" w:cs="Arial"/>
          <w:lang w:val="es-PE"/>
        </w:rPr>
        <w:t xml:space="preserve">Administrador de Empresas y MBA (becario </w:t>
      </w:r>
      <w:proofErr w:type="spellStart"/>
      <w:r w:rsidRPr="00B90B48">
        <w:rPr>
          <w:rFonts w:ascii="Arial" w:hAnsi="Arial" w:cs="Arial"/>
          <w:lang w:val="es-PE"/>
        </w:rPr>
        <w:t>Fulbright</w:t>
      </w:r>
      <w:proofErr w:type="spellEnd"/>
      <w:r w:rsidRPr="00B90B48">
        <w:rPr>
          <w:rFonts w:ascii="Arial" w:hAnsi="Arial" w:cs="Arial"/>
          <w:lang w:val="es-PE"/>
        </w:rPr>
        <w:t>), con más de 13 años de experiencia especializada en cierre de minas, gestión social, participación ciudadana, planificación estratégica y desarrollo de proyectos en los sectores de minería e hidrocarburos. Certificado en gestión de proyectos por el BID</w:t>
      </w:r>
      <w:r w:rsidR="003E53BE">
        <w:rPr>
          <w:rFonts w:ascii="Arial" w:hAnsi="Arial" w:cs="Arial"/>
          <w:lang w:val="es-PE"/>
        </w:rPr>
        <w:t>.</w:t>
      </w:r>
    </w:p>
    <w:p w14:paraId="0B2729A8" w14:textId="2449A18F" w:rsidR="003017D1" w:rsidRPr="009B74E2" w:rsidRDefault="003017D1" w:rsidP="003017D1">
      <w:pPr>
        <w:spacing w:after="0" w:line="360" w:lineRule="auto"/>
        <w:rPr>
          <w:rFonts w:ascii="Arial" w:hAnsi="Arial" w:cs="Arial"/>
          <w:b/>
          <w:bCs/>
          <w:lang w:val="es-PE"/>
        </w:rPr>
      </w:pPr>
      <w:proofErr w:type="spellStart"/>
      <w:r>
        <w:rPr>
          <w:rFonts w:ascii="Arial" w:hAnsi="Arial" w:cs="Arial"/>
          <w:b/>
          <w:bCs/>
          <w:lang w:val="es-PE"/>
        </w:rPr>
        <w:lastRenderedPageBreak/>
        <w:t>Eveyn</w:t>
      </w:r>
      <w:proofErr w:type="spellEnd"/>
      <w:r>
        <w:rPr>
          <w:rFonts w:ascii="Arial" w:hAnsi="Arial" w:cs="Arial"/>
          <w:b/>
          <w:bCs/>
          <w:lang w:val="es-PE"/>
        </w:rPr>
        <w:t xml:space="preserve"> Margot Torres Aliana</w:t>
      </w:r>
      <w:r w:rsidRPr="009B74E2">
        <w:rPr>
          <w:rFonts w:ascii="Arial" w:hAnsi="Arial" w:cs="Arial"/>
          <w:b/>
          <w:bCs/>
          <w:lang w:val="es-PE"/>
        </w:rPr>
        <w:t xml:space="preserve"> </w:t>
      </w:r>
    </w:p>
    <w:p w14:paraId="7875C6B4" w14:textId="2F9A77C9" w:rsidR="003017D1" w:rsidRDefault="001F4120" w:rsidP="001F4120">
      <w:pPr>
        <w:spacing w:after="0" w:line="360" w:lineRule="auto"/>
        <w:jc w:val="both"/>
        <w:rPr>
          <w:rFonts w:ascii="Arial" w:hAnsi="Arial" w:cs="Arial"/>
          <w:lang w:val="es-PE"/>
        </w:rPr>
      </w:pPr>
      <w:r w:rsidRPr="001F4120">
        <w:rPr>
          <w:rFonts w:ascii="Arial" w:hAnsi="Arial" w:cs="Arial"/>
          <w:lang w:val="es-PE"/>
        </w:rPr>
        <w:t>Licenciada en Sociología con maestría en Investigación Social aplicada al Medio Ambiente. Ejecutiva con 20 años de experiencia en gestión social, gobernanza territorial y desarrollo sostenible. Cuenta con experiencia en procesos  de negociación con distintos actores: comunidades campesinas, pueblos indígenas, entre otros. Experiencia en procesos de gobernanza territorial articulando con autoridades regionales y locales.</w:t>
      </w:r>
      <w:r w:rsidR="00605EA4">
        <w:rPr>
          <w:rFonts w:ascii="Arial" w:hAnsi="Arial" w:cs="Arial"/>
          <w:lang w:val="es-PE"/>
        </w:rPr>
        <w:t xml:space="preserve"> </w:t>
      </w:r>
      <w:r w:rsidRPr="001F4120">
        <w:rPr>
          <w:rFonts w:ascii="Arial" w:hAnsi="Arial" w:cs="Arial"/>
          <w:lang w:val="es-PE"/>
        </w:rPr>
        <w:t>En el sector público, ha sido asesora de alta dirección en el Ministerio de Economía y Finanzas y en el Ministerio de Energía y Minas. Cuenta con experiencia docente en diversas universidades (PUCP, Ricardo Palma, UDEP, entre otras).</w:t>
      </w:r>
    </w:p>
    <w:p w14:paraId="559CCBD6" w14:textId="77777777" w:rsidR="003017D1" w:rsidRDefault="003017D1" w:rsidP="009B74E2">
      <w:pPr>
        <w:spacing w:after="0" w:line="360" w:lineRule="auto"/>
        <w:jc w:val="both"/>
        <w:rPr>
          <w:rFonts w:ascii="Arial" w:hAnsi="Arial" w:cs="Arial"/>
          <w:lang w:val="es-PE"/>
        </w:rPr>
      </w:pPr>
    </w:p>
    <w:p w14:paraId="5B92E943" w14:textId="2E0B886E" w:rsidR="00CA4948" w:rsidRDefault="00CA4948" w:rsidP="000A238C">
      <w:pPr>
        <w:spacing w:after="0" w:line="360" w:lineRule="auto"/>
        <w:rPr>
          <w:rFonts w:ascii="Arial" w:hAnsi="Arial" w:cs="Arial"/>
          <w:lang w:val="es-PE"/>
        </w:rPr>
      </w:pPr>
    </w:p>
    <w:p w14:paraId="0B7DBCAE" w14:textId="71BC1515" w:rsidR="00CA4948" w:rsidRDefault="00CA4948" w:rsidP="000A238C">
      <w:pPr>
        <w:spacing w:after="0" w:line="360" w:lineRule="auto"/>
        <w:rPr>
          <w:rFonts w:ascii="Arial" w:hAnsi="Arial" w:cs="Arial"/>
          <w:lang w:val="es-PE"/>
        </w:rPr>
      </w:pPr>
    </w:p>
    <w:p w14:paraId="5781B778" w14:textId="266865B7" w:rsidR="00CA4948" w:rsidRDefault="00CA4948" w:rsidP="000A238C">
      <w:pPr>
        <w:spacing w:after="0" w:line="360" w:lineRule="auto"/>
        <w:rPr>
          <w:rFonts w:ascii="Arial" w:hAnsi="Arial" w:cs="Arial"/>
          <w:lang w:val="es-PE"/>
        </w:rPr>
      </w:pPr>
    </w:p>
    <w:sectPr w:rsidR="00CA4948" w:rsidSect="00E1256D">
      <w:pgSz w:w="11906" w:h="16838" w:code="9"/>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D5C5445"/>
    <w:multiLevelType w:val="hybridMultilevel"/>
    <w:tmpl w:val="3AD44B58"/>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D1A546B"/>
    <w:multiLevelType w:val="hybridMultilevel"/>
    <w:tmpl w:val="A04C284A"/>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760507C"/>
    <w:multiLevelType w:val="hybridMultilevel"/>
    <w:tmpl w:val="E2F21EDE"/>
    <w:lvl w:ilvl="0" w:tplc="280A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AEF24FD"/>
    <w:multiLevelType w:val="hybridMultilevel"/>
    <w:tmpl w:val="80C48076"/>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845C4C"/>
    <w:multiLevelType w:val="hybridMultilevel"/>
    <w:tmpl w:val="2DBCDCBA"/>
    <w:lvl w:ilvl="0" w:tplc="280A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BDA2FEF"/>
    <w:multiLevelType w:val="hybridMultilevel"/>
    <w:tmpl w:val="60C8412A"/>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487825">
    <w:abstractNumId w:val="11"/>
  </w:num>
  <w:num w:numId="2" w16cid:durableId="502284876">
    <w:abstractNumId w:val="17"/>
  </w:num>
  <w:num w:numId="3" w16cid:durableId="1216769485">
    <w:abstractNumId w:val="10"/>
  </w:num>
  <w:num w:numId="4" w16cid:durableId="1586919387">
    <w:abstractNumId w:val="8"/>
  </w:num>
  <w:num w:numId="5" w16cid:durableId="1914972712">
    <w:abstractNumId w:val="6"/>
  </w:num>
  <w:num w:numId="6" w16cid:durableId="439108480">
    <w:abstractNumId w:val="0"/>
  </w:num>
  <w:num w:numId="7" w16cid:durableId="436489576">
    <w:abstractNumId w:val="5"/>
  </w:num>
  <w:num w:numId="8" w16cid:durableId="1551263833">
    <w:abstractNumId w:val="4"/>
  </w:num>
  <w:num w:numId="9" w16cid:durableId="1781684991">
    <w:abstractNumId w:val="1"/>
  </w:num>
  <w:num w:numId="10" w16cid:durableId="1304114134">
    <w:abstractNumId w:val="14"/>
  </w:num>
  <w:num w:numId="11" w16cid:durableId="1054619348">
    <w:abstractNumId w:val="2"/>
  </w:num>
  <w:num w:numId="12" w16cid:durableId="1566990118">
    <w:abstractNumId w:val="16"/>
  </w:num>
  <w:num w:numId="13" w16cid:durableId="1987935636">
    <w:abstractNumId w:val="3"/>
  </w:num>
  <w:num w:numId="14" w16cid:durableId="2047636089">
    <w:abstractNumId w:val="7"/>
  </w:num>
  <w:num w:numId="15" w16cid:durableId="180517074">
    <w:abstractNumId w:val="12"/>
  </w:num>
  <w:num w:numId="16" w16cid:durableId="2023892204">
    <w:abstractNumId w:val="15"/>
  </w:num>
  <w:num w:numId="17" w16cid:durableId="344290578">
    <w:abstractNumId w:val="9"/>
  </w:num>
  <w:num w:numId="18" w16cid:durableId="4709436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011E2"/>
    <w:rsid w:val="00002494"/>
    <w:rsid w:val="00005FC4"/>
    <w:rsid w:val="00021CDE"/>
    <w:rsid w:val="00022D65"/>
    <w:rsid w:val="00023742"/>
    <w:rsid w:val="000265D6"/>
    <w:rsid w:val="00032718"/>
    <w:rsid w:val="00034FC8"/>
    <w:rsid w:val="0004210E"/>
    <w:rsid w:val="000478C2"/>
    <w:rsid w:val="00054102"/>
    <w:rsid w:val="000574A8"/>
    <w:rsid w:val="000577E4"/>
    <w:rsid w:val="00057967"/>
    <w:rsid w:val="000624AB"/>
    <w:rsid w:val="00063693"/>
    <w:rsid w:val="00063FCB"/>
    <w:rsid w:val="0006609C"/>
    <w:rsid w:val="00072691"/>
    <w:rsid w:val="00076B2B"/>
    <w:rsid w:val="00077EE2"/>
    <w:rsid w:val="00080B35"/>
    <w:rsid w:val="0008454D"/>
    <w:rsid w:val="00090461"/>
    <w:rsid w:val="000922D4"/>
    <w:rsid w:val="000A05BF"/>
    <w:rsid w:val="000A238C"/>
    <w:rsid w:val="000A4087"/>
    <w:rsid w:val="000A45F5"/>
    <w:rsid w:val="000B53B7"/>
    <w:rsid w:val="000B6765"/>
    <w:rsid w:val="000B6F46"/>
    <w:rsid w:val="000B6FE4"/>
    <w:rsid w:val="000C464C"/>
    <w:rsid w:val="000D1246"/>
    <w:rsid w:val="000D1A20"/>
    <w:rsid w:val="000D2913"/>
    <w:rsid w:val="000D2AC1"/>
    <w:rsid w:val="000D2ED6"/>
    <w:rsid w:val="000D3D8F"/>
    <w:rsid w:val="000D5240"/>
    <w:rsid w:val="000D57C6"/>
    <w:rsid w:val="000D67F1"/>
    <w:rsid w:val="000E0453"/>
    <w:rsid w:val="000E1E14"/>
    <w:rsid w:val="000E3039"/>
    <w:rsid w:val="000F13DE"/>
    <w:rsid w:val="000F277F"/>
    <w:rsid w:val="000F3D99"/>
    <w:rsid w:val="000F4734"/>
    <w:rsid w:val="000F57D1"/>
    <w:rsid w:val="000F6791"/>
    <w:rsid w:val="00100A2B"/>
    <w:rsid w:val="00103AE2"/>
    <w:rsid w:val="00125162"/>
    <w:rsid w:val="00130065"/>
    <w:rsid w:val="00130E77"/>
    <w:rsid w:val="00134B3C"/>
    <w:rsid w:val="00141D27"/>
    <w:rsid w:val="001420D7"/>
    <w:rsid w:val="0014333A"/>
    <w:rsid w:val="001501BF"/>
    <w:rsid w:val="00152801"/>
    <w:rsid w:val="00153799"/>
    <w:rsid w:val="0015571D"/>
    <w:rsid w:val="001559DF"/>
    <w:rsid w:val="001603A0"/>
    <w:rsid w:val="00162901"/>
    <w:rsid w:val="00162B31"/>
    <w:rsid w:val="00164DF1"/>
    <w:rsid w:val="00167D27"/>
    <w:rsid w:val="00170A0C"/>
    <w:rsid w:val="0017662A"/>
    <w:rsid w:val="0017725F"/>
    <w:rsid w:val="001809DF"/>
    <w:rsid w:val="00183B49"/>
    <w:rsid w:val="00186341"/>
    <w:rsid w:val="00187AD8"/>
    <w:rsid w:val="001908A3"/>
    <w:rsid w:val="00191F7B"/>
    <w:rsid w:val="00194516"/>
    <w:rsid w:val="001A355F"/>
    <w:rsid w:val="001A49A2"/>
    <w:rsid w:val="001A7322"/>
    <w:rsid w:val="001B1033"/>
    <w:rsid w:val="001B4696"/>
    <w:rsid w:val="001C070F"/>
    <w:rsid w:val="001C3446"/>
    <w:rsid w:val="001C75FA"/>
    <w:rsid w:val="001D3045"/>
    <w:rsid w:val="001D429F"/>
    <w:rsid w:val="001D4454"/>
    <w:rsid w:val="001D44BD"/>
    <w:rsid w:val="001D76AE"/>
    <w:rsid w:val="001E3859"/>
    <w:rsid w:val="001E4C7B"/>
    <w:rsid w:val="001E5342"/>
    <w:rsid w:val="001E64BE"/>
    <w:rsid w:val="001E6FDA"/>
    <w:rsid w:val="001F025E"/>
    <w:rsid w:val="001F3768"/>
    <w:rsid w:val="001F3EC1"/>
    <w:rsid w:val="001F4120"/>
    <w:rsid w:val="001F5F10"/>
    <w:rsid w:val="00204932"/>
    <w:rsid w:val="002054F5"/>
    <w:rsid w:val="0020588C"/>
    <w:rsid w:val="0020793F"/>
    <w:rsid w:val="00210503"/>
    <w:rsid w:val="00211B5A"/>
    <w:rsid w:val="00211D59"/>
    <w:rsid w:val="00211F50"/>
    <w:rsid w:val="0022072D"/>
    <w:rsid w:val="002243B9"/>
    <w:rsid w:val="00224F5D"/>
    <w:rsid w:val="00230573"/>
    <w:rsid w:val="00233907"/>
    <w:rsid w:val="00235C0B"/>
    <w:rsid w:val="00237440"/>
    <w:rsid w:val="00246CFE"/>
    <w:rsid w:val="00247462"/>
    <w:rsid w:val="002475D4"/>
    <w:rsid w:val="00250011"/>
    <w:rsid w:val="00250779"/>
    <w:rsid w:val="002624C8"/>
    <w:rsid w:val="00264C01"/>
    <w:rsid w:val="00265094"/>
    <w:rsid w:val="00275C8E"/>
    <w:rsid w:val="00276006"/>
    <w:rsid w:val="002769C5"/>
    <w:rsid w:val="00293791"/>
    <w:rsid w:val="002A7CE9"/>
    <w:rsid w:val="002B2B54"/>
    <w:rsid w:val="002C21F6"/>
    <w:rsid w:val="002C3013"/>
    <w:rsid w:val="002C4823"/>
    <w:rsid w:val="002D2E16"/>
    <w:rsid w:val="002D2F3D"/>
    <w:rsid w:val="002D4FB0"/>
    <w:rsid w:val="002D761E"/>
    <w:rsid w:val="002E137D"/>
    <w:rsid w:val="002E2484"/>
    <w:rsid w:val="002E7FE5"/>
    <w:rsid w:val="003017D1"/>
    <w:rsid w:val="00310553"/>
    <w:rsid w:val="0031412E"/>
    <w:rsid w:val="0031592C"/>
    <w:rsid w:val="00321C2F"/>
    <w:rsid w:val="00323E8D"/>
    <w:rsid w:val="00330F0E"/>
    <w:rsid w:val="003315BB"/>
    <w:rsid w:val="0033226C"/>
    <w:rsid w:val="003330EC"/>
    <w:rsid w:val="0033485D"/>
    <w:rsid w:val="003371EF"/>
    <w:rsid w:val="00340897"/>
    <w:rsid w:val="00346499"/>
    <w:rsid w:val="003505F2"/>
    <w:rsid w:val="00352C1B"/>
    <w:rsid w:val="00355409"/>
    <w:rsid w:val="00360759"/>
    <w:rsid w:val="00365351"/>
    <w:rsid w:val="00366149"/>
    <w:rsid w:val="00380397"/>
    <w:rsid w:val="003803C1"/>
    <w:rsid w:val="00384E06"/>
    <w:rsid w:val="00387C94"/>
    <w:rsid w:val="00393ED8"/>
    <w:rsid w:val="00397D05"/>
    <w:rsid w:val="003A265D"/>
    <w:rsid w:val="003A3DA2"/>
    <w:rsid w:val="003A52A9"/>
    <w:rsid w:val="003B0B5D"/>
    <w:rsid w:val="003B1398"/>
    <w:rsid w:val="003B29BC"/>
    <w:rsid w:val="003B3903"/>
    <w:rsid w:val="003B71C2"/>
    <w:rsid w:val="003C1F40"/>
    <w:rsid w:val="003C2B27"/>
    <w:rsid w:val="003C32F8"/>
    <w:rsid w:val="003C34C6"/>
    <w:rsid w:val="003D647E"/>
    <w:rsid w:val="003D7668"/>
    <w:rsid w:val="003E0177"/>
    <w:rsid w:val="003E06EE"/>
    <w:rsid w:val="003E16C6"/>
    <w:rsid w:val="003E1C6A"/>
    <w:rsid w:val="003E53BE"/>
    <w:rsid w:val="003E69C9"/>
    <w:rsid w:val="003F1E2B"/>
    <w:rsid w:val="003F265D"/>
    <w:rsid w:val="003F31DB"/>
    <w:rsid w:val="003F42CE"/>
    <w:rsid w:val="003F6BFE"/>
    <w:rsid w:val="003F7360"/>
    <w:rsid w:val="004027B6"/>
    <w:rsid w:val="00402808"/>
    <w:rsid w:val="004036BF"/>
    <w:rsid w:val="004053B5"/>
    <w:rsid w:val="00413492"/>
    <w:rsid w:val="004178B5"/>
    <w:rsid w:val="004203A0"/>
    <w:rsid w:val="00434898"/>
    <w:rsid w:val="00436D7C"/>
    <w:rsid w:val="00443212"/>
    <w:rsid w:val="00443FB2"/>
    <w:rsid w:val="00445736"/>
    <w:rsid w:val="00445EF2"/>
    <w:rsid w:val="00461024"/>
    <w:rsid w:val="004741DE"/>
    <w:rsid w:val="004754E9"/>
    <w:rsid w:val="00477D46"/>
    <w:rsid w:val="004846A6"/>
    <w:rsid w:val="0048534F"/>
    <w:rsid w:val="004868B7"/>
    <w:rsid w:val="00490577"/>
    <w:rsid w:val="00491DC3"/>
    <w:rsid w:val="00492625"/>
    <w:rsid w:val="0049288A"/>
    <w:rsid w:val="00493311"/>
    <w:rsid w:val="00494B72"/>
    <w:rsid w:val="00496E30"/>
    <w:rsid w:val="00497716"/>
    <w:rsid w:val="004A5C7A"/>
    <w:rsid w:val="004B6E55"/>
    <w:rsid w:val="004B7F20"/>
    <w:rsid w:val="004C038E"/>
    <w:rsid w:val="004C20E3"/>
    <w:rsid w:val="004C3CF0"/>
    <w:rsid w:val="004C5C43"/>
    <w:rsid w:val="004C735C"/>
    <w:rsid w:val="004C7596"/>
    <w:rsid w:val="004D59AC"/>
    <w:rsid w:val="004E007F"/>
    <w:rsid w:val="004E4398"/>
    <w:rsid w:val="004E74D8"/>
    <w:rsid w:val="004F225C"/>
    <w:rsid w:val="004F46DC"/>
    <w:rsid w:val="004F789C"/>
    <w:rsid w:val="00501E63"/>
    <w:rsid w:val="005023E4"/>
    <w:rsid w:val="00507EB0"/>
    <w:rsid w:val="00510B80"/>
    <w:rsid w:val="005110E3"/>
    <w:rsid w:val="00513101"/>
    <w:rsid w:val="005159A0"/>
    <w:rsid w:val="0052329A"/>
    <w:rsid w:val="005234FE"/>
    <w:rsid w:val="005250D7"/>
    <w:rsid w:val="00526E60"/>
    <w:rsid w:val="0052797A"/>
    <w:rsid w:val="00527C23"/>
    <w:rsid w:val="005312C9"/>
    <w:rsid w:val="005407D3"/>
    <w:rsid w:val="00541765"/>
    <w:rsid w:val="00543783"/>
    <w:rsid w:val="00546F45"/>
    <w:rsid w:val="00547136"/>
    <w:rsid w:val="0055015F"/>
    <w:rsid w:val="0055065D"/>
    <w:rsid w:val="0055307E"/>
    <w:rsid w:val="00554226"/>
    <w:rsid w:val="00555F91"/>
    <w:rsid w:val="0056533D"/>
    <w:rsid w:val="00566626"/>
    <w:rsid w:val="00566AF1"/>
    <w:rsid w:val="0057237E"/>
    <w:rsid w:val="00577960"/>
    <w:rsid w:val="00581539"/>
    <w:rsid w:val="005839A2"/>
    <w:rsid w:val="005940B4"/>
    <w:rsid w:val="00595E69"/>
    <w:rsid w:val="00596635"/>
    <w:rsid w:val="00597225"/>
    <w:rsid w:val="005A529A"/>
    <w:rsid w:val="005B0A4F"/>
    <w:rsid w:val="005D107C"/>
    <w:rsid w:val="005D6775"/>
    <w:rsid w:val="005F2B6E"/>
    <w:rsid w:val="005F2CF7"/>
    <w:rsid w:val="005F33BA"/>
    <w:rsid w:val="005F4144"/>
    <w:rsid w:val="00605EA4"/>
    <w:rsid w:val="006062C3"/>
    <w:rsid w:val="00606935"/>
    <w:rsid w:val="00610075"/>
    <w:rsid w:val="00610913"/>
    <w:rsid w:val="00611C6E"/>
    <w:rsid w:val="00615B57"/>
    <w:rsid w:val="00621879"/>
    <w:rsid w:val="00625303"/>
    <w:rsid w:val="00631AB2"/>
    <w:rsid w:val="00632B8D"/>
    <w:rsid w:val="006366DF"/>
    <w:rsid w:val="00637862"/>
    <w:rsid w:val="00642B3A"/>
    <w:rsid w:val="006448D2"/>
    <w:rsid w:val="00646556"/>
    <w:rsid w:val="0066067D"/>
    <w:rsid w:val="00660A18"/>
    <w:rsid w:val="00666B53"/>
    <w:rsid w:val="0066763D"/>
    <w:rsid w:val="00684BAE"/>
    <w:rsid w:val="0068525D"/>
    <w:rsid w:val="00690949"/>
    <w:rsid w:val="0069331E"/>
    <w:rsid w:val="0069457D"/>
    <w:rsid w:val="00694E75"/>
    <w:rsid w:val="006A0BBC"/>
    <w:rsid w:val="006A5CD8"/>
    <w:rsid w:val="006A64C2"/>
    <w:rsid w:val="006B60EF"/>
    <w:rsid w:val="006C21ED"/>
    <w:rsid w:val="006C2620"/>
    <w:rsid w:val="006D2A2A"/>
    <w:rsid w:val="006E0A8A"/>
    <w:rsid w:val="006F0F38"/>
    <w:rsid w:val="006F1D06"/>
    <w:rsid w:val="006F1DD4"/>
    <w:rsid w:val="006F1DF6"/>
    <w:rsid w:val="006F2C6A"/>
    <w:rsid w:val="006F3D54"/>
    <w:rsid w:val="006F789F"/>
    <w:rsid w:val="00700C77"/>
    <w:rsid w:val="00703951"/>
    <w:rsid w:val="00706531"/>
    <w:rsid w:val="00710472"/>
    <w:rsid w:val="00710AEA"/>
    <w:rsid w:val="00711E9A"/>
    <w:rsid w:val="00715783"/>
    <w:rsid w:val="00715C93"/>
    <w:rsid w:val="0071648C"/>
    <w:rsid w:val="00716BB0"/>
    <w:rsid w:val="007215AA"/>
    <w:rsid w:val="0072194B"/>
    <w:rsid w:val="00721F18"/>
    <w:rsid w:val="00722001"/>
    <w:rsid w:val="007307FA"/>
    <w:rsid w:val="00733E32"/>
    <w:rsid w:val="007342AF"/>
    <w:rsid w:val="0073763C"/>
    <w:rsid w:val="00740209"/>
    <w:rsid w:val="00744720"/>
    <w:rsid w:val="00751072"/>
    <w:rsid w:val="00756128"/>
    <w:rsid w:val="00760387"/>
    <w:rsid w:val="0076244F"/>
    <w:rsid w:val="007631CF"/>
    <w:rsid w:val="00765D53"/>
    <w:rsid w:val="00766B51"/>
    <w:rsid w:val="00772385"/>
    <w:rsid w:val="00776E2B"/>
    <w:rsid w:val="00777BDE"/>
    <w:rsid w:val="0078065B"/>
    <w:rsid w:val="00783376"/>
    <w:rsid w:val="007875E8"/>
    <w:rsid w:val="00787AF5"/>
    <w:rsid w:val="0079444C"/>
    <w:rsid w:val="00795492"/>
    <w:rsid w:val="007A0A7C"/>
    <w:rsid w:val="007B05A4"/>
    <w:rsid w:val="007B1F9A"/>
    <w:rsid w:val="007B1FEE"/>
    <w:rsid w:val="007B5010"/>
    <w:rsid w:val="007B6558"/>
    <w:rsid w:val="007C0DC2"/>
    <w:rsid w:val="007C1000"/>
    <w:rsid w:val="007C34F7"/>
    <w:rsid w:val="007C67B0"/>
    <w:rsid w:val="007D69B2"/>
    <w:rsid w:val="007D79DD"/>
    <w:rsid w:val="007E001E"/>
    <w:rsid w:val="007E2BD9"/>
    <w:rsid w:val="007E6F16"/>
    <w:rsid w:val="007F0CC2"/>
    <w:rsid w:val="007F192F"/>
    <w:rsid w:val="007F3E97"/>
    <w:rsid w:val="007F624A"/>
    <w:rsid w:val="007F640F"/>
    <w:rsid w:val="007F64DB"/>
    <w:rsid w:val="008006AE"/>
    <w:rsid w:val="008044BC"/>
    <w:rsid w:val="008052CB"/>
    <w:rsid w:val="008058F4"/>
    <w:rsid w:val="00823877"/>
    <w:rsid w:val="00823917"/>
    <w:rsid w:val="008327D5"/>
    <w:rsid w:val="00843DE7"/>
    <w:rsid w:val="00847F71"/>
    <w:rsid w:val="0085086D"/>
    <w:rsid w:val="008514B3"/>
    <w:rsid w:val="008532F9"/>
    <w:rsid w:val="00855CBF"/>
    <w:rsid w:val="00857859"/>
    <w:rsid w:val="00867EF3"/>
    <w:rsid w:val="008717F3"/>
    <w:rsid w:val="0087503B"/>
    <w:rsid w:val="00877302"/>
    <w:rsid w:val="00881202"/>
    <w:rsid w:val="00885A5E"/>
    <w:rsid w:val="00886D3E"/>
    <w:rsid w:val="008902DA"/>
    <w:rsid w:val="00891E4F"/>
    <w:rsid w:val="00893431"/>
    <w:rsid w:val="00894142"/>
    <w:rsid w:val="008960C6"/>
    <w:rsid w:val="008A1944"/>
    <w:rsid w:val="008A2020"/>
    <w:rsid w:val="008A4C76"/>
    <w:rsid w:val="008A6BE4"/>
    <w:rsid w:val="008A7E37"/>
    <w:rsid w:val="008B1A20"/>
    <w:rsid w:val="008B5004"/>
    <w:rsid w:val="008B59EE"/>
    <w:rsid w:val="008B6694"/>
    <w:rsid w:val="008B782A"/>
    <w:rsid w:val="008C20D5"/>
    <w:rsid w:val="008C49C0"/>
    <w:rsid w:val="008C63B5"/>
    <w:rsid w:val="008E234A"/>
    <w:rsid w:val="008E37C1"/>
    <w:rsid w:val="008F119C"/>
    <w:rsid w:val="008F6B95"/>
    <w:rsid w:val="008F7399"/>
    <w:rsid w:val="00902446"/>
    <w:rsid w:val="009058DE"/>
    <w:rsid w:val="009107AA"/>
    <w:rsid w:val="00911BC2"/>
    <w:rsid w:val="00912CF4"/>
    <w:rsid w:val="00912CF6"/>
    <w:rsid w:val="00912E33"/>
    <w:rsid w:val="0091540B"/>
    <w:rsid w:val="00915FE5"/>
    <w:rsid w:val="009201EB"/>
    <w:rsid w:val="00924060"/>
    <w:rsid w:val="00924155"/>
    <w:rsid w:val="009255EB"/>
    <w:rsid w:val="009269D3"/>
    <w:rsid w:val="009408D5"/>
    <w:rsid w:val="00944F03"/>
    <w:rsid w:val="00947C0C"/>
    <w:rsid w:val="00947E6D"/>
    <w:rsid w:val="00955612"/>
    <w:rsid w:val="00957613"/>
    <w:rsid w:val="0096177C"/>
    <w:rsid w:val="00965067"/>
    <w:rsid w:val="00967A20"/>
    <w:rsid w:val="00970E61"/>
    <w:rsid w:val="00971E09"/>
    <w:rsid w:val="00975D20"/>
    <w:rsid w:val="00984DC5"/>
    <w:rsid w:val="00985E8D"/>
    <w:rsid w:val="00991C8B"/>
    <w:rsid w:val="0099305C"/>
    <w:rsid w:val="00997E31"/>
    <w:rsid w:val="009A0DB2"/>
    <w:rsid w:val="009A3BAD"/>
    <w:rsid w:val="009B3824"/>
    <w:rsid w:val="009B394C"/>
    <w:rsid w:val="009B6136"/>
    <w:rsid w:val="009B6C21"/>
    <w:rsid w:val="009B74E2"/>
    <w:rsid w:val="009C08CC"/>
    <w:rsid w:val="009C3D14"/>
    <w:rsid w:val="009D03CA"/>
    <w:rsid w:val="009D0834"/>
    <w:rsid w:val="009D10C6"/>
    <w:rsid w:val="009E0462"/>
    <w:rsid w:val="009E1AC0"/>
    <w:rsid w:val="009E5AB6"/>
    <w:rsid w:val="009E6A1F"/>
    <w:rsid w:val="009F239E"/>
    <w:rsid w:val="009F3607"/>
    <w:rsid w:val="009F5BF5"/>
    <w:rsid w:val="00A003A2"/>
    <w:rsid w:val="00A04598"/>
    <w:rsid w:val="00A06D12"/>
    <w:rsid w:val="00A11CD4"/>
    <w:rsid w:val="00A14452"/>
    <w:rsid w:val="00A14C68"/>
    <w:rsid w:val="00A241D7"/>
    <w:rsid w:val="00A24BDA"/>
    <w:rsid w:val="00A25EEF"/>
    <w:rsid w:val="00A27737"/>
    <w:rsid w:val="00A34A53"/>
    <w:rsid w:val="00A35791"/>
    <w:rsid w:val="00A4568B"/>
    <w:rsid w:val="00A5761F"/>
    <w:rsid w:val="00A576A1"/>
    <w:rsid w:val="00A61ADB"/>
    <w:rsid w:val="00A631FF"/>
    <w:rsid w:val="00A67BCB"/>
    <w:rsid w:val="00A702A8"/>
    <w:rsid w:val="00A92CA5"/>
    <w:rsid w:val="00A95AED"/>
    <w:rsid w:val="00AA031F"/>
    <w:rsid w:val="00AA0662"/>
    <w:rsid w:val="00AA36AA"/>
    <w:rsid w:val="00AA71E3"/>
    <w:rsid w:val="00AA789F"/>
    <w:rsid w:val="00AB2604"/>
    <w:rsid w:val="00AC6824"/>
    <w:rsid w:val="00AD382A"/>
    <w:rsid w:val="00AE2905"/>
    <w:rsid w:val="00AE2C64"/>
    <w:rsid w:val="00AE7A78"/>
    <w:rsid w:val="00B01BFE"/>
    <w:rsid w:val="00B040C5"/>
    <w:rsid w:val="00B04F54"/>
    <w:rsid w:val="00B05A3C"/>
    <w:rsid w:val="00B11D94"/>
    <w:rsid w:val="00B3473B"/>
    <w:rsid w:val="00B43052"/>
    <w:rsid w:val="00B45116"/>
    <w:rsid w:val="00B50857"/>
    <w:rsid w:val="00B50F1C"/>
    <w:rsid w:val="00B50FA9"/>
    <w:rsid w:val="00B51323"/>
    <w:rsid w:val="00B52442"/>
    <w:rsid w:val="00B525B0"/>
    <w:rsid w:val="00B53511"/>
    <w:rsid w:val="00B55152"/>
    <w:rsid w:val="00B63F35"/>
    <w:rsid w:val="00B65DC1"/>
    <w:rsid w:val="00B65E26"/>
    <w:rsid w:val="00B660F7"/>
    <w:rsid w:val="00B66E5F"/>
    <w:rsid w:val="00B7029D"/>
    <w:rsid w:val="00B756FA"/>
    <w:rsid w:val="00B77A53"/>
    <w:rsid w:val="00B77DA5"/>
    <w:rsid w:val="00B815AB"/>
    <w:rsid w:val="00B81E8B"/>
    <w:rsid w:val="00B82FFC"/>
    <w:rsid w:val="00B83164"/>
    <w:rsid w:val="00B841C4"/>
    <w:rsid w:val="00B90B48"/>
    <w:rsid w:val="00B96BA5"/>
    <w:rsid w:val="00BA0EF5"/>
    <w:rsid w:val="00BA43CE"/>
    <w:rsid w:val="00BA4F8B"/>
    <w:rsid w:val="00BA786C"/>
    <w:rsid w:val="00BB32C8"/>
    <w:rsid w:val="00BB69C0"/>
    <w:rsid w:val="00BB785C"/>
    <w:rsid w:val="00BC004C"/>
    <w:rsid w:val="00BC3BCE"/>
    <w:rsid w:val="00BC6060"/>
    <w:rsid w:val="00BC6C23"/>
    <w:rsid w:val="00BD2085"/>
    <w:rsid w:val="00BE0881"/>
    <w:rsid w:val="00BE114A"/>
    <w:rsid w:val="00BF2851"/>
    <w:rsid w:val="00BF6E43"/>
    <w:rsid w:val="00C001B4"/>
    <w:rsid w:val="00C0049C"/>
    <w:rsid w:val="00C0084F"/>
    <w:rsid w:val="00C0355F"/>
    <w:rsid w:val="00C05D7B"/>
    <w:rsid w:val="00C10E47"/>
    <w:rsid w:val="00C1208A"/>
    <w:rsid w:val="00C1240F"/>
    <w:rsid w:val="00C1277E"/>
    <w:rsid w:val="00C1287E"/>
    <w:rsid w:val="00C15A20"/>
    <w:rsid w:val="00C15C9A"/>
    <w:rsid w:val="00C20BBC"/>
    <w:rsid w:val="00C236B5"/>
    <w:rsid w:val="00C24321"/>
    <w:rsid w:val="00C31A66"/>
    <w:rsid w:val="00C32423"/>
    <w:rsid w:val="00C33535"/>
    <w:rsid w:val="00C426C8"/>
    <w:rsid w:val="00C42895"/>
    <w:rsid w:val="00C46EB4"/>
    <w:rsid w:val="00C52844"/>
    <w:rsid w:val="00C53605"/>
    <w:rsid w:val="00C54DC6"/>
    <w:rsid w:val="00C54E53"/>
    <w:rsid w:val="00C558A5"/>
    <w:rsid w:val="00C67F28"/>
    <w:rsid w:val="00C7088D"/>
    <w:rsid w:val="00C716BD"/>
    <w:rsid w:val="00C7191D"/>
    <w:rsid w:val="00C72EE5"/>
    <w:rsid w:val="00C73770"/>
    <w:rsid w:val="00C75C0C"/>
    <w:rsid w:val="00C76C12"/>
    <w:rsid w:val="00C772AE"/>
    <w:rsid w:val="00C81206"/>
    <w:rsid w:val="00C81C39"/>
    <w:rsid w:val="00C82237"/>
    <w:rsid w:val="00C822F9"/>
    <w:rsid w:val="00C84ECF"/>
    <w:rsid w:val="00C85D72"/>
    <w:rsid w:val="00C910ED"/>
    <w:rsid w:val="00C91F16"/>
    <w:rsid w:val="00CA25D0"/>
    <w:rsid w:val="00CA4948"/>
    <w:rsid w:val="00CA67CF"/>
    <w:rsid w:val="00CB64C6"/>
    <w:rsid w:val="00CC1057"/>
    <w:rsid w:val="00CC1654"/>
    <w:rsid w:val="00CC5DE1"/>
    <w:rsid w:val="00CD01A9"/>
    <w:rsid w:val="00CE0F0E"/>
    <w:rsid w:val="00CE4261"/>
    <w:rsid w:val="00CE67E0"/>
    <w:rsid w:val="00CF05D0"/>
    <w:rsid w:val="00CF355E"/>
    <w:rsid w:val="00D04616"/>
    <w:rsid w:val="00D07AA5"/>
    <w:rsid w:val="00D117B9"/>
    <w:rsid w:val="00D1195F"/>
    <w:rsid w:val="00D13B04"/>
    <w:rsid w:val="00D13EF0"/>
    <w:rsid w:val="00D14107"/>
    <w:rsid w:val="00D177B6"/>
    <w:rsid w:val="00D20835"/>
    <w:rsid w:val="00D23118"/>
    <w:rsid w:val="00D23B8D"/>
    <w:rsid w:val="00D23EEE"/>
    <w:rsid w:val="00D31BE2"/>
    <w:rsid w:val="00D32A4D"/>
    <w:rsid w:val="00D33F8A"/>
    <w:rsid w:val="00D456D5"/>
    <w:rsid w:val="00D54112"/>
    <w:rsid w:val="00D57297"/>
    <w:rsid w:val="00D61092"/>
    <w:rsid w:val="00D61F0C"/>
    <w:rsid w:val="00D62E16"/>
    <w:rsid w:val="00D63167"/>
    <w:rsid w:val="00D64617"/>
    <w:rsid w:val="00D65D1F"/>
    <w:rsid w:val="00D709E7"/>
    <w:rsid w:val="00D75CC9"/>
    <w:rsid w:val="00D76837"/>
    <w:rsid w:val="00D84BE3"/>
    <w:rsid w:val="00D85C97"/>
    <w:rsid w:val="00D91AB8"/>
    <w:rsid w:val="00D927C1"/>
    <w:rsid w:val="00D92888"/>
    <w:rsid w:val="00D96FBE"/>
    <w:rsid w:val="00DA06F4"/>
    <w:rsid w:val="00DA6AB9"/>
    <w:rsid w:val="00DB1EFD"/>
    <w:rsid w:val="00DB2AC9"/>
    <w:rsid w:val="00DB73F0"/>
    <w:rsid w:val="00DC37CB"/>
    <w:rsid w:val="00DC38DD"/>
    <w:rsid w:val="00DC6A3F"/>
    <w:rsid w:val="00DD488B"/>
    <w:rsid w:val="00DD5473"/>
    <w:rsid w:val="00DE0ED2"/>
    <w:rsid w:val="00DE1022"/>
    <w:rsid w:val="00DE10C2"/>
    <w:rsid w:val="00DE2A04"/>
    <w:rsid w:val="00DF0F23"/>
    <w:rsid w:val="00DF3F22"/>
    <w:rsid w:val="00DF4EDF"/>
    <w:rsid w:val="00DF7C1E"/>
    <w:rsid w:val="00E00AE4"/>
    <w:rsid w:val="00E044CD"/>
    <w:rsid w:val="00E10A9F"/>
    <w:rsid w:val="00E1256D"/>
    <w:rsid w:val="00E13607"/>
    <w:rsid w:val="00E16DF1"/>
    <w:rsid w:val="00E17009"/>
    <w:rsid w:val="00E220EB"/>
    <w:rsid w:val="00E27FED"/>
    <w:rsid w:val="00E30F7E"/>
    <w:rsid w:val="00E33FFF"/>
    <w:rsid w:val="00E35143"/>
    <w:rsid w:val="00E37590"/>
    <w:rsid w:val="00E4162E"/>
    <w:rsid w:val="00E42A91"/>
    <w:rsid w:val="00E461D0"/>
    <w:rsid w:val="00E47ADD"/>
    <w:rsid w:val="00E521D8"/>
    <w:rsid w:val="00E52365"/>
    <w:rsid w:val="00E56187"/>
    <w:rsid w:val="00E66A7A"/>
    <w:rsid w:val="00E66C49"/>
    <w:rsid w:val="00E67B77"/>
    <w:rsid w:val="00E718A9"/>
    <w:rsid w:val="00E7683E"/>
    <w:rsid w:val="00E827E0"/>
    <w:rsid w:val="00E86D41"/>
    <w:rsid w:val="00E90D41"/>
    <w:rsid w:val="00E91F6E"/>
    <w:rsid w:val="00E936E1"/>
    <w:rsid w:val="00E93869"/>
    <w:rsid w:val="00EA376F"/>
    <w:rsid w:val="00EB16C8"/>
    <w:rsid w:val="00EB3AFB"/>
    <w:rsid w:val="00EB7999"/>
    <w:rsid w:val="00EC00DB"/>
    <w:rsid w:val="00EC4EF3"/>
    <w:rsid w:val="00EC6613"/>
    <w:rsid w:val="00EC67AF"/>
    <w:rsid w:val="00EC712F"/>
    <w:rsid w:val="00EC735F"/>
    <w:rsid w:val="00ED13EC"/>
    <w:rsid w:val="00ED279D"/>
    <w:rsid w:val="00ED39A7"/>
    <w:rsid w:val="00ED41A5"/>
    <w:rsid w:val="00ED5CA8"/>
    <w:rsid w:val="00ED6269"/>
    <w:rsid w:val="00ED647F"/>
    <w:rsid w:val="00ED726D"/>
    <w:rsid w:val="00ED7ECA"/>
    <w:rsid w:val="00EE4B8E"/>
    <w:rsid w:val="00EF120F"/>
    <w:rsid w:val="00EF1AF7"/>
    <w:rsid w:val="00EF1DF5"/>
    <w:rsid w:val="00EF4ADC"/>
    <w:rsid w:val="00EF4E37"/>
    <w:rsid w:val="00EF510E"/>
    <w:rsid w:val="00EF6654"/>
    <w:rsid w:val="00EF7139"/>
    <w:rsid w:val="00F06CAB"/>
    <w:rsid w:val="00F06FD4"/>
    <w:rsid w:val="00F16CF4"/>
    <w:rsid w:val="00F23955"/>
    <w:rsid w:val="00F261B2"/>
    <w:rsid w:val="00F33FC6"/>
    <w:rsid w:val="00F35AE0"/>
    <w:rsid w:val="00F444FF"/>
    <w:rsid w:val="00F447A2"/>
    <w:rsid w:val="00F4541F"/>
    <w:rsid w:val="00F55A6B"/>
    <w:rsid w:val="00F57537"/>
    <w:rsid w:val="00F626FC"/>
    <w:rsid w:val="00F64840"/>
    <w:rsid w:val="00F671EE"/>
    <w:rsid w:val="00F67889"/>
    <w:rsid w:val="00F709A1"/>
    <w:rsid w:val="00F72740"/>
    <w:rsid w:val="00F73B63"/>
    <w:rsid w:val="00F74BBB"/>
    <w:rsid w:val="00F75DD6"/>
    <w:rsid w:val="00F778F3"/>
    <w:rsid w:val="00F8295C"/>
    <w:rsid w:val="00F84A77"/>
    <w:rsid w:val="00F86811"/>
    <w:rsid w:val="00F90C8D"/>
    <w:rsid w:val="00F9268E"/>
    <w:rsid w:val="00F9297A"/>
    <w:rsid w:val="00FC0F9A"/>
    <w:rsid w:val="00FC1427"/>
    <w:rsid w:val="00FC20CC"/>
    <w:rsid w:val="00FC24AE"/>
    <w:rsid w:val="00FC35F8"/>
    <w:rsid w:val="00FC4331"/>
    <w:rsid w:val="00FD3D9F"/>
    <w:rsid w:val="00FE029B"/>
    <w:rsid w:val="00FE1396"/>
    <w:rsid w:val="00FE177A"/>
    <w:rsid w:val="00FE18E4"/>
    <w:rsid w:val="00FE5FB5"/>
    <w:rsid w:val="00FE65D4"/>
    <w:rsid w:val="00FF1565"/>
    <w:rsid w:val="00FF39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761F"/>
    <w:pPr>
      <w:ind w:left="720"/>
      <w:contextualSpacing/>
    </w:pPr>
  </w:style>
  <w:style w:type="character" w:styleId="Hyperlink">
    <w:name w:val="Hyperlink"/>
    <w:basedOn w:val="DefaultParagraphFont"/>
    <w:uiPriority w:val="99"/>
    <w:unhideWhenUsed/>
    <w:rsid w:val="00A5761F"/>
    <w:rPr>
      <w:color w:val="0563C1" w:themeColor="hyperlink"/>
      <w:u w:val="single"/>
    </w:rPr>
  </w:style>
  <w:style w:type="paragraph" w:styleId="BalloonText">
    <w:name w:val="Balloon Text"/>
    <w:basedOn w:val="Normal"/>
    <w:link w:val="BalloonTextChar"/>
    <w:uiPriority w:val="99"/>
    <w:semiHidden/>
    <w:unhideWhenUsed/>
    <w:rsid w:val="00B8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1C4"/>
    <w:rPr>
      <w:rFonts w:ascii="Tahoma" w:hAnsi="Tahoma" w:cs="Tahoma"/>
      <w:sz w:val="16"/>
      <w:szCs w:val="16"/>
    </w:rPr>
  </w:style>
  <w:style w:type="paragraph" w:styleId="Title">
    <w:name w:val="Title"/>
    <w:basedOn w:val="Normal"/>
    <w:next w:val="Normal"/>
    <w:link w:val="TitleCh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7F"/>
    <w:rPr>
      <w:rFonts w:asciiTheme="majorHAnsi" w:eastAsiaTheme="majorEastAsia" w:hAnsiTheme="majorHAnsi" w:cstheme="majorBidi"/>
      <w:spacing w:val="-10"/>
      <w:kern w:val="28"/>
      <w:sz w:val="56"/>
      <w:szCs w:val="56"/>
    </w:rPr>
  </w:style>
  <w:style w:type="paragraph" w:styleId="Revision">
    <w:name w:val="Revision"/>
    <w:hidden/>
    <w:uiPriority w:val="99"/>
    <w:semiHidden/>
    <w:rsid w:val="008960C6"/>
    <w:pPr>
      <w:spacing w:after="0" w:line="240" w:lineRule="auto"/>
    </w:pPr>
  </w:style>
  <w:style w:type="character" w:styleId="CommentReference">
    <w:name w:val="annotation reference"/>
    <w:basedOn w:val="DefaultParagraphFont"/>
    <w:uiPriority w:val="99"/>
    <w:semiHidden/>
    <w:unhideWhenUsed/>
    <w:rsid w:val="001D429F"/>
    <w:rPr>
      <w:sz w:val="16"/>
      <w:szCs w:val="16"/>
    </w:rPr>
  </w:style>
  <w:style w:type="paragraph" w:styleId="CommentText">
    <w:name w:val="annotation text"/>
    <w:basedOn w:val="Normal"/>
    <w:link w:val="CommentTextChar"/>
    <w:uiPriority w:val="99"/>
    <w:unhideWhenUsed/>
    <w:rsid w:val="001D429F"/>
    <w:pPr>
      <w:spacing w:line="240" w:lineRule="auto"/>
    </w:pPr>
    <w:rPr>
      <w:sz w:val="20"/>
      <w:szCs w:val="20"/>
    </w:rPr>
  </w:style>
  <w:style w:type="character" w:customStyle="1" w:styleId="CommentTextChar">
    <w:name w:val="Comment Text Char"/>
    <w:basedOn w:val="DefaultParagraphFont"/>
    <w:link w:val="CommentText"/>
    <w:uiPriority w:val="99"/>
    <w:rsid w:val="001D429F"/>
    <w:rPr>
      <w:sz w:val="20"/>
      <w:szCs w:val="20"/>
    </w:rPr>
  </w:style>
  <w:style w:type="paragraph" w:styleId="CommentSubject">
    <w:name w:val="annotation subject"/>
    <w:basedOn w:val="CommentText"/>
    <w:next w:val="CommentText"/>
    <w:link w:val="CommentSubjectChar"/>
    <w:uiPriority w:val="99"/>
    <w:semiHidden/>
    <w:unhideWhenUsed/>
    <w:rsid w:val="001D429F"/>
    <w:rPr>
      <w:b/>
      <w:bCs/>
    </w:rPr>
  </w:style>
  <w:style w:type="character" w:customStyle="1" w:styleId="CommentSubjectChar">
    <w:name w:val="Comment Subject Char"/>
    <w:basedOn w:val="CommentTextChar"/>
    <w:link w:val="CommentSubject"/>
    <w:uiPriority w:val="99"/>
    <w:semiHidden/>
    <w:rsid w:val="001D429F"/>
    <w:rPr>
      <w:b/>
      <w:bCs/>
      <w:sz w:val="20"/>
      <w:szCs w:val="20"/>
    </w:rPr>
  </w:style>
  <w:style w:type="character" w:styleId="UnresolvedMention">
    <w:name w:val="Unresolved Mention"/>
    <w:basedOn w:val="DefaultParagraphFont"/>
    <w:uiPriority w:val="99"/>
    <w:semiHidden/>
    <w:unhideWhenUsed/>
    <w:rsid w:val="0049288A"/>
    <w:rPr>
      <w:color w:val="605E5C"/>
      <w:shd w:val="clear" w:color="auto" w:fill="E1DFDD"/>
    </w:rPr>
  </w:style>
  <w:style w:type="character" w:customStyle="1" w:styleId="ListParagraphChar">
    <w:name w:val="List Paragraph Char"/>
    <w:link w:val="ListParagraph"/>
    <w:uiPriority w:val="34"/>
    <w:rsid w:val="00CE4261"/>
  </w:style>
  <w:style w:type="table" w:styleId="PlainTable2">
    <w:name w:val="Plain Table 2"/>
    <w:basedOn w:val="TableNormal"/>
    <w:uiPriority w:val="42"/>
    <w:rsid w:val="0079444C"/>
    <w:pPr>
      <w:spacing w:after="0" w:line="240" w:lineRule="auto"/>
    </w:pPr>
    <w:rPr>
      <w:kern w:val="2"/>
      <w:sz w:val="24"/>
      <w:szCs w:val="24"/>
      <w:lang w:val="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8812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251861">
      <w:bodyDiv w:val="1"/>
      <w:marLeft w:val="0"/>
      <w:marRight w:val="0"/>
      <w:marTop w:val="0"/>
      <w:marBottom w:val="0"/>
      <w:divBdr>
        <w:top w:val="none" w:sz="0" w:space="0" w:color="auto"/>
        <w:left w:val="none" w:sz="0" w:space="0" w:color="auto"/>
        <w:bottom w:val="none" w:sz="0" w:space="0" w:color="auto"/>
        <w:right w:val="none" w:sz="0" w:space="0" w:color="auto"/>
      </w:divBdr>
    </w:div>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1361586024">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 w:id="1494371618">
      <w:bodyDiv w:val="1"/>
      <w:marLeft w:val="0"/>
      <w:marRight w:val="0"/>
      <w:marTop w:val="0"/>
      <w:marBottom w:val="0"/>
      <w:divBdr>
        <w:top w:val="none" w:sz="0" w:space="0" w:color="auto"/>
        <w:left w:val="none" w:sz="0" w:space="0" w:color="auto"/>
        <w:bottom w:val="none" w:sz="0" w:space="0" w:color="auto"/>
        <w:right w:val="none" w:sz="0" w:space="0" w:color="auto"/>
      </w:divBdr>
    </w:div>
    <w:div w:id="1770999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evelyn.torres@newmont.com" TargetMode="External"/><Relationship Id="rId4" Type="http://schemas.openxmlformats.org/officeDocument/2006/relationships/customXml" Target="../customXml/item4.xml"/><Relationship Id="rId9" Type="http://schemas.openxmlformats.org/officeDocument/2006/relationships/hyperlink" Target="mailto:yesenia.pelaez@newmo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608d206-d2c1-47e4-bae1-4a8c390111d4">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5E4682E33F23240A3D9AE84B038626F" ma:contentTypeVersion="12" ma:contentTypeDescription="Create a new document." ma:contentTypeScope="" ma:versionID="a7212ad0e0c0e9dd21e058c07b62dd8c">
  <xsd:schema xmlns:xsd="http://www.w3.org/2001/XMLSchema" xmlns:xs="http://www.w3.org/2001/XMLSchema" xmlns:p="http://schemas.microsoft.com/office/2006/metadata/properties" xmlns:ns2="3608d206-d2c1-47e4-bae1-4a8c390111d4" xmlns:ns3="72a643c9-197d-41ed-ba01-e77d4217c328" targetNamespace="http://schemas.microsoft.com/office/2006/metadata/properties" ma:root="true" ma:fieldsID="f83d6839630ab8b9660bccc49778aa30" ns2:_="" ns3:_="">
    <xsd:import namespace="3608d206-d2c1-47e4-bae1-4a8c390111d4"/>
    <xsd:import namespace="72a643c9-197d-41ed-ba01-e77d4217c32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08d206-d2c1-47e4-bae1-4a8c390111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3eb8f9d-d63d-419c-bff7-49c9424b9ae4"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43c9-197d-41ed-ba01-e77d4217c32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C5473D-E87F-4410-ACCF-91AFDDBF725A}">
  <ds:schemaRefs>
    <ds:schemaRef ds:uri="http://schemas.microsoft.com/sharepoint/v3/contenttype/forms"/>
  </ds:schemaRefs>
</ds:datastoreItem>
</file>

<file path=customXml/itemProps2.xml><?xml version="1.0" encoding="utf-8"?>
<ds:datastoreItem xmlns:ds="http://schemas.openxmlformats.org/officeDocument/2006/customXml" ds:itemID="{A105127A-E923-4AA3-90F1-DAD707B0A3C8}">
  <ds:schemaRefs>
    <ds:schemaRef ds:uri="http://schemas.openxmlformats.org/officeDocument/2006/bibliography"/>
  </ds:schemaRefs>
</ds:datastoreItem>
</file>

<file path=customXml/itemProps3.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 ds:uri="3608d206-d2c1-47e4-bae1-4a8c390111d4"/>
  </ds:schemaRefs>
</ds:datastoreItem>
</file>

<file path=customXml/itemProps4.xml><?xml version="1.0" encoding="utf-8"?>
<ds:datastoreItem xmlns:ds="http://schemas.openxmlformats.org/officeDocument/2006/customXml" ds:itemID="{CA991F3B-BF36-4299-86EC-3E11AE9F5D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08d206-d2c1-47e4-bae1-4a8c390111d4"/>
    <ds:schemaRef ds:uri="72a643c9-197d-41ed-ba01-e77d4217c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1396</Words>
  <Characters>7959</Characters>
  <Application>Microsoft Office Word</Application>
  <DocSecurity>4</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Redefining operational excellence at Peru's largest gold mine</vt:lpstr>
      <vt:lpstr>Redefining operational excellence at Peru's largest gold mine</vt:lpstr>
    </vt:vector>
  </TitlesOfParts>
  <Company>Newmont Mining Corp</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Luis Llaque Quiroz</cp:lastModifiedBy>
  <cp:revision>2</cp:revision>
  <dcterms:created xsi:type="dcterms:W3CDTF">2025-05-12T22:07:00Z</dcterms:created>
  <dcterms:modified xsi:type="dcterms:W3CDTF">2025-05-12T22:07:00Z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0x010100A5E4682E33F23240A3D9AE84B038626F</vt:lpwstr>
  </property>
  <property fmtid="{D5CDD505-2E9C-101B-9397-08002B2CF9AE}" pid="3" name="MediaServiceImageTags">
    <vt:lpwstr/>
  </property>
</Properties>
</file>