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9B1B" w14:textId="78FCD3CA" w:rsidR="00F257DB" w:rsidRPr="003F3F6D" w:rsidRDefault="00D87CEC" w:rsidP="00D87CEC">
      <w:pPr>
        <w:spacing w:after="0" w:line="360" w:lineRule="auto"/>
        <w:contextualSpacing/>
        <w:rPr>
          <w:rFonts w:ascii="Arial" w:hAnsi="Arial" w:cs="Arial"/>
          <w:b/>
          <w:bCs/>
          <w:lang w:val="es-PE"/>
        </w:rPr>
      </w:pPr>
      <w:r w:rsidRPr="003F3F6D">
        <w:rPr>
          <w:rFonts w:ascii="Arial" w:hAnsi="Arial" w:cs="Arial"/>
          <w:b/>
          <w:bCs/>
          <w:lang w:val="es-PE"/>
        </w:rPr>
        <w:t>Título:</w:t>
      </w:r>
      <w:r w:rsidR="00A162DF" w:rsidRPr="003F3F6D">
        <w:rPr>
          <w:rFonts w:ascii="Arial" w:hAnsi="Arial" w:cs="Arial"/>
          <w:b/>
          <w:bCs/>
          <w:lang w:val="es-PE"/>
        </w:rPr>
        <w:t xml:space="preserve"> </w:t>
      </w:r>
      <w:r w:rsidR="004035C4">
        <w:rPr>
          <w:rFonts w:ascii="Arial" w:hAnsi="Arial" w:cs="Arial"/>
          <w:b/>
          <w:bCs/>
          <w:lang w:val="es-PE"/>
        </w:rPr>
        <w:t xml:space="preserve">Ruta de </w:t>
      </w:r>
      <w:r w:rsidR="00CE1E72" w:rsidRPr="003F3F6D">
        <w:rPr>
          <w:rFonts w:ascii="Arial" w:hAnsi="Arial" w:cs="Arial"/>
          <w:b/>
          <w:bCs/>
          <w:lang w:val="es-PE"/>
        </w:rPr>
        <w:t>de descarbonización</w:t>
      </w:r>
      <w:r w:rsidR="00F257DB" w:rsidRPr="003F3F6D">
        <w:rPr>
          <w:rFonts w:ascii="Arial" w:hAnsi="Arial" w:cs="Arial"/>
          <w:b/>
          <w:bCs/>
          <w:lang w:val="es-PE"/>
        </w:rPr>
        <w:t xml:space="preserve"> </w:t>
      </w:r>
      <w:r w:rsidR="00A162DF" w:rsidRPr="003F3F6D">
        <w:rPr>
          <w:rFonts w:ascii="Arial" w:hAnsi="Arial" w:cs="Arial"/>
          <w:b/>
          <w:bCs/>
          <w:lang w:val="es-PE"/>
        </w:rPr>
        <w:t xml:space="preserve">de </w:t>
      </w:r>
      <w:r w:rsidR="00F257DB" w:rsidRPr="003F3F6D">
        <w:rPr>
          <w:rFonts w:ascii="Arial" w:hAnsi="Arial" w:cs="Arial"/>
          <w:b/>
          <w:bCs/>
          <w:lang w:val="es-PE"/>
        </w:rPr>
        <w:t>Southern Peru</w:t>
      </w:r>
      <w:r w:rsidR="004035C4">
        <w:rPr>
          <w:rFonts w:ascii="Arial" w:hAnsi="Arial" w:cs="Arial"/>
          <w:b/>
          <w:bCs/>
          <w:lang w:val="es-PE"/>
        </w:rPr>
        <w:t xml:space="preserve"> Copper Corporation</w:t>
      </w:r>
      <w:r w:rsidR="002A395F">
        <w:rPr>
          <w:rFonts w:ascii="Arial" w:hAnsi="Arial" w:cs="Arial"/>
          <w:b/>
          <w:bCs/>
          <w:lang w:val="es-PE"/>
        </w:rPr>
        <w:t xml:space="preserve"> frente al Cambio Climático.</w:t>
      </w:r>
    </w:p>
    <w:p w14:paraId="04E65A87" w14:textId="14E5CA80" w:rsidR="00A162DF" w:rsidRPr="003F3F6D" w:rsidRDefault="001B3CC2" w:rsidP="00DD4A5E">
      <w:pPr>
        <w:spacing w:before="20" w:after="0" w:line="360" w:lineRule="auto"/>
        <w:jc w:val="both"/>
        <w:rPr>
          <w:rFonts w:ascii="Arial" w:hAnsi="Arial" w:cs="Arial"/>
          <w:lang w:val="es-PE"/>
        </w:rPr>
      </w:pPr>
      <w:r w:rsidRPr="003F3F6D">
        <w:rPr>
          <w:rFonts w:ascii="Arial" w:hAnsi="Arial" w:cs="Arial"/>
          <w:b/>
          <w:bCs/>
          <w:lang w:val="es-PE"/>
        </w:rPr>
        <w:t xml:space="preserve">Tema: </w:t>
      </w:r>
      <w:r w:rsidRPr="003F3F6D">
        <w:rPr>
          <w:rFonts w:ascii="Arial" w:hAnsi="Arial" w:cs="Arial"/>
          <w:lang w:val="es-PE"/>
        </w:rPr>
        <w:t>ESG (Environmental, Social, Governance)</w:t>
      </w:r>
    </w:p>
    <w:p w14:paraId="78192434" w14:textId="2F9504DE" w:rsidR="001B3CC2" w:rsidRPr="003F3F6D" w:rsidRDefault="001B3CC2" w:rsidP="00DD4A5E">
      <w:pPr>
        <w:spacing w:before="20" w:after="0" w:line="360" w:lineRule="auto"/>
        <w:jc w:val="both"/>
        <w:rPr>
          <w:rFonts w:ascii="Arial" w:hAnsi="Arial" w:cs="Arial"/>
          <w:b/>
          <w:bCs/>
          <w:lang w:val="es-PE"/>
        </w:rPr>
      </w:pPr>
      <w:r w:rsidRPr="003F3F6D">
        <w:rPr>
          <w:rFonts w:ascii="Arial" w:hAnsi="Arial" w:cs="Arial"/>
          <w:b/>
          <w:bCs/>
          <w:lang w:val="es-PE"/>
        </w:rPr>
        <w:t>Datos del autor y coautores: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3375"/>
        <w:gridCol w:w="3534"/>
      </w:tblGrid>
      <w:tr w:rsidR="007D732F" w:rsidRPr="003F3F6D" w14:paraId="6DCB3273" w14:textId="77777777" w:rsidTr="009A2D68">
        <w:trPr>
          <w:trHeight w:val="238"/>
        </w:trPr>
        <w:tc>
          <w:tcPr>
            <w:tcW w:w="2287" w:type="dxa"/>
          </w:tcPr>
          <w:p w14:paraId="5C07DF81" w14:textId="52CC4AAC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  <w:b/>
                <w:bCs/>
              </w:rPr>
            </w:pPr>
            <w:r w:rsidRPr="003F3F6D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3274" w:type="dxa"/>
          </w:tcPr>
          <w:p w14:paraId="35164F00" w14:textId="25E77256" w:rsidR="007D732F" w:rsidRPr="003F3F6D" w:rsidRDefault="007C2925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Autor: </w:t>
            </w:r>
            <w:r w:rsidR="007D732F" w:rsidRPr="003F3F6D">
              <w:rPr>
                <w:rFonts w:ascii="Arial" w:hAnsi="Arial" w:cs="Arial"/>
              </w:rPr>
              <w:t>Darío Oviedo Calderón</w:t>
            </w:r>
          </w:p>
        </w:tc>
        <w:tc>
          <w:tcPr>
            <w:tcW w:w="3453" w:type="dxa"/>
          </w:tcPr>
          <w:p w14:paraId="33E1857F" w14:textId="0172A318" w:rsidR="007D732F" w:rsidRPr="003F3F6D" w:rsidRDefault="007C2925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Coautor: </w:t>
            </w:r>
            <w:r w:rsidR="007D732F" w:rsidRPr="003F3F6D">
              <w:rPr>
                <w:rFonts w:ascii="Arial" w:hAnsi="Arial" w:cs="Arial"/>
              </w:rPr>
              <w:t>Dante Góngora Galdos</w:t>
            </w:r>
          </w:p>
        </w:tc>
      </w:tr>
      <w:tr w:rsidR="007D732F" w:rsidRPr="003F3F6D" w14:paraId="10DC0943" w14:textId="77777777" w:rsidTr="009A2D68">
        <w:trPr>
          <w:trHeight w:val="238"/>
        </w:trPr>
        <w:tc>
          <w:tcPr>
            <w:tcW w:w="2287" w:type="dxa"/>
          </w:tcPr>
          <w:p w14:paraId="275B5366" w14:textId="02697815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  <w:b/>
                <w:bCs/>
              </w:rPr>
            </w:pPr>
            <w:r w:rsidRPr="003F3F6D">
              <w:rPr>
                <w:rFonts w:ascii="Arial" w:hAnsi="Arial" w:cs="Arial"/>
                <w:b/>
                <w:bCs/>
              </w:rPr>
              <w:t>Empresa</w:t>
            </w:r>
          </w:p>
        </w:tc>
        <w:tc>
          <w:tcPr>
            <w:tcW w:w="6728" w:type="dxa"/>
            <w:gridSpan w:val="2"/>
          </w:tcPr>
          <w:p w14:paraId="5FF338EF" w14:textId="02DBFB5A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 w:rsidRPr="003F3F6D">
              <w:rPr>
                <w:rFonts w:ascii="Arial" w:hAnsi="Arial" w:cs="Arial"/>
              </w:rPr>
              <w:t>Southern Peru Copper Corporation</w:t>
            </w:r>
          </w:p>
        </w:tc>
      </w:tr>
      <w:tr w:rsidR="007D732F" w:rsidRPr="003F3F6D" w14:paraId="4A8EE9F5" w14:textId="77777777" w:rsidTr="009A2D68">
        <w:trPr>
          <w:trHeight w:val="489"/>
        </w:trPr>
        <w:tc>
          <w:tcPr>
            <w:tcW w:w="2287" w:type="dxa"/>
          </w:tcPr>
          <w:p w14:paraId="645BFA0C" w14:textId="2C0E7AF1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  <w:b/>
                <w:bCs/>
              </w:rPr>
            </w:pPr>
            <w:r w:rsidRPr="003F3F6D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3274" w:type="dxa"/>
          </w:tcPr>
          <w:p w14:paraId="37948CBB" w14:textId="1FC40DAB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 w:rsidRPr="003F3F6D">
              <w:rPr>
                <w:rFonts w:ascii="Arial" w:hAnsi="Arial" w:cs="Arial"/>
              </w:rPr>
              <w:t>Director de Servicios Ambientales</w:t>
            </w:r>
          </w:p>
        </w:tc>
        <w:tc>
          <w:tcPr>
            <w:tcW w:w="3453" w:type="dxa"/>
          </w:tcPr>
          <w:p w14:paraId="58E7AAC3" w14:textId="5BD42F84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 w:rsidRPr="003F3F6D">
              <w:rPr>
                <w:rFonts w:ascii="Arial" w:hAnsi="Arial" w:cs="Arial"/>
              </w:rPr>
              <w:t>Ingeniero de proyectos ambientales</w:t>
            </w:r>
          </w:p>
        </w:tc>
      </w:tr>
      <w:tr w:rsidR="007D732F" w:rsidRPr="00FC6BC3" w14:paraId="0DB0DF8D" w14:textId="77777777" w:rsidTr="009A2D68">
        <w:trPr>
          <w:trHeight w:val="477"/>
        </w:trPr>
        <w:tc>
          <w:tcPr>
            <w:tcW w:w="2287" w:type="dxa"/>
          </w:tcPr>
          <w:p w14:paraId="67B24427" w14:textId="48AE92F1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  <w:b/>
                <w:bCs/>
              </w:rPr>
            </w:pPr>
            <w:r w:rsidRPr="003F3F6D">
              <w:rPr>
                <w:rFonts w:ascii="Arial" w:hAnsi="Arial" w:cs="Arial"/>
                <w:b/>
                <w:bCs/>
              </w:rPr>
              <w:t>Dirección</w:t>
            </w:r>
          </w:p>
        </w:tc>
        <w:tc>
          <w:tcPr>
            <w:tcW w:w="3274" w:type="dxa"/>
          </w:tcPr>
          <w:p w14:paraId="3CED7871" w14:textId="0E0A3004" w:rsidR="007D732F" w:rsidRPr="001452EC" w:rsidRDefault="001452EC" w:rsidP="007D732F">
            <w:pPr>
              <w:spacing w:before="100" w:beforeAutospacing="1"/>
              <w:jc w:val="both"/>
              <w:rPr>
                <w:rFonts w:ascii="Arial" w:hAnsi="Arial" w:cs="Arial"/>
                <w:lang w:val="es-PE"/>
              </w:rPr>
            </w:pPr>
            <w:r w:rsidRPr="00583384">
              <w:rPr>
                <w:rFonts w:ascii="Arial" w:hAnsi="Arial" w:cs="Arial"/>
                <w:lang w:val="es-PE"/>
              </w:rPr>
              <w:t>Los Pinos S-321, Pueblo Nuevo,Pacocha, Ilo, Moquegua</w:t>
            </w:r>
          </w:p>
        </w:tc>
        <w:tc>
          <w:tcPr>
            <w:tcW w:w="3453" w:type="dxa"/>
          </w:tcPr>
          <w:p w14:paraId="7D324C95" w14:textId="42A426DF" w:rsidR="007D732F" w:rsidRPr="003F3F6D" w:rsidRDefault="00FC6BC3" w:rsidP="00FC6BC3">
            <w:pPr>
              <w:spacing w:before="100" w:beforeAutospacing="1"/>
              <w:jc w:val="both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  <w:lang w:val="es-PE"/>
              </w:rPr>
              <w:t>Urb. Country Club A-11</w:t>
            </w:r>
            <w:r w:rsidR="00DD54D8" w:rsidRPr="003F3F6D">
              <w:rPr>
                <w:rFonts w:ascii="Arial" w:hAnsi="Arial" w:cs="Arial"/>
                <w:lang w:val="es-PE"/>
              </w:rPr>
              <w:t>, Pacocha, Ilo</w:t>
            </w:r>
            <w:r>
              <w:rPr>
                <w:rFonts w:ascii="Arial" w:hAnsi="Arial" w:cs="Arial"/>
                <w:lang w:val="es-PE"/>
              </w:rPr>
              <w:t>, Moquegua</w:t>
            </w:r>
          </w:p>
        </w:tc>
      </w:tr>
      <w:tr w:rsidR="007D732F" w:rsidRPr="003F3F6D" w14:paraId="622A94A3" w14:textId="77777777" w:rsidTr="009A2D68">
        <w:trPr>
          <w:trHeight w:val="250"/>
        </w:trPr>
        <w:tc>
          <w:tcPr>
            <w:tcW w:w="2287" w:type="dxa"/>
          </w:tcPr>
          <w:p w14:paraId="557CDB98" w14:textId="6223BC47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  <w:b/>
                <w:bCs/>
              </w:rPr>
            </w:pPr>
            <w:r w:rsidRPr="003F3F6D">
              <w:rPr>
                <w:rFonts w:ascii="Arial" w:hAnsi="Arial" w:cs="Arial"/>
                <w:b/>
                <w:bCs/>
              </w:rPr>
              <w:t>Correo electrónico</w:t>
            </w:r>
          </w:p>
        </w:tc>
        <w:tc>
          <w:tcPr>
            <w:tcW w:w="3274" w:type="dxa"/>
          </w:tcPr>
          <w:p w14:paraId="320138FA" w14:textId="63231A7E" w:rsidR="007D732F" w:rsidRPr="003F3F6D" w:rsidRDefault="009A2D68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hyperlink r:id="rId8" w:history="1">
              <w:r w:rsidRPr="003F3F6D">
                <w:rPr>
                  <w:rStyle w:val="Hyperlink"/>
                  <w:rFonts w:ascii="Arial" w:hAnsi="Arial" w:cs="Arial"/>
                </w:rPr>
                <w:t>DOviedo@southernperu.com.pe</w:t>
              </w:r>
            </w:hyperlink>
            <w:r w:rsidRPr="003F3F6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453" w:type="dxa"/>
          </w:tcPr>
          <w:p w14:paraId="73F391BA" w14:textId="0A5A7F4F" w:rsidR="007D732F" w:rsidRPr="003F3F6D" w:rsidRDefault="009A2D68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hyperlink r:id="rId9" w:history="1">
              <w:r w:rsidRPr="003F3F6D">
                <w:rPr>
                  <w:rStyle w:val="Hyperlink"/>
                  <w:rFonts w:ascii="Arial" w:hAnsi="Arial" w:cs="Arial"/>
                </w:rPr>
                <w:t>DGongora@southernperu.com.pe</w:t>
              </w:r>
            </w:hyperlink>
          </w:p>
        </w:tc>
      </w:tr>
      <w:tr w:rsidR="007D732F" w:rsidRPr="003F3F6D" w14:paraId="276D3C2B" w14:textId="77777777" w:rsidTr="009A2D68">
        <w:trPr>
          <w:trHeight w:val="238"/>
        </w:trPr>
        <w:tc>
          <w:tcPr>
            <w:tcW w:w="2287" w:type="dxa"/>
          </w:tcPr>
          <w:p w14:paraId="16952C06" w14:textId="0FEB4FAB" w:rsidR="007D732F" w:rsidRPr="003F3F6D" w:rsidRDefault="007D732F" w:rsidP="007D732F">
            <w:pPr>
              <w:spacing w:before="100" w:beforeAutospacing="1"/>
              <w:jc w:val="both"/>
              <w:rPr>
                <w:rFonts w:ascii="Arial" w:hAnsi="Arial" w:cs="Arial"/>
                <w:b/>
                <w:bCs/>
              </w:rPr>
            </w:pPr>
            <w:r w:rsidRPr="003F3F6D">
              <w:rPr>
                <w:rFonts w:ascii="Arial" w:hAnsi="Arial" w:cs="Arial"/>
                <w:b/>
                <w:bCs/>
              </w:rPr>
              <w:t>Celular</w:t>
            </w:r>
          </w:p>
        </w:tc>
        <w:tc>
          <w:tcPr>
            <w:tcW w:w="3274" w:type="dxa"/>
          </w:tcPr>
          <w:p w14:paraId="73C6B0DA" w14:textId="18657172" w:rsidR="007D732F" w:rsidRPr="003F3F6D" w:rsidRDefault="00E509A9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 w:rsidRPr="003F3F6D">
              <w:rPr>
                <w:rFonts w:ascii="Arial" w:hAnsi="Arial" w:cs="Arial"/>
              </w:rPr>
              <w:t>953 642 064</w:t>
            </w:r>
          </w:p>
        </w:tc>
        <w:tc>
          <w:tcPr>
            <w:tcW w:w="3453" w:type="dxa"/>
          </w:tcPr>
          <w:p w14:paraId="287B90C2" w14:textId="3D728A1A" w:rsidR="007D732F" w:rsidRPr="003F3F6D" w:rsidRDefault="009A2D68" w:rsidP="007D732F">
            <w:pPr>
              <w:spacing w:before="100" w:beforeAutospacing="1"/>
              <w:jc w:val="both"/>
              <w:rPr>
                <w:rFonts w:ascii="Arial" w:hAnsi="Arial" w:cs="Arial"/>
              </w:rPr>
            </w:pPr>
            <w:r w:rsidRPr="003F3F6D">
              <w:rPr>
                <w:rFonts w:ascii="Arial" w:hAnsi="Arial" w:cs="Arial"/>
              </w:rPr>
              <w:t>940</w:t>
            </w:r>
            <w:r w:rsidR="00E509A9" w:rsidRPr="003F3F6D">
              <w:rPr>
                <w:rFonts w:ascii="Arial" w:hAnsi="Arial" w:cs="Arial"/>
              </w:rPr>
              <w:t xml:space="preserve"> </w:t>
            </w:r>
            <w:r w:rsidRPr="003F3F6D">
              <w:rPr>
                <w:rFonts w:ascii="Arial" w:hAnsi="Arial" w:cs="Arial"/>
              </w:rPr>
              <w:t>154</w:t>
            </w:r>
            <w:r w:rsidR="00E509A9" w:rsidRPr="003F3F6D">
              <w:rPr>
                <w:rFonts w:ascii="Arial" w:hAnsi="Arial" w:cs="Arial"/>
              </w:rPr>
              <w:t xml:space="preserve"> </w:t>
            </w:r>
            <w:r w:rsidRPr="003F3F6D">
              <w:rPr>
                <w:rFonts w:ascii="Arial" w:hAnsi="Arial" w:cs="Arial"/>
              </w:rPr>
              <w:t>402</w:t>
            </w:r>
          </w:p>
        </w:tc>
      </w:tr>
    </w:tbl>
    <w:p w14:paraId="4AC15FBF" w14:textId="68D1700F" w:rsidR="00D47E6C" w:rsidRDefault="00D47E6C" w:rsidP="00D47E6C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 w:rsidRPr="003F3F6D">
        <w:rPr>
          <w:rFonts w:ascii="Arial" w:hAnsi="Arial" w:cs="Arial"/>
          <w:b/>
          <w:bCs/>
          <w:lang w:val="es-PE"/>
        </w:rPr>
        <w:t xml:space="preserve">Palabras clave: </w:t>
      </w:r>
      <w:r w:rsidR="004035C4">
        <w:rPr>
          <w:rFonts w:ascii="Arial" w:hAnsi="Arial" w:cs="Arial"/>
          <w:lang w:val="es-PE"/>
        </w:rPr>
        <w:t>D</w:t>
      </w:r>
      <w:r w:rsidR="004035C4" w:rsidRPr="003F3F6D">
        <w:rPr>
          <w:rFonts w:ascii="Arial" w:hAnsi="Arial" w:cs="Arial"/>
          <w:lang w:val="es-PE"/>
        </w:rPr>
        <w:t>escarbonización</w:t>
      </w:r>
      <w:r w:rsidRPr="003F3F6D">
        <w:rPr>
          <w:rFonts w:ascii="Arial" w:hAnsi="Arial" w:cs="Arial"/>
          <w:lang w:val="es-PE"/>
        </w:rPr>
        <w:t xml:space="preserve">, </w:t>
      </w:r>
      <w:r w:rsidR="006E58F5">
        <w:rPr>
          <w:rFonts w:ascii="Arial" w:hAnsi="Arial" w:cs="Arial"/>
          <w:lang w:val="es-PE"/>
        </w:rPr>
        <w:t>Cambio Climático, G</w:t>
      </w:r>
      <w:r w:rsidRPr="003F3F6D">
        <w:rPr>
          <w:rFonts w:ascii="Arial" w:hAnsi="Arial" w:cs="Arial"/>
          <w:lang w:val="es-PE"/>
        </w:rPr>
        <w:t xml:space="preserve">ases de efecto invernadero, </w:t>
      </w:r>
      <w:r w:rsidR="00E808E7">
        <w:rPr>
          <w:rFonts w:ascii="Arial" w:hAnsi="Arial" w:cs="Arial"/>
          <w:lang w:val="es-PE"/>
        </w:rPr>
        <w:t xml:space="preserve">medidas de </w:t>
      </w:r>
      <w:r w:rsidRPr="003F3F6D">
        <w:rPr>
          <w:rFonts w:ascii="Arial" w:hAnsi="Arial" w:cs="Arial"/>
          <w:lang w:val="es-PE"/>
        </w:rPr>
        <w:t xml:space="preserve">mitigación </w:t>
      </w:r>
      <w:r w:rsidR="00FC6BC3">
        <w:rPr>
          <w:rFonts w:ascii="Arial" w:hAnsi="Arial" w:cs="Arial"/>
          <w:lang w:val="es-PE"/>
        </w:rPr>
        <w:t>de</w:t>
      </w:r>
      <w:r w:rsidRPr="003F3F6D">
        <w:rPr>
          <w:rFonts w:ascii="Arial" w:hAnsi="Arial" w:cs="Arial"/>
          <w:lang w:val="es-PE"/>
        </w:rPr>
        <w:t xml:space="preserve">l cambio climático, minería, </w:t>
      </w:r>
      <w:r w:rsidR="00E808E7">
        <w:rPr>
          <w:rFonts w:ascii="Arial" w:hAnsi="Arial" w:cs="Arial"/>
          <w:lang w:val="es-PE"/>
        </w:rPr>
        <w:t>metalurgia</w:t>
      </w:r>
      <w:r w:rsidR="00FC6BC3">
        <w:rPr>
          <w:rFonts w:ascii="Arial" w:hAnsi="Arial" w:cs="Arial"/>
          <w:lang w:val="es-PE"/>
        </w:rPr>
        <w:t>,</w:t>
      </w:r>
      <w:r w:rsidR="00E808E7">
        <w:rPr>
          <w:rFonts w:ascii="Arial" w:hAnsi="Arial" w:cs="Arial"/>
          <w:lang w:val="es-PE"/>
        </w:rPr>
        <w:t xml:space="preserve"> </w:t>
      </w:r>
      <w:r w:rsidRPr="003F3F6D">
        <w:rPr>
          <w:rFonts w:ascii="Arial" w:hAnsi="Arial" w:cs="Arial"/>
          <w:lang w:val="es-PE"/>
        </w:rPr>
        <w:t>cobre</w:t>
      </w:r>
      <w:r w:rsidR="00E808E7">
        <w:rPr>
          <w:rFonts w:ascii="Arial" w:hAnsi="Arial" w:cs="Arial"/>
          <w:lang w:val="es-PE"/>
        </w:rPr>
        <w:t>, energía solar.</w:t>
      </w:r>
    </w:p>
    <w:p w14:paraId="207B70F8" w14:textId="208097D2" w:rsidR="003F3F6D" w:rsidRPr="003274E5" w:rsidRDefault="003274E5" w:rsidP="00D47E6C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 w:rsidRPr="003274E5">
        <w:rPr>
          <w:rFonts w:ascii="Arial" w:hAnsi="Arial" w:cs="Arial"/>
          <w:b/>
          <w:bCs/>
          <w:lang w:val="es-PE"/>
        </w:rPr>
        <w:t>Resumen:</w:t>
      </w:r>
    </w:p>
    <w:p w14:paraId="0741D1DB" w14:textId="503A1B38" w:rsidR="008C5D53" w:rsidRPr="003F3F6D" w:rsidRDefault="00472CD4" w:rsidP="00DD4A5E">
      <w:pPr>
        <w:spacing w:before="20" w:after="0" w:line="360" w:lineRule="auto"/>
        <w:jc w:val="both"/>
        <w:rPr>
          <w:rFonts w:ascii="Arial" w:hAnsi="Arial" w:cs="Arial"/>
          <w:lang w:val="es-PE"/>
        </w:rPr>
      </w:pPr>
      <w:r w:rsidRPr="003F3F6D">
        <w:rPr>
          <w:rFonts w:ascii="Arial" w:hAnsi="Arial" w:cs="Arial"/>
          <w:lang w:val="es-PE"/>
        </w:rPr>
        <w:t>El cambio climático es un reto de grandes proporciones</w:t>
      </w:r>
      <w:r w:rsidR="008C5D53" w:rsidRPr="003F3F6D">
        <w:rPr>
          <w:rFonts w:ascii="Arial" w:hAnsi="Arial" w:cs="Arial"/>
          <w:lang w:val="es-PE"/>
        </w:rPr>
        <w:t>, el cual ha logrado convocar los esfuerzos de las naciones del mundo asociadas en la Convención Marco del Cambio Climático de las Naciones Unidas y el Acuerdo de París, cuyas acci</w:t>
      </w:r>
      <w:r w:rsidR="00E756F2" w:rsidRPr="003F3F6D">
        <w:rPr>
          <w:rFonts w:ascii="Arial" w:hAnsi="Arial" w:cs="Arial"/>
          <w:lang w:val="es-PE"/>
        </w:rPr>
        <w:t>o</w:t>
      </w:r>
      <w:r w:rsidR="008C5D53" w:rsidRPr="003F3F6D">
        <w:rPr>
          <w:rFonts w:ascii="Arial" w:hAnsi="Arial" w:cs="Arial"/>
          <w:lang w:val="es-PE"/>
        </w:rPr>
        <w:t>n</w:t>
      </w:r>
      <w:r w:rsidR="00E756F2" w:rsidRPr="003F3F6D">
        <w:rPr>
          <w:rFonts w:ascii="Arial" w:hAnsi="Arial" w:cs="Arial"/>
          <w:lang w:val="es-PE"/>
        </w:rPr>
        <w:t>es</w:t>
      </w:r>
      <w:r w:rsidR="008C5D53" w:rsidRPr="003F3F6D">
        <w:rPr>
          <w:rFonts w:ascii="Arial" w:hAnsi="Arial" w:cs="Arial"/>
          <w:lang w:val="es-PE"/>
        </w:rPr>
        <w:t xml:space="preserve"> se concentran en la adaptación a los efectos del cambio climático, la mitigación del cambio climático basada en la reducción de emisiones de gases de efecto invernadero</w:t>
      </w:r>
      <w:r w:rsidR="00447951" w:rsidRPr="003F3F6D">
        <w:rPr>
          <w:rFonts w:ascii="Arial" w:hAnsi="Arial" w:cs="Arial"/>
          <w:lang w:val="es-PE"/>
        </w:rPr>
        <w:t xml:space="preserve"> (GEI)</w:t>
      </w:r>
      <w:r w:rsidR="008C5D53" w:rsidRPr="003F3F6D">
        <w:rPr>
          <w:rFonts w:ascii="Arial" w:hAnsi="Arial" w:cs="Arial"/>
          <w:lang w:val="es-PE"/>
        </w:rPr>
        <w:t xml:space="preserve"> y el financiamiento de estas iniciativas. En Southern Peru, </w:t>
      </w:r>
      <w:r w:rsidR="00447951" w:rsidRPr="003F3F6D">
        <w:rPr>
          <w:rFonts w:ascii="Arial" w:hAnsi="Arial" w:cs="Arial"/>
          <w:lang w:val="es-PE"/>
        </w:rPr>
        <w:t xml:space="preserve">buscamos contribuir activamente a la lucha contra el cambio climático y </w:t>
      </w:r>
      <w:r w:rsidR="008C5D53" w:rsidRPr="003F3F6D">
        <w:rPr>
          <w:rFonts w:ascii="Arial" w:hAnsi="Arial" w:cs="Arial"/>
          <w:lang w:val="es-PE"/>
        </w:rPr>
        <w:t xml:space="preserve">estamos </w:t>
      </w:r>
      <w:r w:rsidR="00447951" w:rsidRPr="003F3F6D">
        <w:rPr>
          <w:rFonts w:ascii="Arial" w:hAnsi="Arial" w:cs="Arial"/>
          <w:lang w:val="es-PE"/>
        </w:rPr>
        <w:t xml:space="preserve">comprometidos </w:t>
      </w:r>
      <w:r w:rsidR="00E756F2" w:rsidRPr="003F3F6D">
        <w:rPr>
          <w:rFonts w:ascii="Arial" w:hAnsi="Arial" w:cs="Arial"/>
          <w:lang w:val="es-PE"/>
        </w:rPr>
        <w:t xml:space="preserve">y venimos </w:t>
      </w:r>
      <w:r w:rsidR="00447951" w:rsidRPr="003F3F6D">
        <w:rPr>
          <w:rFonts w:ascii="Arial" w:hAnsi="Arial" w:cs="Arial"/>
          <w:lang w:val="es-PE"/>
        </w:rPr>
        <w:t>impulsa</w:t>
      </w:r>
      <w:r w:rsidR="00E756F2" w:rsidRPr="003F3F6D">
        <w:rPr>
          <w:rFonts w:ascii="Arial" w:hAnsi="Arial" w:cs="Arial"/>
          <w:lang w:val="es-PE"/>
        </w:rPr>
        <w:t xml:space="preserve">ndo </w:t>
      </w:r>
      <w:r w:rsidR="00447951" w:rsidRPr="003F3F6D">
        <w:rPr>
          <w:rFonts w:ascii="Arial" w:hAnsi="Arial" w:cs="Arial"/>
          <w:lang w:val="es-PE"/>
        </w:rPr>
        <w:t>acciones que permitan mitigar las emisiones de GEI asociadas a nuestras actividades productivas e implementa</w:t>
      </w:r>
      <w:r w:rsidR="00E756F2" w:rsidRPr="003F3F6D">
        <w:rPr>
          <w:rFonts w:ascii="Arial" w:hAnsi="Arial" w:cs="Arial"/>
          <w:lang w:val="es-PE"/>
        </w:rPr>
        <w:t>ndo</w:t>
      </w:r>
      <w:r w:rsidR="00447951" w:rsidRPr="003F3F6D">
        <w:rPr>
          <w:rFonts w:ascii="Arial" w:hAnsi="Arial" w:cs="Arial"/>
          <w:lang w:val="es-PE"/>
        </w:rPr>
        <w:t xml:space="preserve"> medidas de adaptación que incrementen la resiliencia de nuestras operaciones ante los riesgos derivados del cambio climático</w:t>
      </w:r>
      <w:r w:rsidR="00E756F2" w:rsidRPr="003F3F6D">
        <w:rPr>
          <w:rFonts w:ascii="Arial" w:hAnsi="Arial" w:cs="Arial"/>
          <w:lang w:val="es-PE"/>
        </w:rPr>
        <w:t>.</w:t>
      </w:r>
      <w:r w:rsidR="00DB7EF8" w:rsidRPr="003F3F6D">
        <w:rPr>
          <w:rFonts w:ascii="Arial" w:hAnsi="Arial" w:cs="Arial"/>
          <w:lang w:val="es-PE"/>
        </w:rPr>
        <w:t xml:space="preserve"> </w:t>
      </w:r>
      <w:r w:rsidR="00D35934" w:rsidRPr="003F3F6D">
        <w:rPr>
          <w:rFonts w:ascii="Arial" w:hAnsi="Arial" w:cs="Arial"/>
          <w:lang w:val="es-PE"/>
        </w:rPr>
        <w:t xml:space="preserve">En este sentido, resulta clave establecer metas </w:t>
      </w:r>
      <w:r w:rsidR="005C2F13" w:rsidRPr="003F3F6D">
        <w:rPr>
          <w:rFonts w:ascii="Arial" w:hAnsi="Arial" w:cs="Arial"/>
          <w:lang w:val="es-PE"/>
        </w:rPr>
        <w:t xml:space="preserve">y acciones </w:t>
      </w:r>
      <w:r w:rsidR="00D35934" w:rsidRPr="003F3F6D">
        <w:rPr>
          <w:rFonts w:ascii="Arial" w:hAnsi="Arial" w:cs="Arial"/>
          <w:lang w:val="es-PE"/>
        </w:rPr>
        <w:t xml:space="preserve">de </w:t>
      </w:r>
      <w:r w:rsidR="00AE5824">
        <w:rPr>
          <w:rFonts w:ascii="Arial" w:hAnsi="Arial" w:cs="Arial"/>
          <w:lang w:val="es-PE"/>
        </w:rPr>
        <w:t>mitigación del cambio climático</w:t>
      </w:r>
      <w:r w:rsidR="00C61D61" w:rsidRPr="003F3F6D">
        <w:rPr>
          <w:rFonts w:ascii="Arial" w:hAnsi="Arial" w:cs="Arial"/>
          <w:lang w:val="es-PE"/>
        </w:rPr>
        <w:t xml:space="preserve"> a nivel de Southern Peru</w:t>
      </w:r>
      <w:r w:rsidR="007D2CC1" w:rsidRPr="003F3F6D">
        <w:rPr>
          <w:rFonts w:ascii="Arial" w:hAnsi="Arial" w:cs="Arial"/>
          <w:lang w:val="es-PE"/>
        </w:rPr>
        <w:t>.</w:t>
      </w:r>
    </w:p>
    <w:p w14:paraId="570E5CC2" w14:textId="25C0A7E8" w:rsidR="00B94CDA" w:rsidRDefault="007D2CC1" w:rsidP="00DD4A5E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 w:rsidRPr="003F3F6D">
        <w:rPr>
          <w:rFonts w:ascii="Arial" w:hAnsi="Arial" w:cs="Arial"/>
          <w:lang w:val="es-PE"/>
        </w:rPr>
        <w:t>E</w:t>
      </w:r>
      <w:r w:rsidR="00447951" w:rsidRPr="003F3F6D">
        <w:rPr>
          <w:rFonts w:ascii="Arial" w:hAnsi="Arial" w:cs="Arial"/>
          <w:lang w:val="es-PE"/>
        </w:rPr>
        <w:t xml:space="preserve">n el presente trabajo técnico, </w:t>
      </w:r>
      <w:r w:rsidR="00241847">
        <w:rPr>
          <w:rFonts w:ascii="Arial" w:hAnsi="Arial" w:cs="Arial"/>
          <w:lang w:val="es-PE"/>
        </w:rPr>
        <w:t xml:space="preserve">se </w:t>
      </w:r>
      <w:r w:rsidR="00E05816">
        <w:rPr>
          <w:rFonts w:ascii="Arial" w:hAnsi="Arial" w:cs="Arial"/>
          <w:lang w:val="es-PE"/>
        </w:rPr>
        <w:t>presentarán</w:t>
      </w:r>
      <w:r w:rsidR="00447951" w:rsidRPr="003F3F6D">
        <w:rPr>
          <w:rFonts w:ascii="Arial" w:hAnsi="Arial" w:cs="Arial"/>
          <w:lang w:val="es-PE"/>
        </w:rPr>
        <w:t xml:space="preserve"> </w:t>
      </w:r>
      <w:r w:rsidR="00C1352B">
        <w:rPr>
          <w:rFonts w:ascii="Arial" w:hAnsi="Arial" w:cs="Arial"/>
          <w:lang w:val="es-PE"/>
        </w:rPr>
        <w:t xml:space="preserve">las metas </w:t>
      </w:r>
      <w:r w:rsidR="00AE5824">
        <w:rPr>
          <w:rFonts w:ascii="Arial" w:hAnsi="Arial" w:cs="Arial"/>
          <w:lang w:val="es-PE"/>
        </w:rPr>
        <w:t xml:space="preserve">de mitigación del cambio climático </w:t>
      </w:r>
      <w:r w:rsidR="00C1352B">
        <w:rPr>
          <w:rFonts w:ascii="Arial" w:hAnsi="Arial" w:cs="Arial"/>
          <w:lang w:val="es-PE"/>
        </w:rPr>
        <w:t xml:space="preserve">establecidas </w:t>
      </w:r>
      <w:r w:rsidR="00070AB3">
        <w:rPr>
          <w:rFonts w:ascii="Arial" w:hAnsi="Arial" w:cs="Arial"/>
          <w:lang w:val="es-PE"/>
        </w:rPr>
        <w:t>a nivel corporativo</w:t>
      </w:r>
      <w:r w:rsidR="00AE5824">
        <w:rPr>
          <w:rFonts w:ascii="Arial" w:hAnsi="Arial" w:cs="Arial"/>
          <w:lang w:val="es-PE"/>
        </w:rPr>
        <w:t xml:space="preserve"> </w:t>
      </w:r>
      <w:r w:rsidR="00D60EFA">
        <w:rPr>
          <w:rFonts w:ascii="Arial" w:hAnsi="Arial" w:cs="Arial"/>
          <w:lang w:val="es-PE"/>
        </w:rPr>
        <w:t xml:space="preserve">en un corto, mediano y largo plazo; </w:t>
      </w:r>
      <w:r w:rsidR="00AE5824">
        <w:rPr>
          <w:rFonts w:ascii="Arial" w:hAnsi="Arial" w:cs="Arial"/>
          <w:lang w:val="es-PE"/>
        </w:rPr>
        <w:t>y</w:t>
      </w:r>
      <w:r w:rsidR="00447951" w:rsidRPr="003F3F6D">
        <w:rPr>
          <w:rFonts w:ascii="Arial" w:hAnsi="Arial" w:cs="Arial"/>
          <w:lang w:val="es-PE"/>
        </w:rPr>
        <w:t xml:space="preserve"> </w:t>
      </w:r>
      <w:r w:rsidR="00E05816">
        <w:rPr>
          <w:rFonts w:ascii="Arial" w:hAnsi="Arial" w:cs="Arial"/>
          <w:lang w:val="es-PE"/>
        </w:rPr>
        <w:t xml:space="preserve">se </w:t>
      </w:r>
      <w:r w:rsidR="00C209D5">
        <w:rPr>
          <w:rFonts w:ascii="Arial" w:hAnsi="Arial" w:cs="Arial"/>
          <w:lang w:val="es-PE"/>
        </w:rPr>
        <w:t>caracterizarán</w:t>
      </w:r>
      <w:r w:rsidR="00B25513">
        <w:rPr>
          <w:rFonts w:ascii="Arial" w:hAnsi="Arial" w:cs="Arial"/>
          <w:lang w:val="es-PE"/>
        </w:rPr>
        <w:t xml:space="preserve"> </w:t>
      </w:r>
      <w:r w:rsidR="00447951" w:rsidRPr="003F3F6D">
        <w:rPr>
          <w:rFonts w:ascii="Arial" w:hAnsi="Arial" w:cs="Arial"/>
          <w:lang w:val="es-PE"/>
        </w:rPr>
        <w:t>l</w:t>
      </w:r>
      <w:r w:rsidR="00624C6D">
        <w:rPr>
          <w:rFonts w:ascii="Arial" w:hAnsi="Arial" w:cs="Arial"/>
          <w:lang w:val="es-PE"/>
        </w:rPr>
        <w:t>a</w:t>
      </w:r>
      <w:r w:rsidR="00447951" w:rsidRPr="003F3F6D">
        <w:rPr>
          <w:rFonts w:ascii="Arial" w:hAnsi="Arial" w:cs="Arial"/>
          <w:lang w:val="es-PE"/>
        </w:rPr>
        <w:t xml:space="preserve">s acciones de </w:t>
      </w:r>
      <w:r w:rsidR="00AE5824">
        <w:rPr>
          <w:rFonts w:ascii="Arial" w:hAnsi="Arial" w:cs="Arial"/>
          <w:lang w:val="es-PE"/>
        </w:rPr>
        <w:t>descarbonización</w:t>
      </w:r>
      <w:r w:rsidR="00DD4A5E" w:rsidRPr="003F3F6D">
        <w:rPr>
          <w:rFonts w:ascii="Arial" w:hAnsi="Arial" w:cs="Arial"/>
          <w:lang w:val="es-PE"/>
        </w:rPr>
        <w:t xml:space="preserve"> proyectadas</w:t>
      </w:r>
      <w:r w:rsidR="00447951" w:rsidRPr="003F3F6D">
        <w:rPr>
          <w:rFonts w:ascii="Arial" w:hAnsi="Arial" w:cs="Arial"/>
          <w:lang w:val="es-PE"/>
        </w:rPr>
        <w:t xml:space="preserve"> en nuestras </w:t>
      </w:r>
      <w:r w:rsidR="00D60EFA">
        <w:rPr>
          <w:rFonts w:ascii="Arial" w:hAnsi="Arial" w:cs="Arial"/>
          <w:lang w:val="es-PE"/>
        </w:rPr>
        <w:t>operaciones</w:t>
      </w:r>
      <w:r w:rsidR="00447951" w:rsidRPr="003F3F6D">
        <w:rPr>
          <w:rFonts w:ascii="Arial" w:hAnsi="Arial" w:cs="Arial"/>
          <w:lang w:val="es-PE"/>
        </w:rPr>
        <w:t xml:space="preserve"> de Toquepala, Cuajone e Ilo</w:t>
      </w:r>
      <w:r w:rsidR="0097247F">
        <w:rPr>
          <w:rFonts w:ascii="Arial" w:hAnsi="Arial" w:cs="Arial"/>
          <w:lang w:val="es-PE"/>
        </w:rPr>
        <w:t xml:space="preserve"> que buscan alcanzar la meta </w:t>
      </w:r>
      <w:r w:rsidR="00985633">
        <w:rPr>
          <w:rFonts w:ascii="Arial" w:hAnsi="Arial" w:cs="Arial"/>
          <w:lang w:val="es-PE"/>
        </w:rPr>
        <w:t>de mitigación establecida en un corto plazo</w:t>
      </w:r>
      <w:r w:rsidR="00B25513">
        <w:rPr>
          <w:rFonts w:ascii="Arial" w:hAnsi="Arial" w:cs="Arial"/>
          <w:lang w:val="es-PE"/>
        </w:rPr>
        <w:t>.</w:t>
      </w:r>
    </w:p>
    <w:p w14:paraId="326D14EC" w14:textId="2E15F44C" w:rsidR="00A96110" w:rsidRDefault="00FC17DE" w:rsidP="00DD4A5E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 w:rsidRPr="00E64FB7">
        <w:rPr>
          <w:rFonts w:ascii="Arial" w:hAnsi="Arial" w:cs="Arial"/>
          <w:lang w:val="es-PE"/>
        </w:rPr>
        <w:t>A nivel corporativo,</w:t>
      </w:r>
      <w:r w:rsidR="00E64FB7" w:rsidRPr="00E64FB7">
        <w:rPr>
          <w:rFonts w:ascii="Arial" w:hAnsi="Arial" w:cs="Arial"/>
          <w:lang w:val="es-PE"/>
        </w:rPr>
        <w:t xml:space="preserve"> Grupo M</w:t>
      </w:r>
      <w:r w:rsidR="00E64FB7">
        <w:rPr>
          <w:rFonts w:ascii="Arial" w:hAnsi="Arial" w:cs="Arial"/>
          <w:lang w:val="es-PE"/>
        </w:rPr>
        <w:t xml:space="preserve">éxico </w:t>
      </w:r>
      <w:r w:rsidR="008049BE" w:rsidRPr="008049BE">
        <w:rPr>
          <w:rFonts w:ascii="Arial" w:hAnsi="Arial" w:cs="Arial"/>
          <w:lang w:val="es-PE"/>
        </w:rPr>
        <w:t>—</w:t>
      </w:r>
      <w:r w:rsidR="008049BE">
        <w:rPr>
          <w:rFonts w:ascii="Arial" w:hAnsi="Arial" w:cs="Arial"/>
          <w:lang w:val="es-PE"/>
        </w:rPr>
        <w:t>a cuya división minera pertenece Southern Peru</w:t>
      </w:r>
      <w:r w:rsidR="008049BE" w:rsidRPr="008049BE">
        <w:rPr>
          <w:rFonts w:ascii="Arial" w:hAnsi="Arial" w:cs="Arial"/>
          <w:lang w:val="es-PE"/>
        </w:rPr>
        <w:t>—</w:t>
      </w:r>
      <w:r w:rsidR="008049BE">
        <w:rPr>
          <w:rFonts w:ascii="Arial" w:hAnsi="Arial" w:cs="Arial"/>
          <w:lang w:val="es-PE"/>
        </w:rPr>
        <w:t xml:space="preserve"> </w:t>
      </w:r>
      <w:r w:rsidR="00E64FB7">
        <w:rPr>
          <w:rFonts w:ascii="Arial" w:hAnsi="Arial" w:cs="Arial"/>
          <w:lang w:val="es-PE"/>
        </w:rPr>
        <w:t xml:space="preserve">ha </w:t>
      </w:r>
      <w:r w:rsidR="003F6718">
        <w:rPr>
          <w:rFonts w:ascii="Arial" w:hAnsi="Arial" w:cs="Arial"/>
          <w:lang w:val="es-PE"/>
        </w:rPr>
        <w:t xml:space="preserve">definido </w:t>
      </w:r>
      <w:r w:rsidR="00614A14">
        <w:rPr>
          <w:rFonts w:ascii="Arial" w:hAnsi="Arial" w:cs="Arial"/>
          <w:lang w:val="es-PE"/>
        </w:rPr>
        <w:t>su mapa de ruta de reducción de emisiones de gases de efecto invernadero (GEI), basado en los lineamientos de</w:t>
      </w:r>
      <w:r w:rsidR="009745CE">
        <w:rPr>
          <w:rFonts w:ascii="Arial" w:hAnsi="Arial" w:cs="Arial"/>
          <w:lang w:val="es-PE"/>
        </w:rPr>
        <w:t xml:space="preserve"> la Asociación Internacional del Cobre (ICA, por sus siglas en inglés) que se basa en </w:t>
      </w:r>
      <w:r w:rsidR="00A010F8">
        <w:rPr>
          <w:rFonts w:ascii="Arial" w:hAnsi="Arial" w:cs="Arial"/>
          <w:lang w:val="es-PE"/>
        </w:rPr>
        <w:t>la inversión en energía eléctrica renovable, eficiencia energética en las operaciones, electrificación de camiones mineros, soluciones basadas en la naturaleza, sustitución de combustibles en locomotoras y reducción de emisiones en la cadena de valor.</w:t>
      </w:r>
      <w:r w:rsidR="001E1CE2">
        <w:rPr>
          <w:rFonts w:ascii="Arial" w:hAnsi="Arial" w:cs="Arial"/>
          <w:lang w:val="es-PE"/>
        </w:rPr>
        <w:t xml:space="preserve"> Las metas </w:t>
      </w:r>
      <w:r w:rsidR="00544FF2">
        <w:rPr>
          <w:rFonts w:ascii="Arial" w:hAnsi="Arial" w:cs="Arial"/>
          <w:lang w:val="es-PE"/>
        </w:rPr>
        <w:t xml:space="preserve">de reducción de emisiones se establecen en un corto (al 2027), mediano (al 2035) </w:t>
      </w:r>
      <w:r w:rsidR="00544FF2">
        <w:rPr>
          <w:rFonts w:ascii="Arial" w:hAnsi="Arial" w:cs="Arial"/>
          <w:lang w:val="es-PE"/>
        </w:rPr>
        <w:lastRenderedPageBreak/>
        <w:t>y largo plazo (2050)</w:t>
      </w:r>
      <w:r w:rsidR="00546BC3">
        <w:rPr>
          <w:rFonts w:ascii="Arial" w:hAnsi="Arial" w:cs="Arial"/>
          <w:lang w:val="es-PE"/>
        </w:rPr>
        <w:t xml:space="preserve">, considerando en un corto plazo </w:t>
      </w:r>
      <w:r w:rsidR="001D648A">
        <w:rPr>
          <w:rFonts w:ascii="Arial" w:hAnsi="Arial" w:cs="Arial"/>
          <w:lang w:val="es-PE"/>
        </w:rPr>
        <w:t xml:space="preserve">proyectos enfocados a la eficiencia energética y el uso de energías renovables; </w:t>
      </w:r>
      <w:r w:rsidR="00546BC3">
        <w:rPr>
          <w:rFonts w:ascii="Arial" w:hAnsi="Arial" w:cs="Arial"/>
          <w:lang w:val="es-PE"/>
        </w:rPr>
        <w:t>y en un mediano y largo plazo, el estado de la madurez en el que se encuentren las tecnologías relacionadas a la electrificación de volquetes de acarreo y locomoto</w:t>
      </w:r>
      <w:r w:rsidR="00DB6AF8">
        <w:rPr>
          <w:rFonts w:ascii="Arial" w:hAnsi="Arial" w:cs="Arial"/>
          <w:lang w:val="es-PE"/>
        </w:rPr>
        <w:t>ras de ferrocarril, la sustitución de combustibles derivados del petróleo por combustibles</w:t>
      </w:r>
      <w:r w:rsidR="00B543CB">
        <w:rPr>
          <w:rFonts w:ascii="Arial" w:hAnsi="Arial" w:cs="Arial"/>
          <w:lang w:val="es-PE"/>
        </w:rPr>
        <w:t xml:space="preserve"> alternativos </w:t>
      </w:r>
      <w:r w:rsidR="001D648A">
        <w:rPr>
          <w:rFonts w:ascii="Arial" w:hAnsi="Arial" w:cs="Arial"/>
          <w:lang w:val="es-PE"/>
        </w:rPr>
        <w:t>como el hidrógeno.</w:t>
      </w:r>
    </w:p>
    <w:p w14:paraId="0FEB4244" w14:textId="5AD49DCC" w:rsidR="00A36A2A" w:rsidRDefault="00467DEC" w:rsidP="00DD4A5E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 w:rsidRPr="00467DEC">
        <w:rPr>
          <w:rFonts w:ascii="Arial" w:hAnsi="Arial" w:cs="Arial"/>
          <w:lang w:val="es-PE"/>
        </w:rPr>
        <w:t>En Southern Peru, se proyec</w:t>
      </w:r>
      <w:r>
        <w:rPr>
          <w:rFonts w:ascii="Arial" w:hAnsi="Arial" w:cs="Arial"/>
          <w:lang w:val="es-PE"/>
        </w:rPr>
        <w:t>tan las siguientes acciones para alcanzar la meta de reducción de emisiones de GEI en un corto plazo, al año 2027</w:t>
      </w:r>
      <w:r w:rsidR="006E58F5">
        <w:rPr>
          <w:rFonts w:ascii="Arial" w:hAnsi="Arial" w:cs="Arial"/>
          <w:lang w:val="es-PE"/>
        </w:rPr>
        <w:t xml:space="preserve"> / 2028</w:t>
      </w:r>
      <w:r>
        <w:rPr>
          <w:rFonts w:ascii="Arial" w:hAnsi="Arial" w:cs="Arial"/>
          <w:lang w:val="es-PE"/>
        </w:rPr>
        <w:t>:</w:t>
      </w:r>
    </w:p>
    <w:p w14:paraId="44F22CD4" w14:textId="5B2D171F" w:rsidR="006309A0" w:rsidRPr="001F3FCB" w:rsidRDefault="001F3FCB" w:rsidP="006309A0">
      <w:pPr>
        <w:pStyle w:val="ListParagraph"/>
        <w:numPr>
          <w:ilvl w:val="1"/>
          <w:numId w:val="5"/>
        </w:numPr>
        <w:spacing w:before="120" w:after="0" w:line="360" w:lineRule="auto"/>
        <w:ind w:left="810"/>
        <w:jc w:val="both"/>
        <w:rPr>
          <w:rFonts w:ascii="Arial" w:hAnsi="Arial" w:cs="Arial"/>
          <w:lang w:val="es-PE"/>
        </w:rPr>
      </w:pPr>
      <w:r w:rsidRPr="001F3FCB">
        <w:rPr>
          <w:rFonts w:ascii="Arial" w:hAnsi="Arial" w:cs="Arial"/>
          <w:b/>
          <w:bCs/>
          <w:lang w:val="es-PE"/>
        </w:rPr>
        <w:t>Cambio de matriz energética en Fundición y Refinería</w:t>
      </w:r>
      <w:r w:rsidRPr="001F3FCB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mediante</w:t>
      </w:r>
      <w:r w:rsidR="006309A0" w:rsidRPr="001F3FCB">
        <w:rPr>
          <w:rFonts w:ascii="Arial" w:hAnsi="Arial" w:cs="Arial"/>
          <w:lang w:val="es-PE"/>
        </w:rPr>
        <w:t xml:space="preserve"> el reemplazo parcial del consumo de Petróleo Industrial 500, Diesel 2 y GLP por Gas Natural en los consumos operativos de la Fundición de cobre (hornos y equipos auxiliares), y en la Refinería de cobre (hornos y calderos).</w:t>
      </w:r>
    </w:p>
    <w:p w14:paraId="1BE7F462" w14:textId="2EFFB725" w:rsidR="006309A0" w:rsidRDefault="006309A0" w:rsidP="00635FE0">
      <w:pPr>
        <w:spacing w:after="0" w:line="360" w:lineRule="auto"/>
        <w:ind w:left="810"/>
        <w:contextualSpacing/>
        <w:jc w:val="both"/>
        <w:rPr>
          <w:rFonts w:ascii="Arial" w:hAnsi="Arial" w:cs="Arial"/>
          <w:lang w:val="es-PE"/>
        </w:rPr>
      </w:pPr>
      <w:r w:rsidRPr="003F3F6D">
        <w:rPr>
          <w:rFonts w:ascii="Arial" w:hAnsi="Arial" w:cs="Arial"/>
          <w:lang w:val="es-PE"/>
        </w:rPr>
        <w:t>Este proyecto co</w:t>
      </w:r>
      <w:r w:rsidR="00635FE0" w:rsidRPr="003F3F6D">
        <w:rPr>
          <w:rFonts w:ascii="Arial" w:hAnsi="Arial" w:cs="Arial"/>
          <w:lang w:val="es-PE"/>
        </w:rPr>
        <w:t>mprende ventajas operativas, económicas y ambientales</w:t>
      </w:r>
      <w:r w:rsidRPr="003F3F6D">
        <w:rPr>
          <w:rFonts w:ascii="Arial" w:hAnsi="Arial" w:cs="Arial"/>
          <w:lang w:val="es-PE"/>
        </w:rPr>
        <w:t xml:space="preserve">, logrando una reducción estimada de </w:t>
      </w:r>
      <w:r w:rsidR="007358FF">
        <w:rPr>
          <w:rFonts w:ascii="Arial" w:hAnsi="Arial" w:cs="Arial"/>
          <w:lang w:val="es-PE"/>
        </w:rPr>
        <w:t>22 548</w:t>
      </w:r>
      <w:r w:rsidRPr="003F3F6D">
        <w:rPr>
          <w:rFonts w:ascii="Arial" w:hAnsi="Arial" w:cs="Arial"/>
          <w:lang w:val="es-PE"/>
        </w:rPr>
        <w:t xml:space="preserve"> toneladas de CO</w:t>
      </w:r>
      <w:r w:rsidRPr="003F3F6D">
        <w:rPr>
          <w:rFonts w:ascii="Cambria Math" w:hAnsi="Cambria Math" w:cs="Cambria Math"/>
          <w:lang w:val="es-PE"/>
        </w:rPr>
        <w:t>₂</w:t>
      </w:r>
      <w:r w:rsidRPr="003F3F6D">
        <w:rPr>
          <w:rFonts w:ascii="Arial" w:hAnsi="Arial" w:cs="Arial"/>
          <w:lang w:val="es-PE"/>
        </w:rPr>
        <w:t>eq/año</w:t>
      </w:r>
      <w:r w:rsidR="000E589C">
        <w:rPr>
          <w:rFonts w:ascii="Arial" w:hAnsi="Arial" w:cs="Arial"/>
          <w:lang w:val="es-PE"/>
        </w:rPr>
        <w:t>, de las emisiones de GEI de alcance 1</w:t>
      </w:r>
      <w:r w:rsidRPr="003F3F6D">
        <w:rPr>
          <w:rFonts w:ascii="Arial" w:hAnsi="Arial" w:cs="Arial"/>
          <w:lang w:val="es-PE"/>
        </w:rPr>
        <w:t>.</w:t>
      </w:r>
    </w:p>
    <w:p w14:paraId="01D067B9" w14:textId="6CB89041" w:rsidR="007358FF" w:rsidRPr="009A0151" w:rsidRDefault="007358FF" w:rsidP="007358FF">
      <w:pPr>
        <w:pStyle w:val="ListParagraph"/>
        <w:numPr>
          <w:ilvl w:val="1"/>
          <w:numId w:val="5"/>
        </w:numPr>
        <w:spacing w:before="120" w:after="0" w:line="360" w:lineRule="auto"/>
        <w:ind w:left="81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 xml:space="preserve">Cogeneración </w:t>
      </w:r>
      <w:r w:rsidR="00CB712D">
        <w:rPr>
          <w:rFonts w:ascii="Arial" w:hAnsi="Arial" w:cs="Arial"/>
          <w:b/>
          <w:bCs/>
          <w:lang w:val="es-PE"/>
        </w:rPr>
        <w:t>empleando vapor saturado en Fundición</w:t>
      </w:r>
      <w:r w:rsidR="00CB712D">
        <w:rPr>
          <w:rFonts w:ascii="Arial" w:hAnsi="Arial" w:cs="Arial"/>
          <w:lang w:val="es-PE"/>
        </w:rPr>
        <w:t xml:space="preserve">, </w:t>
      </w:r>
      <w:r w:rsidR="00B028D8">
        <w:rPr>
          <w:rFonts w:ascii="Arial" w:hAnsi="Arial" w:cs="Arial"/>
          <w:lang w:val="es-PE"/>
        </w:rPr>
        <w:t xml:space="preserve">que proyecta implementar un sistema </w:t>
      </w:r>
      <w:r w:rsidR="002D0DA9">
        <w:rPr>
          <w:rFonts w:ascii="Arial" w:hAnsi="Arial" w:cs="Arial"/>
          <w:lang w:val="es-PE"/>
        </w:rPr>
        <w:t>de generación de energía eléctrica</w:t>
      </w:r>
      <w:r w:rsidR="00B87BC5">
        <w:rPr>
          <w:rFonts w:ascii="Arial" w:hAnsi="Arial" w:cs="Arial"/>
          <w:lang w:val="es-PE"/>
        </w:rPr>
        <w:t xml:space="preserve"> </w:t>
      </w:r>
      <w:r w:rsidR="00B87BC5" w:rsidRPr="008049BE">
        <w:rPr>
          <w:rFonts w:ascii="Arial" w:hAnsi="Arial" w:cs="Arial"/>
          <w:lang w:val="es-PE"/>
        </w:rPr>
        <w:t>—</w:t>
      </w:r>
      <w:r w:rsidR="00B87BC5">
        <w:rPr>
          <w:rFonts w:ascii="Arial" w:hAnsi="Arial" w:cs="Arial"/>
          <w:lang w:val="es-PE"/>
        </w:rPr>
        <w:t>en modalidad de autoconsumo</w:t>
      </w:r>
      <w:r w:rsidR="00B87BC5" w:rsidRPr="008049BE">
        <w:rPr>
          <w:rFonts w:ascii="Arial" w:hAnsi="Arial" w:cs="Arial"/>
          <w:lang w:val="es-PE"/>
        </w:rPr>
        <w:t>—</w:t>
      </w:r>
      <w:r w:rsidR="002D0DA9">
        <w:rPr>
          <w:rFonts w:ascii="Arial" w:hAnsi="Arial" w:cs="Arial"/>
          <w:lang w:val="es-PE"/>
        </w:rPr>
        <w:t xml:space="preserve"> a través de una turbina y equipos auxiliares; a</w:t>
      </w:r>
      <w:r w:rsidR="00B028D8">
        <w:rPr>
          <w:rFonts w:ascii="Arial" w:hAnsi="Arial" w:cs="Arial"/>
          <w:lang w:val="es-PE"/>
        </w:rPr>
        <w:t>provech</w:t>
      </w:r>
      <w:r w:rsidR="002D0DA9">
        <w:rPr>
          <w:rFonts w:ascii="Arial" w:hAnsi="Arial" w:cs="Arial"/>
          <w:lang w:val="es-PE"/>
        </w:rPr>
        <w:t xml:space="preserve">ando </w:t>
      </w:r>
      <w:r w:rsidR="00341078">
        <w:rPr>
          <w:rFonts w:ascii="Arial" w:hAnsi="Arial" w:cs="Arial"/>
          <w:lang w:val="es-PE"/>
        </w:rPr>
        <w:t>la energía presente en el</w:t>
      </w:r>
      <w:r w:rsidR="00B028D8">
        <w:rPr>
          <w:rFonts w:ascii="Arial" w:hAnsi="Arial" w:cs="Arial"/>
          <w:lang w:val="es-PE"/>
        </w:rPr>
        <w:t xml:space="preserve"> </w:t>
      </w:r>
      <w:r w:rsidR="00C3418A" w:rsidRPr="00CF01CB">
        <w:rPr>
          <w:rFonts w:ascii="Arial" w:eastAsia="Times New Roman" w:hAnsi="Arial" w:cs="Times New Roman"/>
          <w:snapToGrid w:val="0"/>
          <w:szCs w:val="20"/>
          <w:lang w:val="es-ES"/>
        </w:rPr>
        <w:t xml:space="preserve">vapor </w:t>
      </w:r>
      <w:r w:rsidR="00C3418A">
        <w:rPr>
          <w:rFonts w:ascii="Arial" w:eastAsia="Times New Roman" w:hAnsi="Arial" w:cs="Times New Roman"/>
          <w:snapToGrid w:val="0"/>
          <w:szCs w:val="20"/>
          <w:lang w:val="es-ES"/>
        </w:rPr>
        <w:t xml:space="preserve">saturado que se genera en el caldero de </w:t>
      </w:r>
      <w:r w:rsidR="00992F80">
        <w:rPr>
          <w:rFonts w:ascii="Arial" w:eastAsia="Times New Roman" w:hAnsi="Arial" w:cs="Times New Roman"/>
          <w:snapToGrid w:val="0"/>
          <w:szCs w:val="20"/>
          <w:lang w:val="es-ES"/>
        </w:rPr>
        <w:t>calor resi</w:t>
      </w:r>
      <w:r w:rsidR="00265FA3">
        <w:rPr>
          <w:rFonts w:ascii="Arial" w:eastAsia="Times New Roman" w:hAnsi="Arial" w:cs="Times New Roman"/>
          <w:snapToGrid w:val="0"/>
          <w:szCs w:val="20"/>
          <w:lang w:val="es-ES"/>
        </w:rPr>
        <w:t xml:space="preserve">dual </w:t>
      </w:r>
      <w:r w:rsidR="005F1437">
        <w:rPr>
          <w:rFonts w:ascii="Arial" w:eastAsia="Times New Roman" w:hAnsi="Arial" w:cs="Times New Roman"/>
          <w:snapToGrid w:val="0"/>
          <w:szCs w:val="20"/>
          <w:lang w:val="es-ES"/>
        </w:rPr>
        <w:t>que enfría los gases del proceso del horno Isasmelt de Fundici</w:t>
      </w:r>
      <w:r w:rsidR="009C4286">
        <w:rPr>
          <w:rFonts w:ascii="Arial" w:eastAsia="Times New Roman" w:hAnsi="Arial" w:cs="Times New Roman"/>
          <w:snapToGrid w:val="0"/>
          <w:szCs w:val="20"/>
          <w:lang w:val="es-ES"/>
        </w:rPr>
        <w:t>ón</w:t>
      </w:r>
      <w:r w:rsidR="00341078">
        <w:rPr>
          <w:rFonts w:ascii="Arial" w:eastAsia="Times New Roman" w:hAnsi="Arial" w:cs="Times New Roman"/>
          <w:snapToGrid w:val="0"/>
          <w:szCs w:val="20"/>
          <w:lang w:val="es-ES"/>
        </w:rPr>
        <w:t>, que posteriormente son conducidos a las plantas de ácido sulfúrico</w:t>
      </w:r>
      <w:r w:rsidR="009C4286">
        <w:rPr>
          <w:rFonts w:ascii="Arial" w:eastAsia="Times New Roman" w:hAnsi="Arial" w:cs="Times New Roman"/>
          <w:snapToGrid w:val="0"/>
          <w:szCs w:val="20"/>
          <w:lang w:val="es-ES"/>
        </w:rPr>
        <w:t>.</w:t>
      </w:r>
    </w:p>
    <w:p w14:paraId="0D105586" w14:textId="07F0A711" w:rsidR="009A0151" w:rsidRPr="009A0151" w:rsidRDefault="00341078" w:rsidP="009A0151">
      <w:pPr>
        <w:pStyle w:val="ListParagraph"/>
        <w:spacing w:before="120" w:after="0" w:line="360" w:lineRule="auto"/>
        <w:ind w:left="81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Este proyecto</w:t>
      </w:r>
      <w:r w:rsidR="009035C3">
        <w:rPr>
          <w:rFonts w:ascii="Arial" w:hAnsi="Arial" w:cs="Arial"/>
          <w:lang w:val="es-PE"/>
        </w:rPr>
        <w:t xml:space="preserve"> lograría una reducción estimada de 20 759</w:t>
      </w:r>
      <w:r w:rsidR="00143646">
        <w:rPr>
          <w:rFonts w:ascii="Arial" w:hAnsi="Arial" w:cs="Arial"/>
          <w:lang w:val="es-PE"/>
        </w:rPr>
        <w:t xml:space="preserve"> </w:t>
      </w:r>
      <w:r w:rsidR="000E589C" w:rsidRPr="003F3F6D">
        <w:rPr>
          <w:rFonts w:ascii="Arial" w:hAnsi="Arial" w:cs="Arial"/>
          <w:lang w:val="es-PE"/>
        </w:rPr>
        <w:t>toneladas de CO</w:t>
      </w:r>
      <w:r w:rsidR="000E589C" w:rsidRPr="003F3F6D">
        <w:rPr>
          <w:rFonts w:ascii="Cambria Math" w:hAnsi="Cambria Math" w:cs="Cambria Math"/>
          <w:lang w:val="es-PE"/>
        </w:rPr>
        <w:t>₂</w:t>
      </w:r>
      <w:r w:rsidR="000E589C" w:rsidRPr="003F3F6D">
        <w:rPr>
          <w:rFonts w:ascii="Arial" w:hAnsi="Arial" w:cs="Arial"/>
          <w:lang w:val="es-PE"/>
        </w:rPr>
        <w:t>eq/año</w:t>
      </w:r>
      <w:r w:rsidR="000E589C">
        <w:rPr>
          <w:rFonts w:ascii="Arial" w:hAnsi="Arial" w:cs="Arial"/>
          <w:lang w:val="es-PE"/>
        </w:rPr>
        <w:t>, de las emisiones de GEI de alcance 2.</w:t>
      </w:r>
    </w:p>
    <w:p w14:paraId="0ED076DD" w14:textId="77777777" w:rsidR="00E73407" w:rsidRDefault="00F179A2" w:rsidP="007358FF">
      <w:pPr>
        <w:pStyle w:val="ListParagraph"/>
        <w:numPr>
          <w:ilvl w:val="1"/>
          <w:numId w:val="5"/>
        </w:numPr>
        <w:spacing w:before="120" w:after="0" w:line="360" w:lineRule="auto"/>
        <w:ind w:left="81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Central Solar Fotovoltaica Quebrada Honda</w:t>
      </w:r>
      <w:r>
        <w:rPr>
          <w:rFonts w:ascii="Arial" w:hAnsi="Arial" w:cs="Arial"/>
          <w:lang w:val="es-PE"/>
        </w:rPr>
        <w:t xml:space="preserve">, </w:t>
      </w:r>
      <w:r w:rsidR="00446149">
        <w:rPr>
          <w:rFonts w:ascii="Arial" w:hAnsi="Arial" w:cs="Arial"/>
          <w:lang w:val="es-PE"/>
        </w:rPr>
        <w:t>para la generación de energía eléctrica</w:t>
      </w:r>
      <w:r w:rsidR="00B87BC5">
        <w:rPr>
          <w:rFonts w:ascii="Arial" w:hAnsi="Arial" w:cs="Arial"/>
          <w:lang w:val="es-PE"/>
        </w:rPr>
        <w:t xml:space="preserve"> </w:t>
      </w:r>
      <w:r w:rsidR="00B87BC5" w:rsidRPr="008049BE">
        <w:rPr>
          <w:rFonts w:ascii="Arial" w:hAnsi="Arial" w:cs="Arial"/>
          <w:lang w:val="es-PE"/>
        </w:rPr>
        <w:t>—</w:t>
      </w:r>
      <w:r w:rsidR="00B87BC5">
        <w:rPr>
          <w:rFonts w:ascii="Arial" w:hAnsi="Arial" w:cs="Arial"/>
          <w:lang w:val="es-PE"/>
        </w:rPr>
        <w:t>en modalidad de autoconsumo</w:t>
      </w:r>
      <w:r w:rsidR="00B87BC5" w:rsidRPr="008049BE">
        <w:rPr>
          <w:rFonts w:ascii="Arial" w:hAnsi="Arial" w:cs="Arial"/>
          <w:lang w:val="es-PE"/>
        </w:rPr>
        <w:t>—</w:t>
      </w:r>
      <w:r w:rsidR="001D043B">
        <w:rPr>
          <w:rFonts w:ascii="Arial" w:hAnsi="Arial" w:cs="Arial"/>
          <w:lang w:val="es-PE"/>
        </w:rPr>
        <w:t xml:space="preserve"> en un área ubicada en las inmediaciones del depósito de relaves de Quebrada Honda, </w:t>
      </w:r>
      <w:r w:rsidR="00D04F33">
        <w:rPr>
          <w:rFonts w:ascii="Arial" w:hAnsi="Arial" w:cs="Arial"/>
          <w:lang w:val="es-PE"/>
        </w:rPr>
        <w:t>a través de una serie de módulos fotovoltaicos que se encargarán de transformar</w:t>
      </w:r>
      <w:r w:rsidR="00950378">
        <w:rPr>
          <w:rFonts w:ascii="Arial" w:hAnsi="Arial" w:cs="Arial"/>
          <w:lang w:val="es-PE"/>
        </w:rPr>
        <w:t xml:space="preserve"> la energía solar en energía eléctrica generando una corriente continua proporcional a la irradiancia solar, </w:t>
      </w:r>
      <w:r w:rsidR="00E73407">
        <w:rPr>
          <w:rFonts w:ascii="Arial" w:hAnsi="Arial" w:cs="Arial"/>
          <w:lang w:val="es-PE"/>
        </w:rPr>
        <w:t>que en la zona geográfica del proyecto es considerablemente alta, por lo cual es una zona óptima para la instalación de una central solar fotovoltaica.</w:t>
      </w:r>
    </w:p>
    <w:p w14:paraId="6E6CA618" w14:textId="0A2E015D" w:rsidR="00E73407" w:rsidRPr="00377A7E" w:rsidRDefault="00E73407" w:rsidP="00377A7E">
      <w:pPr>
        <w:pStyle w:val="ListParagraph"/>
        <w:spacing w:before="120" w:after="0" w:line="360" w:lineRule="auto"/>
        <w:ind w:left="851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Este proyecto lograría una reducción estimada de </w:t>
      </w:r>
      <w:r w:rsidR="00377A7E">
        <w:rPr>
          <w:rFonts w:ascii="Arial" w:hAnsi="Arial" w:cs="Arial"/>
          <w:lang w:val="es-PE"/>
        </w:rPr>
        <w:t>93</w:t>
      </w:r>
      <w:r>
        <w:rPr>
          <w:rFonts w:ascii="Arial" w:hAnsi="Arial" w:cs="Arial"/>
          <w:lang w:val="es-PE"/>
        </w:rPr>
        <w:t xml:space="preserve"> </w:t>
      </w:r>
      <w:r w:rsidR="00377A7E">
        <w:rPr>
          <w:rFonts w:ascii="Arial" w:hAnsi="Arial" w:cs="Arial"/>
          <w:lang w:val="es-PE"/>
        </w:rPr>
        <w:t>561</w:t>
      </w:r>
      <w:r>
        <w:rPr>
          <w:rFonts w:ascii="Arial" w:hAnsi="Arial" w:cs="Arial"/>
          <w:lang w:val="es-PE"/>
        </w:rPr>
        <w:t xml:space="preserve"> </w:t>
      </w:r>
      <w:r w:rsidRPr="003F3F6D">
        <w:rPr>
          <w:rFonts w:ascii="Arial" w:hAnsi="Arial" w:cs="Arial"/>
          <w:lang w:val="es-PE"/>
        </w:rPr>
        <w:t>toneladas de CO</w:t>
      </w:r>
      <w:r w:rsidRPr="003F3F6D">
        <w:rPr>
          <w:rFonts w:ascii="Cambria Math" w:hAnsi="Cambria Math" w:cs="Cambria Math"/>
          <w:lang w:val="es-PE"/>
        </w:rPr>
        <w:t>₂</w:t>
      </w:r>
      <w:r w:rsidRPr="003F3F6D">
        <w:rPr>
          <w:rFonts w:ascii="Arial" w:hAnsi="Arial" w:cs="Arial"/>
          <w:lang w:val="es-PE"/>
        </w:rPr>
        <w:t>eq/año</w:t>
      </w:r>
      <w:r>
        <w:rPr>
          <w:rFonts w:ascii="Arial" w:hAnsi="Arial" w:cs="Arial"/>
          <w:lang w:val="es-PE"/>
        </w:rPr>
        <w:t>, de las emisiones de GEI de alcance 2.</w:t>
      </w:r>
    </w:p>
    <w:p w14:paraId="0A1123F8" w14:textId="534C23CC" w:rsidR="009A0151" w:rsidRPr="00412F22" w:rsidRDefault="00377A7E" w:rsidP="007358FF">
      <w:pPr>
        <w:pStyle w:val="ListParagraph"/>
        <w:numPr>
          <w:ilvl w:val="1"/>
          <w:numId w:val="5"/>
        </w:numPr>
        <w:spacing w:before="120" w:after="0" w:line="360" w:lineRule="auto"/>
        <w:ind w:left="81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 xml:space="preserve">Planta Termosolar para la planta LESDE, </w:t>
      </w:r>
      <w:r w:rsidR="00412F22">
        <w:rPr>
          <w:rFonts w:ascii="Arial" w:hAnsi="Arial" w:cs="Arial"/>
          <w:lang w:val="es-PE"/>
        </w:rPr>
        <w:t xml:space="preserve">mediante el reemplazo parcial del consumo de Petróleo Industrial 500 y Diésel 2 en los calderos de generación de vapor, por la implementación de </w:t>
      </w:r>
      <w:r w:rsidR="00412F22" w:rsidRPr="00412F22">
        <w:rPr>
          <w:rFonts w:ascii="Arial" w:hAnsi="Arial" w:cs="Arial"/>
          <w:lang w:val="es-PE"/>
        </w:rPr>
        <w:t xml:space="preserve">colectores solares </w:t>
      </w:r>
      <w:r w:rsidR="00F65BD3" w:rsidRPr="00F65BD3">
        <w:rPr>
          <w:rFonts w:ascii="Arial" w:hAnsi="Arial" w:cs="Arial"/>
          <w:lang w:val="es-PE"/>
        </w:rPr>
        <w:t>para la generación de vapor y agua caliente, inclusive en meses de mayor cobertura nubosa y durante las noches, gracias al almacenamiento térmico del sistema</w:t>
      </w:r>
      <w:r w:rsidR="00F65BD3">
        <w:rPr>
          <w:rFonts w:ascii="Arial" w:hAnsi="Arial" w:cs="Arial"/>
          <w:lang w:val="es-PE"/>
        </w:rPr>
        <w:t xml:space="preserve"> proyectado</w:t>
      </w:r>
      <w:r w:rsidR="00F65BD3" w:rsidRPr="00F65BD3">
        <w:rPr>
          <w:rFonts w:ascii="Arial" w:hAnsi="Arial" w:cs="Arial"/>
          <w:lang w:val="es-PE"/>
        </w:rPr>
        <w:t>.</w:t>
      </w:r>
      <w:r w:rsidR="00F65BD3">
        <w:rPr>
          <w:rFonts w:ascii="Arial" w:hAnsi="Arial" w:cs="Arial"/>
          <w:lang w:val="es-PE"/>
        </w:rPr>
        <w:t xml:space="preserve"> La ubicación geográfica </w:t>
      </w:r>
      <w:r w:rsidR="00F65BD3">
        <w:rPr>
          <w:rFonts w:ascii="Arial" w:hAnsi="Arial" w:cs="Arial"/>
          <w:lang w:val="es-PE"/>
        </w:rPr>
        <w:lastRenderedPageBreak/>
        <w:t xml:space="preserve">de </w:t>
      </w:r>
      <w:r w:rsidR="00412F22" w:rsidRPr="00412F22">
        <w:rPr>
          <w:rFonts w:ascii="Arial" w:hAnsi="Arial" w:cs="Arial"/>
          <w:lang w:val="es-PE"/>
        </w:rPr>
        <w:t xml:space="preserve">Toquepala </w:t>
      </w:r>
      <w:r w:rsidR="00F65BD3">
        <w:rPr>
          <w:rFonts w:ascii="Arial" w:hAnsi="Arial" w:cs="Arial"/>
          <w:lang w:val="es-PE"/>
        </w:rPr>
        <w:t xml:space="preserve">es propicia para aplicar esta tecnología, </w:t>
      </w:r>
      <w:r w:rsidR="00412F22" w:rsidRPr="00412F22">
        <w:rPr>
          <w:rFonts w:ascii="Arial" w:hAnsi="Arial" w:cs="Arial"/>
          <w:lang w:val="es-PE"/>
        </w:rPr>
        <w:t>por los niveles de radiación</w:t>
      </w:r>
      <w:r w:rsidR="00F65BD3">
        <w:rPr>
          <w:rFonts w:ascii="Arial" w:hAnsi="Arial" w:cs="Arial"/>
          <w:lang w:val="es-PE"/>
        </w:rPr>
        <w:t xml:space="preserve"> alcanzados.</w:t>
      </w:r>
    </w:p>
    <w:p w14:paraId="73A60877" w14:textId="6734DDE0" w:rsidR="00F179A2" w:rsidRDefault="00F65BD3" w:rsidP="001855A7">
      <w:pPr>
        <w:pStyle w:val="ListParagraph"/>
        <w:spacing w:before="120" w:after="0" w:line="360" w:lineRule="auto"/>
        <w:ind w:left="851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Este proyecto lograría una reducción estimada de </w:t>
      </w:r>
      <w:r w:rsidR="00A16BA3">
        <w:rPr>
          <w:rFonts w:ascii="Arial" w:hAnsi="Arial" w:cs="Arial"/>
          <w:lang w:val="es-PE"/>
        </w:rPr>
        <w:t xml:space="preserve">4 803 </w:t>
      </w:r>
      <w:r w:rsidRPr="003F3F6D">
        <w:rPr>
          <w:rFonts w:ascii="Arial" w:hAnsi="Arial" w:cs="Arial"/>
          <w:lang w:val="es-PE"/>
        </w:rPr>
        <w:t>toneladas de CO</w:t>
      </w:r>
      <w:r w:rsidRPr="003F3F6D">
        <w:rPr>
          <w:rFonts w:ascii="Cambria Math" w:hAnsi="Cambria Math" w:cs="Cambria Math"/>
          <w:lang w:val="es-PE"/>
        </w:rPr>
        <w:t>₂</w:t>
      </w:r>
      <w:r w:rsidRPr="003F3F6D">
        <w:rPr>
          <w:rFonts w:ascii="Arial" w:hAnsi="Arial" w:cs="Arial"/>
          <w:lang w:val="es-PE"/>
        </w:rPr>
        <w:t>eq/año</w:t>
      </w:r>
      <w:r>
        <w:rPr>
          <w:rFonts w:ascii="Arial" w:hAnsi="Arial" w:cs="Arial"/>
          <w:lang w:val="es-PE"/>
        </w:rPr>
        <w:t xml:space="preserve">, de las emisiones de GEI de alcance </w:t>
      </w:r>
      <w:r w:rsidR="00A16BA3">
        <w:rPr>
          <w:rFonts w:ascii="Arial" w:hAnsi="Arial" w:cs="Arial"/>
          <w:lang w:val="es-PE"/>
        </w:rPr>
        <w:t>1</w:t>
      </w:r>
      <w:r>
        <w:rPr>
          <w:rFonts w:ascii="Arial" w:hAnsi="Arial" w:cs="Arial"/>
          <w:lang w:val="es-PE"/>
        </w:rPr>
        <w:t>.</w:t>
      </w:r>
    </w:p>
    <w:p w14:paraId="62BEFBDD" w14:textId="57ABB5BD" w:rsidR="00C41442" w:rsidRDefault="006E58F5" w:rsidP="00C41442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Todos estos esfuerzos cuenta</w:t>
      </w:r>
      <w:r w:rsidR="004035C4">
        <w:rPr>
          <w:rFonts w:ascii="Arial" w:hAnsi="Arial" w:cs="Arial"/>
          <w:lang w:val="es-PE"/>
        </w:rPr>
        <w:t>n</w:t>
      </w:r>
      <w:r>
        <w:rPr>
          <w:rFonts w:ascii="Arial" w:hAnsi="Arial" w:cs="Arial"/>
          <w:lang w:val="es-PE"/>
        </w:rPr>
        <w:t xml:space="preserve"> con una </w:t>
      </w:r>
      <w:r w:rsidR="004035C4">
        <w:rPr>
          <w:rFonts w:ascii="Arial" w:hAnsi="Arial" w:cs="Arial"/>
          <w:lang w:val="es-PE"/>
        </w:rPr>
        <w:t>ingeniería</w:t>
      </w:r>
      <w:r>
        <w:rPr>
          <w:rFonts w:ascii="Arial" w:hAnsi="Arial" w:cs="Arial"/>
          <w:lang w:val="es-PE"/>
        </w:rPr>
        <w:t xml:space="preserve"> de factibilidad desarrollada, estando algunos de ellos en etapa de construcción. </w:t>
      </w:r>
      <w:r w:rsidR="00C41442">
        <w:rPr>
          <w:rFonts w:ascii="Arial" w:hAnsi="Arial" w:cs="Arial"/>
          <w:lang w:val="es-PE"/>
        </w:rPr>
        <w:t xml:space="preserve">La reducción en las emisiones de GEI de Southern Peru de alcance 1 y 2 </w:t>
      </w:r>
      <w:r w:rsidR="00281F15">
        <w:rPr>
          <w:rFonts w:ascii="Arial" w:hAnsi="Arial" w:cs="Arial"/>
          <w:lang w:val="es-PE"/>
        </w:rPr>
        <w:t xml:space="preserve">por la implementación de los cuatro (04) proyectos en una meta de corto plazo al año 2027, </w:t>
      </w:r>
      <w:r w:rsidR="00C41442">
        <w:rPr>
          <w:rFonts w:ascii="Arial" w:hAnsi="Arial" w:cs="Arial"/>
          <w:lang w:val="es-PE"/>
        </w:rPr>
        <w:t>se muestran en la siguiente gráfica</w:t>
      </w:r>
      <w:r w:rsidR="00281F15">
        <w:rPr>
          <w:rFonts w:ascii="Arial" w:hAnsi="Arial" w:cs="Arial"/>
          <w:lang w:val="es-PE"/>
        </w:rPr>
        <w:t>:</w:t>
      </w:r>
    </w:p>
    <w:p w14:paraId="4696E721" w14:textId="7715A6F6" w:rsidR="00281F15" w:rsidRDefault="00281F15" w:rsidP="00C41442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>
        <w:rPr>
          <w:noProof/>
          <w:lang w:val="es-MX" w:eastAsia="es-MX"/>
        </w:rPr>
        <mc:AlternateContent>
          <mc:Choice Requires="cx1">
            <w:drawing>
              <wp:inline distT="0" distB="0" distL="0" distR="0" wp14:anchorId="14B33444" wp14:editId="39E8C2C9">
                <wp:extent cx="5727838" cy="5120640"/>
                <wp:effectExtent l="0" t="0" r="6350" b="3810"/>
                <wp:docPr id="186820730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7E3FE9-31AC-4AA5-AE26-746A7DC7BF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14B33444" wp14:editId="39E8C2C9">
                <wp:extent cx="5727838" cy="5120640"/>
                <wp:effectExtent l="0" t="0" r="6350" b="3810"/>
                <wp:docPr id="186820730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7E3FE9-31AC-4AA5-AE26-746A7DC7BF2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8207301" name="Chart 1">
                          <a:extLst>
                            <a:ext uri="{FF2B5EF4-FFF2-40B4-BE49-F238E27FC236}">
                              <a16:creationId xmlns:a16="http://schemas.microsoft.com/office/drawing/2014/main" id="{2A7E3FE9-31AC-4AA5-AE26-746A7DC7BF2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7700" cy="512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47C363E" w14:textId="23987B92" w:rsidR="00281F15" w:rsidRPr="00C41442" w:rsidRDefault="00AE2EC9" w:rsidP="00C41442">
      <w:pPr>
        <w:spacing w:before="120"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 acuerdo con lo expuesto anteriormente</w:t>
      </w:r>
      <w:r w:rsidR="00281F15">
        <w:rPr>
          <w:rFonts w:ascii="Arial" w:hAnsi="Arial" w:cs="Arial"/>
          <w:lang w:val="es-PE"/>
        </w:rPr>
        <w:t xml:space="preserve">, Southern Peru busca </w:t>
      </w:r>
      <w:r w:rsidR="006D5CCA">
        <w:rPr>
          <w:rFonts w:ascii="Arial" w:hAnsi="Arial" w:cs="Arial"/>
          <w:lang w:val="es-PE"/>
        </w:rPr>
        <w:t>alcanzar una reducción de 1</w:t>
      </w:r>
      <w:r w:rsidR="00583384">
        <w:rPr>
          <w:rFonts w:ascii="Arial" w:hAnsi="Arial" w:cs="Arial"/>
          <w:lang w:val="es-PE"/>
        </w:rPr>
        <w:t xml:space="preserve">6 </w:t>
      </w:r>
      <w:r w:rsidR="006D5CCA">
        <w:rPr>
          <w:rFonts w:ascii="Arial" w:hAnsi="Arial" w:cs="Arial"/>
          <w:lang w:val="es-PE"/>
        </w:rPr>
        <w:t>% en sus emisiones de alcance 1 y 2 de GEI, empleando</w:t>
      </w:r>
      <w:r>
        <w:rPr>
          <w:rFonts w:ascii="Arial" w:hAnsi="Arial" w:cs="Arial"/>
          <w:lang w:val="es-PE"/>
        </w:rPr>
        <w:t xml:space="preserve"> </w:t>
      </w:r>
      <w:r w:rsidR="00583384">
        <w:rPr>
          <w:rFonts w:ascii="Arial" w:hAnsi="Arial" w:cs="Arial"/>
          <w:lang w:val="es-PE"/>
        </w:rPr>
        <w:t xml:space="preserve">las mejores </w:t>
      </w:r>
      <w:r>
        <w:rPr>
          <w:rFonts w:ascii="Arial" w:hAnsi="Arial" w:cs="Arial"/>
          <w:lang w:val="es-PE"/>
        </w:rPr>
        <w:t xml:space="preserve">tecnologías </w:t>
      </w:r>
      <w:r w:rsidR="00583384">
        <w:rPr>
          <w:rFonts w:ascii="Arial" w:hAnsi="Arial" w:cs="Arial"/>
          <w:lang w:val="es-PE"/>
        </w:rPr>
        <w:t xml:space="preserve">disponibles en </w:t>
      </w:r>
      <w:r w:rsidR="00753167">
        <w:rPr>
          <w:rFonts w:ascii="Arial" w:hAnsi="Arial" w:cs="Arial"/>
          <w:lang w:val="es-PE"/>
        </w:rPr>
        <w:t xml:space="preserve">eficiencia energética y uso de energías renovables, </w:t>
      </w:r>
      <w:r w:rsidR="00583384">
        <w:rPr>
          <w:rFonts w:ascii="Arial" w:hAnsi="Arial" w:cs="Arial"/>
          <w:lang w:val="es-PE"/>
        </w:rPr>
        <w:t>aplicadas al sector minero-metalúrgico;</w:t>
      </w:r>
      <w:r w:rsidR="00753167">
        <w:rPr>
          <w:rFonts w:ascii="Arial" w:hAnsi="Arial" w:cs="Arial"/>
          <w:lang w:val="es-PE"/>
        </w:rPr>
        <w:t xml:space="preserve"> logrando de esta manera</w:t>
      </w:r>
      <w:r w:rsidR="00583384">
        <w:rPr>
          <w:rFonts w:ascii="Arial" w:hAnsi="Arial" w:cs="Arial"/>
          <w:lang w:val="es-PE"/>
        </w:rPr>
        <w:t xml:space="preserve"> </w:t>
      </w:r>
      <w:r w:rsidR="00753167">
        <w:rPr>
          <w:rFonts w:ascii="Arial" w:hAnsi="Arial" w:cs="Arial"/>
          <w:lang w:val="es-PE"/>
        </w:rPr>
        <w:t xml:space="preserve">cumplir con la meta corporativa </w:t>
      </w:r>
      <w:r w:rsidR="00BB7C85">
        <w:rPr>
          <w:rFonts w:ascii="Arial" w:hAnsi="Arial" w:cs="Arial"/>
          <w:lang w:val="es-PE"/>
        </w:rPr>
        <w:t xml:space="preserve">de </w:t>
      </w:r>
      <w:r w:rsidR="00583384">
        <w:rPr>
          <w:rFonts w:ascii="Arial" w:hAnsi="Arial" w:cs="Arial"/>
          <w:lang w:val="es-PE"/>
        </w:rPr>
        <w:t xml:space="preserve">reducción </w:t>
      </w:r>
      <w:r w:rsidR="00753167">
        <w:rPr>
          <w:rFonts w:ascii="Arial" w:hAnsi="Arial" w:cs="Arial"/>
          <w:lang w:val="es-PE"/>
        </w:rPr>
        <w:t>de</w:t>
      </w:r>
      <w:r w:rsidR="00583384">
        <w:rPr>
          <w:rFonts w:ascii="Arial" w:hAnsi="Arial" w:cs="Arial"/>
          <w:lang w:val="es-PE"/>
        </w:rPr>
        <w:t xml:space="preserve"> nuestras emisiones de GEI</w:t>
      </w:r>
      <w:r w:rsidR="006E58F5">
        <w:rPr>
          <w:rFonts w:ascii="Arial" w:hAnsi="Arial" w:cs="Arial"/>
          <w:lang w:val="es-PE"/>
        </w:rPr>
        <w:t xml:space="preserve">, </w:t>
      </w:r>
      <w:r w:rsidR="00AD66DA">
        <w:rPr>
          <w:rFonts w:ascii="Arial" w:hAnsi="Arial" w:cs="Arial"/>
          <w:lang w:val="es-PE"/>
        </w:rPr>
        <w:t xml:space="preserve">rumbo a la </w:t>
      </w:r>
      <w:r w:rsidR="0083238D">
        <w:rPr>
          <w:rFonts w:ascii="Arial" w:hAnsi="Arial" w:cs="Arial"/>
          <w:lang w:val="es-PE"/>
        </w:rPr>
        <w:t>carbono neutralidad</w:t>
      </w:r>
      <w:r w:rsidR="00AD66DA">
        <w:rPr>
          <w:rFonts w:ascii="Arial" w:hAnsi="Arial" w:cs="Arial"/>
          <w:lang w:val="es-PE"/>
        </w:rPr>
        <w:t xml:space="preserve">, </w:t>
      </w:r>
      <w:r w:rsidR="006E58F5">
        <w:rPr>
          <w:rFonts w:ascii="Arial" w:hAnsi="Arial" w:cs="Arial"/>
          <w:lang w:val="es-PE"/>
        </w:rPr>
        <w:t xml:space="preserve">en concordancia con </w:t>
      </w:r>
      <w:r w:rsidR="0083238D">
        <w:rPr>
          <w:rFonts w:ascii="Arial" w:hAnsi="Arial" w:cs="Arial"/>
          <w:lang w:val="es-PE"/>
        </w:rPr>
        <w:t xml:space="preserve">los objetivos del </w:t>
      </w:r>
      <w:r w:rsidR="006B1961">
        <w:rPr>
          <w:rFonts w:ascii="Arial" w:hAnsi="Arial" w:cs="Arial"/>
          <w:lang w:val="es-PE"/>
        </w:rPr>
        <w:t>acuerdo de Parí</w:t>
      </w:r>
      <w:r w:rsidR="006E58F5">
        <w:rPr>
          <w:rFonts w:ascii="Arial" w:hAnsi="Arial" w:cs="Arial"/>
          <w:lang w:val="es-PE"/>
        </w:rPr>
        <w:t>s</w:t>
      </w:r>
      <w:r w:rsidR="00AD66DA">
        <w:rPr>
          <w:rFonts w:ascii="Arial" w:hAnsi="Arial" w:cs="Arial"/>
          <w:lang w:val="es-PE"/>
        </w:rPr>
        <w:t xml:space="preserve"> </w:t>
      </w:r>
      <w:r w:rsidR="0083238D">
        <w:rPr>
          <w:rFonts w:ascii="Arial" w:hAnsi="Arial" w:cs="Arial"/>
          <w:lang w:val="es-PE"/>
        </w:rPr>
        <w:t xml:space="preserve">establecidos </w:t>
      </w:r>
      <w:r w:rsidR="00AD66DA">
        <w:rPr>
          <w:rFonts w:ascii="Arial" w:hAnsi="Arial" w:cs="Arial"/>
          <w:lang w:val="es-PE"/>
        </w:rPr>
        <w:t>en la COP 21</w:t>
      </w:r>
      <w:r w:rsidR="006B1961">
        <w:rPr>
          <w:rFonts w:ascii="Arial" w:hAnsi="Arial" w:cs="Arial"/>
          <w:lang w:val="es-PE"/>
        </w:rPr>
        <w:t xml:space="preserve"> de la</w:t>
      </w:r>
      <w:r w:rsidR="006E58F5">
        <w:rPr>
          <w:rFonts w:ascii="Arial" w:hAnsi="Arial" w:cs="Arial"/>
          <w:lang w:val="es-PE"/>
        </w:rPr>
        <w:t xml:space="preserve"> cual </w:t>
      </w:r>
      <w:r w:rsidR="0083238D">
        <w:rPr>
          <w:rFonts w:ascii="Arial" w:hAnsi="Arial" w:cs="Arial"/>
          <w:lang w:val="es-PE"/>
        </w:rPr>
        <w:t xml:space="preserve">el Perú </w:t>
      </w:r>
      <w:r w:rsidR="006E58F5">
        <w:rPr>
          <w:rFonts w:ascii="Arial" w:hAnsi="Arial" w:cs="Arial"/>
          <w:lang w:val="es-PE"/>
        </w:rPr>
        <w:t>es firmante</w:t>
      </w:r>
      <w:r w:rsidR="00BB7C85">
        <w:rPr>
          <w:rFonts w:ascii="Arial" w:hAnsi="Arial" w:cs="Arial"/>
          <w:lang w:val="es-PE"/>
        </w:rPr>
        <w:t xml:space="preserve">. </w:t>
      </w:r>
    </w:p>
    <w:sectPr w:rsidR="00281F15" w:rsidRPr="00C41442" w:rsidSect="0058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3CD0" w14:textId="77777777" w:rsidR="005C38F4" w:rsidRDefault="005C38F4" w:rsidP="006664ED">
      <w:pPr>
        <w:spacing w:after="0" w:line="240" w:lineRule="auto"/>
      </w:pPr>
      <w:r>
        <w:separator/>
      </w:r>
    </w:p>
  </w:endnote>
  <w:endnote w:type="continuationSeparator" w:id="0">
    <w:p w14:paraId="3CFAEA9D" w14:textId="77777777" w:rsidR="005C38F4" w:rsidRDefault="005C38F4" w:rsidP="00666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DDB7" w14:textId="77777777" w:rsidR="005C38F4" w:rsidRDefault="005C38F4" w:rsidP="006664ED">
      <w:pPr>
        <w:spacing w:after="0" w:line="240" w:lineRule="auto"/>
      </w:pPr>
      <w:r>
        <w:separator/>
      </w:r>
    </w:p>
  </w:footnote>
  <w:footnote w:type="continuationSeparator" w:id="0">
    <w:p w14:paraId="251872E0" w14:textId="77777777" w:rsidR="005C38F4" w:rsidRDefault="005C38F4" w:rsidP="00666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EE9"/>
    <w:multiLevelType w:val="hybridMultilevel"/>
    <w:tmpl w:val="568830E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344E2"/>
    <w:multiLevelType w:val="hybridMultilevel"/>
    <w:tmpl w:val="B6F2DC6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498B1C85"/>
    <w:multiLevelType w:val="multilevel"/>
    <w:tmpl w:val="44FE2A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EAC5CF2"/>
    <w:multiLevelType w:val="hybridMultilevel"/>
    <w:tmpl w:val="E378F648"/>
    <w:lvl w:ilvl="0" w:tplc="8DB6094A">
      <w:start w:val="2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4BB2"/>
    <w:multiLevelType w:val="hybridMultilevel"/>
    <w:tmpl w:val="E6D2980E"/>
    <w:lvl w:ilvl="0" w:tplc="BC92CD26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590F4F3A"/>
    <w:multiLevelType w:val="hybridMultilevel"/>
    <w:tmpl w:val="B0FC31E8"/>
    <w:lvl w:ilvl="0" w:tplc="EAD48D14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893EDD"/>
    <w:multiLevelType w:val="hybridMultilevel"/>
    <w:tmpl w:val="735E6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82352"/>
    <w:multiLevelType w:val="hybridMultilevel"/>
    <w:tmpl w:val="23783FC4"/>
    <w:lvl w:ilvl="0" w:tplc="CA5A526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982712">
    <w:abstractNumId w:val="7"/>
  </w:num>
  <w:num w:numId="2" w16cid:durableId="1377239213">
    <w:abstractNumId w:val="6"/>
  </w:num>
  <w:num w:numId="3" w16cid:durableId="1892568247">
    <w:abstractNumId w:val="5"/>
  </w:num>
  <w:num w:numId="4" w16cid:durableId="1206874423">
    <w:abstractNumId w:val="3"/>
  </w:num>
  <w:num w:numId="5" w16cid:durableId="852917932">
    <w:abstractNumId w:val="2"/>
  </w:num>
  <w:num w:numId="6" w16cid:durableId="435489121">
    <w:abstractNumId w:val="4"/>
  </w:num>
  <w:num w:numId="7" w16cid:durableId="1549144882">
    <w:abstractNumId w:val="1"/>
  </w:num>
  <w:num w:numId="8" w16cid:durableId="201086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DB"/>
    <w:rsid w:val="00012C33"/>
    <w:rsid w:val="00041206"/>
    <w:rsid w:val="00070AB3"/>
    <w:rsid w:val="000D53EA"/>
    <w:rsid w:val="000D76C8"/>
    <w:rsid w:val="000E589C"/>
    <w:rsid w:val="0011189C"/>
    <w:rsid w:val="00143646"/>
    <w:rsid w:val="001452EC"/>
    <w:rsid w:val="001512C4"/>
    <w:rsid w:val="00156A05"/>
    <w:rsid w:val="001855A7"/>
    <w:rsid w:val="001B3CC2"/>
    <w:rsid w:val="001D043B"/>
    <w:rsid w:val="001D648A"/>
    <w:rsid w:val="001E1CE2"/>
    <w:rsid w:val="001F3FCB"/>
    <w:rsid w:val="002159B5"/>
    <w:rsid w:val="00241847"/>
    <w:rsid w:val="0024576C"/>
    <w:rsid w:val="00261C01"/>
    <w:rsid w:val="00265FA3"/>
    <w:rsid w:val="00281F15"/>
    <w:rsid w:val="00282181"/>
    <w:rsid w:val="002A395F"/>
    <w:rsid w:val="002D0DA9"/>
    <w:rsid w:val="002D2DBD"/>
    <w:rsid w:val="002D6FAE"/>
    <w:rsid w:val="002E5610"/>
    <w:rsid w:val="002F3667"/>
    <w:rsid w:val="003274E5"/>
    <w:rsid w:val="00331D8D"/>
    <w:rsid w:val="00341078"/>
    <w:rsid w:val="00361D78"/>
    <w:rsid w:val="00377A7E"/>
    <w:rsid w:val="003E41B9"/>
    <w:rsid w:val="003F3F6D"/>
    <w:rsid w:val="003F5BC2"/>
    <w:rsid w:val="003F6718"/>
    <w:rsid w:val="004035C4"/>
    <w:rsid w:val="00412F22"/>
    <w:rsid w:val="004424E2"/>
    <w:rsid w:val="00446149"/>
    <w:rsid w:val="00447951"/>
    <w:rsid w:val="00467DEC"/>
    <w:rsid w:val="00472CD4"/>
    <w:rsid w:val="004A5E54"/>
    <w:rsid w:val="00544FF2"/>
    <w:rsid w:val="00545E17"/>
    <w:rsid w:val="00546BC3"/>
    <w:rsid w:val="00560B6F"/>
    <w:rsid w:val="00583384"/>
    <w:rsid w:val="00586D8A"/>
    <w:rsid w:val="005B56CD"/>
    <w:rsid w:val="005C2F13"/>
    <w:rsid w:val="005C38F4"/>
    <w:rsid w:val="005F1437"/>
    <w:rsid w:val="00614A14"/>
    <w:rsid w:val="00624C6D"/>
    <w:rsid w:val="006309A0"/>
    <w:rsid w:val="00631F25"/>
    <w:rsid w:val="00635FE0"/>
    <w:rsid w:val="00656CAA"/>
    <w:rsid w:val="00665007"/>
    <w:rsid w:val="006664ED"/>
    <w:rsid w:val="006758DE"/>
    <w:rsid w:val="00692639"/>
    <w:rsid w:val="006B1961"/>
    <w:rsid w:val="006D5CCA"/>
    <w:rsid w:val="006E58F5"/>
    <w:rsid w:val="00717C76"/>
    <w:rsid w:val="007358FF"/>
    <w:rsid w:val="00753167"/>
    <w:rsid w:val="007C2596"/>
    <w:rsid w:val="007C2925"/>
    <w:rsid w:val="007D2CC1"/>
    <w:rsid w:val="007D732F"/>
    <w:rsid w:val="007D7C98"/>
    <w:rsid w:val="008049BE"/>
    <w:rsid w:val="0083238D"/>
    <w:rsid w:val="00837704"/>
    <w:rsid w:val="00864900"/>
    <w:rsid w:val="0088643C"/>
    <w:rsid w:val="008C5D53"/>
    <w:rsid w:val="008F1B05"/>
    <w:rsid w:val="00900B1C"/>
    <w:rsid w:val="00900F65"/>
    <w:rsid w:val="009035C3"/>
    <w:rsid w:val="00904C58"/>
    <w:rsid w:val="0094043E"/>
    <w:rsid w:val="0094069F"/>
    <w:rsid w:val="009476F0"/>
    <w:rsid w:val="00950378"/>
    <w:rsid w:val="0097247F"/>
    <w:rsid w:val="009745CE"/>
    <w:rsid w:val="00985633"/>
    <w:rsid w:val="00992F80"/>
    <w:rsid w:val="00997488"/>
    <w:rsid w:val="00997DD1"/>
    <w:rsid w:val="009A0151"/>
    <w:rsid w:val="009A2D68"/>
    <w:rsid w:val="009C4286"/>
    <w:rsid w:val="009D7833"/>
    <w:rsid w:val="00A010F8"/>
    <w:rsid w:val="00A01BB4"/>
    <w:rsid w:val="00A162DF"/>
    <w:rsid w:val="00A16BA3"/>
    <w:rsid w:val="00A36A2A"/>
    <w:rsid w:val="00A52FD3"/>
    <w:rsid w:val="00A54649"/>
    <w:rsid w:val="00A924F2"/>
    <w:rsid w:val="00A96110"/>
    <w:rsid w:val="00AD66DA"/>
    <w:rsid w:val="00AE1B28"/>
    <w:rsid w:val="00AE2EC9"/>
    <w:rsid w:val="00AE5824"/>
    <w:rsid w:val="00AF09C4"/>
    <w:rsid w:val="00AF6F76"/>
    <w:rsid w:val="00B028D8"/>
    <w:rsid w:val="00B15ECB"/>
    <w:rsid w:val="00B25513"/>
    <w:rsid w:val="00B301F5"/>
    <w:rsid w:val="00B543CB"/>
    <w:rsid w:val="00B87BC5"/>
    <w:rsid w:val="00B94CDA"/>
    <w:rsid w:val="00B95275"/>
    <w:rsid w:val="00BA03E9"/>
    <w:rsid w:val="00BA0635"/>
    <w:rsid w:val="00BB7C85"/>
    <w:rsid w:val="00C1352B"/>
    <w:rsid w:val="00C209D5"/>
    <w:rsid w:val="00C3087D"/>
    <w:rsid w:val="00C3418A"/>
    <w:rsid w:val="00C41442"/>
    <w:rsid w:val="00C61D61"/>
    <w:rsid w:val="00C72C85"/>
    <w:rsid w:val="00C944AA"/>
    <w:rsid w:val="00CB712D"/>
    <w:rsid w:val="00CC4371"/>
    <w:rsid w:val="00CE1E72"/>
    <w:rsid w:val="00D04F33"/>
    <w:rsid w:val="00D1292F"/>
    <w:rsid w:val="00D32DC7"/>
    <w:rsid w:val="00D33C20"/>
    <w:rsid w:val="00D35934"/>
    <w:rsid w:val="00D47E6C"/>
    <w:rsid w:val="00D60EFA"/>
    <w:rsid w:val="00D76CEC"/>
    <w:rsid w:val="00D87CEC"/>
    <w:rsid w:val="00DA474A"/>
    <w:rsid w:val="00DB42DF"/>
    <w:rsid w:val="00DB6AF8"/>
    <w:rsid w:val="00DB7EF8"/>
    <w:rsid w:val="00DD4A5E"/>
    <w:rsid w:val="00DD54D8"/>
    <w:rsid w:val="00DD783F"/>
    <w:rsid w:val="00DF4E8D"/>
    <w:rsid w:val="00E05816"/>
    <w:rsid w:val="00E509A9"/>
    <w:rsid w:val="00E53D30"/>
    <w:rsid w:val="00E64FB7"/>
    <w:rsid w:val="00E704C2"/>
    <w:rsid w:val="00E73407"/>
    <w:rsid w:val="00E756F2"/>
    <w:rsid w:val="00E808E7"/>
    <w:rsid w:val="00EB38F1"/>
    <w:rsid w:val="00ED536D"/>
    <w:rsid w:val="00ED7E6A"/>
    <w:rsid w:val="00EE6993"/>
    <w:rsid w:val="00F179A2"/>
    <w:rsid w:val="00F257DB"/>
    <w:rsid w:val="00F27ADE"/>
    <w:rsid w:val="00F37510"/>
    <w:rsid w:val="00F64D93"/>
    <w:rsid w:val="00F65BD3"/>
    <w:rsid w:val="00F85F98"/>
    <w:rsid w:val="00FC0545"/>
    <w:rsid w:val="00FC17DE"/>
    <w:rsid w:val="00FC3EE1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9865"/>
  <w15:docId w15:val="{1227400A-B452-4591-95B7-DF47B9784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4CD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4C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4A5E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664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64E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64E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751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751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7510"/>
    <w:rPr>
      <w:vertAlign w:val="superscript"/>
    </w:rPr>
  </w:style>
  <w:style w:type="table" w:styleId="TableGrid">
    <w:name w:val="Table Grid"/>
    <w:basedOn w:val="TableNormal"/>
    <w:uiPriority w:val="39"/>
    <w:rsid w:val="007D7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1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9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viedo@southernperu.com.p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14/relationships/chartEx" Target="charts/chartEx1.xml"/><Relationship Id="rId4" Type="http://schemas.openxmlformats.org/officeDocument/2006/relationships/settings" Target="settings.xml"/><Relationship Id="rId9" Type="http://schemas.openxmlformats.org/officeDocument/2006/relationships/hyperlink" Target="mailto:DGongora@southernperu.com.pe" TargetMode="Externa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https://americasmining-my.sharepoint.com/personal/dgongora_southernperu_com_pe/Documents/Sustentabilidad/Cambio%20climatico/Proyectos%20Reduccion/Calculos/Calculos/Reduccion%20Proyectos%20SPCC.xlsx" TargetMode="External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'[Reduccion Proyectos SPCC.xlsx]Corto plazo 2027'!$B$6:$B$11</cx:f>
        <cx:lvl ptCount="6">
          <cx:pt idx="0">Emisiones Alcance 1 y 2 SPCC (2022)</cx:pt>
          <cx:pt idx="1">Cambio matriz energética a Gas Natural - Ilo</cx:pt>
          <cx:pt idx="2">Cogeneración con vapor saturado - Ilo</cx:pt>
          <cx:pt idx="3">Planta fotovoltaica Quebrada Honda</cx:pt>
          <cx:pt idx="4">Planta termosolar LESDE - Toquepala</cx:pt>
          <cx:pt idx="5">Emisiones finales</cx:pt>
        </cx:lvl>
      </cx:strDim>
      <cx:numDim type="val">
        <cx:f>'[Reduccion Proyectos SPCC.xlsx]Corto plazo 2027'!$C$6:$C$11</cx:f>
        <cx:lvl ptCount="6" formatCode="#,##0">
          <cx:pt idx="0">890000</cx:pt>
          <cx:pt idx="1">-22548.347089619991</cx:pt>
          <cx:pt idx="2">-20758.839499999998</cx:pt>
          <cx:pt idx="3">-93651.389999999999</cx:pt>
          <cx:pt idx="4">-4802.7009915333792</cx:pt>
          <cx:pt idx="5">748238.72241884668</cx:pt>
        </cx:lvl>
      </cx:numDim>
    </cx:data>
  </cx:chartData>
  <cx:chart>
    <cx:title pos="t" align="ctr" overlay="0">
      <cx:tx>
        <cx:txData>
          <cx:v>Reducción potencial de emisiones - Corto Plazo (2027)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 b="1">
              <a:latin typeface="Aptos" panose="020B0004020202020204" pitchFamily="34" charset="0"/>
              <a:ea typeface="Aptos" panose="020B0004020202020204" pitchFamily="34" charset="0"/>
              <a:cs typeface="Aptos" panose="020B0004020202020204" pitchFamily="34" charset="0"/>
            </a:defRPr>
          </a:pPr>
          <a:r>
            <a:rPr lang="en-US" sz="1400" b="1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0B0004020202020204" pitchFamily="34" charset="0"/>
            </a:rPr>
            <a:t>Reducción potencial de emisiones - Corto Plazo (2027)</a:t>
          </a:r>
        </a:p>
      </cx:txPr>
    </cx:title>
    <cx:plotArea>
      <cx:plotAreaRegion>
        <cx:series layoutId="waterfall" uniqueId="{9CA45107-2B9E-422B-872A-0A33F144D482}">
          <cx:dataLabels pos="outEnd">
            <cx:txPr>
              <a:bodyPr vertOverflow="overflow" horzOverflow="overflow" wrap="square" lIns="0" tIns="0" rIns="0" bIns="0"/>
              <a:lstStyle/>
              <a:p>
                <a:pPr algn="ctr" rtl="0">
                  <a:defRPr sz="900" b="0" i="0">
                    <a:solidFill>
                      <a:srgbClr val="595959"/>
                    </a:solidFill>
                    <a:latin typeface="Aptos" panose="020B0004020202020204" pitchFamily="34" charset="0"/>
                    <a:ea typeface="Aptos" panose="020B0004020202020204" pitchFamily="34" charset="0"/>
                    <a:cs typeface="Aptos" panose="020B0004020202020204" pitchFamily="34" charset="0"/>
                  </a:defRPr>
                </a:pPr>
                <a:endParaRPr lang="es-PE">
                  <a:latin typeface="Aptos" panose="020B0004020202020204" pitchFamily="34" charset="0"/>
                </a:endParaRPr>
              </a:p>
            </cx:txPr>
            <cx:visibility seriesName="0" categoryName="0" value="1"/>
            <cx:dataLabel idx="1">
              <cx:numFmt formatCode="#,##0" sourceLinked="0"/>
              <cx:visibility seriesName="0" categoryName="0" value="1"/>
              <cx:separator>, </cx:separator>
            </cx:dataLabel>
            <cx:dataLabel idx="3">
              <cx:numFmt formatCode="#,##0" sourceLinked="0"/>
              <cx:visibility seriesName="0" categoryName="0" value="1"/>
              <cx:separator>, </cx:separator>
            </cx:dataLabel>
          </cx:dataLabels>
          <cx:dataId val="0"/>
          <cx:layoutPr>
            <cx:subtotals>
              <cx:idx val="5"/>
            </cx:subtotals>
          </cx:layoutPr>
        </cx:series>
      </cx:plotAreaRegion>
      <cx:axis id="0">
        <cx:catScaling gapWidth="0.5"/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 sz="500">
                <a:latin typeface="Aptos" panose="020B0004020202020204" pitchFamily="34" charset="0"/>
                <a:ea typeface="Aptos" panose="020B0004020202020204" pitchFamily="34" charset="0"/>
                <a:cs typeface="Aptos" panose="020B0004020202020204" pitchFamily="34" charset="0"/>
              </a:defRPr>
            </a:pPr>
            <a:endParaRPr lang="en-US" sz="5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0B0004020202020204" pitchFamily="34" charset="0"/>
            </a:endParaRPr>
          </a:p>
        </cx:txPr>
      </cx:axis>
      <cx:axis id="1">
        <cx:valScaling/>
        <cx:title>
          <cx:tx>
            <cx:txData>
              <cx:v>(tCO2eq/año)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>
                  <a:latin typeface="Aptos" panose="020B0004020202020204" pitchFamily="34" charset="0"/>
                  <a:ea typeface="Aptos" panose="020B0004020202020204" pitchFamily="34" charset="0"/>
                  <a:cs typeface="Aptos" panose="020B0004020202020204" pitchFamily="34" charset="0"/>
                </a:defRPr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" panose="020B0004020202020204" pitchFamily="34" charset="0"/>
                </a:rPr>
                <a:t>(tCO2eq/año)</a:t>
              </a:r>
            </a:p>
          </cx:txPr>
        </cx:title>
        <cx:majorGridlines/>
        <cx:tickLabels/>
        <cx:numFmt formatCode="#,##0" sourceLinked="0"/>
        <cx:txPr>
          <a:bodyPr vertOverflow="overflow" horzOverflow="overflow" wrap="square" lIns="0" tIns="0" rIns="0" bIns="0"/>
          <a:lstStyle/>
          <a:p>
            <a:pPr algn="ctr" rtl="0">
              <a:defRPr sz="900" b="0" i="0">
                <a:solidFill>
                  <a:srgbClr val="595959"/>
                </a:solidFill>
                <a:latin typeface="Aptos" panose="020B0004020202020204" pitchFamily="34" charset="0"/>
                <a:ea typeface="Aptos" panose="020B0004020202020204" pitchFamily="34" charset="0"/>
                <a:cs typeface="Aptos" panose="020B0004020202020204" pitchFamily="34" charset="0"/>
              </a:defRPr>
            </a:pPr>
            <a:endParaRPr lang="es-PE">
              <a:latin typeface="Aptos" panose="020B0004020202020204" pitchFamily="34" charset="0"/>
            </a:endParaRPr>
          </a:p>
        </cx:txPr>
      </cx:axis>
    </cx:plotArea>
    <cx:legend pos="t" align="ctr" overlay="0">
      <cx:txPr>
        <a:bodyPr spcFirstLastPara="1" vertOverflow="ellipsis" horzOverflow="overflow" wrap="square" lIns="0" tIns="0" rIns="0" bIns="0" anchor="ctr" anchorCtr="1"/>
        <a:lstStyle/>
        <a:p>
          <a:pPr algn="ctr" rtl="0">
            <a:defRPr sz="700">
              <a:latin typeface="Aptos" panose="020B0004020202020204" pitchFamily="34" charset="0"/>
              <a:ea typeface="Aptos" panose="020B0004020202020204" pitchFamily="34" charset="0"/>
              <a:cs typeface="Aptos" panose="020B0004020202020204" pitchFamily="34" charset="0"/>
            </a:defRPr>
          </a:pPr>
          <a:endParaRPr lang="en-US" sz="700" b="0" i="0" u="none" strike="noStrike" baseline="0">
            <a:solidFill>
              <a:sysClr val="windowText" lastClr="000000">
                <a:lumMod val="65000"/>
                <a:lumOff val="35000"/>
              </a:sysClr>
            </a:solidFill>
            <a:latin typeface="Aptos" panose="020B0004020202020204" pitchFamily="34" charset="0"/>
          </a:endParaRPr>
        </a:p>
      </cx:txPr>
    </cx:legend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EDA0B-C65A-43D8-B60D-1DB075476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Gongora, Dante</dc:creator>
  <cp:keywords/>
  <dc:description/>
  <cp:lastModifiedBy>Salas Arata, Melissa</cp:lastModifiedBy>
  <cp:revision>3</cp:revision>
  <dcterms:created xsi:type="dcterms:W3CDTF">2025-04-28T20:30:00Z</dcterms:created>
  <dcterms:modified xsi:type="dcterms:W3CDTF">2025-04-28T20:49:00Z</dcterms:modified>
</cp:coreProperties>
</file>