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8388" w14:textId="0AE3F8F4" w:rsidR="00D8605A" w:rsidRPr="004C14A1" w:rsidRDefault="0038332D" w:rsidP="00C43A8E">
      <w:pPr>
        <w:pStyle w:val="NormalWeb"/>
        <w:spacing w:line="276" w:lineRule="auto"/>
        <w:ind w:left="2124" w:hanging="2124"/>
        <w:rPr>
          <w:rFonts w:ascii="Arial" w:hAnsi="Arial" w:cs="Arial"/>
          <w:color w:val="000000" w:themeColor="text1"/>
          <w:sz w:val="22"/>
          <w:szCs w:val="22"/>
          <w:lang w:val="es-ES"/>
        </w:rPr>
      </w:pPr>
      <w:r w:rsidRPr="004C14A1">
        <w:rPr>
          <w:rFonts w:ascii="Arial" w:hAnsi="Arial" w:cs="Arial"/>
          <w:b/>
          <w:bCs/>
          <w:color w:val="000000" w:themeColor="text1"/>
          <w:sz w:val="22"/>
          <w:szCs w:val="22"/>
          <w:lang w:val="es-ES"/>
        </w:rPr>
        <w:t>Título</w:t>
      </w:r>
      <w:r w:rsidR="002B27D0" w:rsidRPr="004C14A1">
        <w:rPr>
          <w:rFonts w:ascii="Arial" w:hAnsi="Arial" w:cs="Arial"/>
          <w:b/>
          <w:bCs/>
          <w:color w:val="000000" w:themeColor="text1"/>
          <w:sz w:val="22"/>
          <w:szCs w:val="22"/>
          <w:lang w:val="es-ES"/>
        </w:rPr>
        <w:t>:</w:t>
      </w:r>
      <w:r w:rsidR="002B27D0" w:rsidRPr="004C14A1">
        <w:rPr>
          <w:rFonts w:ascii="Arial" w:hAnsi="Arial" w:cs="Arial"/>
          <w:color w:val="000000" w:themeColor="text1"/>
          <w:sz w:val="22"/>
          <w:szCs w:val="22"/>
          <w:lang w:val="es-ES"/>
        </w:rPr>
        <w:t xml:space="preserve"> </w:t>
      </w:r>
      <w:r w:rsidR="00F62DFD" w:rsidRPr="004C14A1">
        <w:rPr>
          <w:rFonts w:ascii="Arial" w:hAnsi="Arial" w:cs="Arial"/>
          <w:color w:val="000000" w:themeColor="text1"/>
          <w:sz w:val="22"/>
          <w:szCs w:val="22"/>
          <w:lang w:val="es-ES"/>
        </w:rPr>
        <w:tab/>
      </w:r>
      <w:bookmarkStart w:id="0" w:name="_Hlk198318897"/>
      <w:r w:rsidR="00C43A8E" w:rsidRPr="004C14A1">
        <w:rPr>
          <w:rFonts w:ascii="Arial" w:hAnsi="Arial" w:cs="Arial"/>
          <w:color w:val="000000" w:themeColor="text1"/>
          <w:sz w:val="22"/>
          <w:szCs w:val="22"/>
          <w:lang w:val="es-ES"/>
        </w:rPr>
        <w:t>“</w:t>
      </w:r>
      <w:r w:rsidR="00D368CE" w:rsidRPr="004C14A1">
        <w:rPr>
          <w:rFonts w:ascii="Arial" w:hAnsi="Arial" w:cs="Arial"/>
          <w:i/>
          <w:iCs/>
          <w:color w:val="000000" w:themeColor="text1"/>
          <w:sz w:val="22"/>
          <w:szCs w:val="22"/>
          <w:lang w:val="es-ES_tradnl"/>
        </w:rPr>
        <w:t>De los acuerdos anuales a la planificación social de mediano plazo: Experiencia de transición en la gestión social minera</w:t>
      </w:r>
      <w:r w:rsidR="00C43A8E" w:rsidRPr="004C14A1">
        <w:rPr>
          <w:rFonts w:ascii="Arial" w:hAnsi="Arial" w:cs="Arial"/>
          <w:i/>
          <w:iCs/>
          <w:color w:val="000000" w:themeColor="text1"/>
          <w:sz w:val="22"/>
          <w:szCs w:val="22"/>
          <w:lang w:val="es-ES_tradnl"/>
        </w:rPr>
        <w:t>”</w:t>
      </w:r>
      <w:bookmarkEnd w:id="0"/>
    </w:p>
    <w:p w14:paraId="6F1F1390" w14:textId="542DED50" w:rsidR="002B27D0" w:rsidRPr="007A2D28" w:rsidRDefault="0038332D" w:rsidP="007A2D28">
      <w:pPr>
        <w:pStyle w:val="NormalWeb"/>
        <w:pBdr>
          <w:bottom w:val="single" w:sz="6" w:space="1" w:color="auto"/>
        </w:pBdr>
        <w:spacing w:line="276" w:lineRule="auto"/>
        <w:rPr>
          <w:rFonts w:ascii="Arial" w:hAnsi="Arial" w:cs="Arial"/>
          <w:i/>
          <w:iCs/>
          <w:color w:val="000000" w:themeColor="text1"/>
          <w:sz w:val="22"/>
          <w:szCs w:val="22"/>
          <w:lang w:val="es-ES"/>
        </w:rPr>
      </w:pPr>
      <w:r w:rsidRPr="004C14A1">
        <w:rPr>
          <w:rFonts w:ascii="Arial" w:hAnsi="Arial" w:cs="Arial"/>
          <w:b/>
          <w:bCs/>
          <w:color w:val="000000" w:themeColor="text1"/>
          <w:sz w:val="22"/>
          <w:szCs w:val="22"/>
          <w:lang w:val="es-ES"/>
        </w:rPr>
        <w:t>Categoría</w:t>
      </w:r>
      <w:r w:rsidR="002B27D0" w:rsidRPr="004C14A1">
        <w:rPr>
          <w:rFonts w:ascii="Arial" w:hAnsi="Arial" w:cs="Arial"/>
          <w:b/>
          <w:bCs/>
          <w:color w:val="000000" w:themeColor="text1"/>
          <w:sz w:val="22"/>
          <w:szCs w:val="22"/>
          <w:lang w:val="es-ES"/>
        </w:rPr>
        <w:t>:</w:t>
      </w:r>
      <w:r w:rsidR="002B27D0" w:rsidRPr="004C14A1">
        <w:rPr>
          <w:rFonts w:ascii="Arial" w:hAnsi="Arial" w:cs="Arial"/>
          <w:color w:val="000000" w:themeColor="text1"/>
          <w:sz w:val="22"/>
          <w:szCs w:val="22"/>
          <w:lang w:val="es-ES"/>
        </w:rPr>
        <w:t xml:space="preserve"> </w:t>
      </w:r>
      <w:r w:rsidR="00F62DFD" w:rsidRPr="004C14A1">
        <w:rPr>
          <w:rFonts w:ascii="Arial" w:hAnsi="Arial" w:cs="Arial"/>
          <w:color w:val="000000" w:themeColor="text1"/>
          <w:sz w:val="22"/>
          <w:szCs w:val="22"/>
          <w:lang w:val="es-ES"/>
        </w:rPr>
        <w:tab/>
      </w:r>
      <w:r w:rsidR="00C43A8E" w:rsidRPr="004C14A1">
        <w:rPr>
          <w:rFonts w:ascii="Arial" w:hAnsi="Arial" w:cs="Arial"/>
          <w:color w:val="000000" w:themeColor="text1"/>
          <w:sz w:val="22"/>
          <w:szCs w:val="22"/>
          <w:lang w:val="es-ES"/>
        </w:rPr>
        <w:tab/>
      </w:r>
      <w:r w:rsidR="00386BBC" w:rsidRPr="004C14A1">
        <w:rPr>
          <w:rFonts w:ascii="Arial" w:hAnsi="Arial" w:cs="Arial"/>
          <w:color w:val="000000" w:themeColor="text1"/>
          <w:sz w:val="22"/>
          <w:szCs w:val="22"/>
          <w:lang w:val="es-ES"/>
        </w:rPr>
        <w:t xml:space="preserve">ESG </w:t>
      </w:r>
      <w:r w:rsidR="007A2D28">
        <w:rPr>
          <w:rFonts w:ascii="Arial" w:hAnsi="Arial" w:cs="Arial"/>
          <w:i/>
          <w:iCs/>
          <w:color w:val="000000" w:themeColor="text1"/>
          <w:sz w:val="22"/>
          <w:szCs w:val="22"/>
          <w:lang w:val="es-ES"/>
        </w:rPr>
        <w:br/>
      </w:r>
      <w:r w:rsidR="002B27D0" w:rsidRPr="004C14A1">
        <w:rPr>
          <w:rFonts w:ascii="Arial" w:hAnsi="Arial" w:cs="Arial"/>
          <w:b/>
          <w:bCs/>
          <w:color w:val="000000" w:themeColor="text1"/>
          <w:sz w:val="22"/>
          <w:szCs w:val="22"/>
          <w:lang w:val="es-ES"/>
        </w:rPr>
        <w:t>Autor:</w:t>
      </w:r>
      <w:r w:rsidR="002B27D0"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002B27D0" w:rsidRPr="004C14A1">
        <w:rPr>
          <w:rFonts w:ascii="Arial" w:hAnsi="Arial" w:cs="Arial"/>
          <w:color w:val="000000" w:themeColor="text1"/>
          <w:sz w:val="22"/>
          <w:szCs w:val="22"/>
          <w:lang w:val="es-ES"/>
        </w:rPr>
        <w:t>David Antonio Guerrero Cerón</w:t>
      </w:r>
      <w:r w:rsidR="002B27D0" w:rsidRPr="004C14A1">
        <w:rPr>
          <w:rFonts w:ascii="Arial" w:hAnsi="Arial" w:cs="Arial"/>
          <w:color w:val="000000" w:themeColor="text1"/>
          <w:sz w:val="22"/>
          <w:szCs w:val="22"/>
          <w:lang w:val="es-ES"/>
        </w:rPr>
        <w:br/>
      </w:r>
      <w:r w:rsidR="002B27D0" w:rsidRPr="004C14A1">
        <w:rPr>
          <w:rFonts w:ascii="Arial" w:hAnsi="Arial" w:cs="Arial"/>
          <w:b/>
          <w:bCs/>
          <w:color w:val="000000" w:themeColor="text1"/>
          <w:sz w:val="22"/>
          <w:szCs w:val="22"/>
          <w:lang w:val="es-ES"/>
        </w:rPr>
        <w:t>Empresa:</w:t>
      </w:r>
      <w:r w:rsidR="002B27D0"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002B27D0" w:rsidRPr="004C14A1">
        <w:rPr>
          <w:rFonts w:ascii="Arial" w:hAnsi="Arial" w:cs="Arial"/>
          <w:color w:val="000000" w:themeColor="text1"/>
          <w:sz w:val="22"/>
          <w:szCs w:val="22"/>
          <w:lang w:val="es-ES"/>
        </w:rPr>
        <w:t>Compañía Minera Antamina S.A.</w:t>
      </w:r>
      <w:r w:rsidR="002B27D0" w:rsidRPr="004C14A1">
        <w:rPr>
          <w:rFonts w:ascii="Arial" w:hAnsi="Arial" w:cs="Arial"/>
          <w:color w:val="000000" w:themeColor="text1"/>
          <w:sz w:val="22"/>
          <w:szCs w:val="22"/>
          <w:lang w:val="es-ES"/>
        </w:rPr>
        <w:br/>
      </w:r>
      <w:r w:rsidR="002B27D0" w:rsidRPr="004C14A1">
        <w:rPr>
          <w:rFonts w:ascii="Arial" w:hAnsi="Arial" w:cs="Arial"/>
          <w:b/>
          <w:bCs/>
          <w:color w:val="000000" w:themeColor="text1"/>
          <w:sz w:val="22"/>
          <w:szCs w:val="22"/>
          <w:lang w:val="es-ES"/>
        </w:rPr>
        <w:t>Cargo:</w:t>
      </w:r>
      <w:r w:rsidR="002B27D0"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00386BBC" w:rsidRPr="004C14A1">
        <w:rPr>
          <w:rFonts w:ascii="Arial" w:hAnsi="Arial" w:cs="Arial"/>
          <w:color w:val="000000" w:themeColor="text1"/>
          <w:sz w:val="22"/>
          <w:szCs w:val="22"/>
          <w:lang w:val="es-ES"/>
        </w:rPr>
        <w:t>Supervisor Senior</w:t>
      </w:r>
      <w:r w:rsidR="002B27D0" w:rsidRPr="004C14A1">
        <w:rPr>
          <w:rFonts w:ascii="Arial" w:hAnsi="Arial" w:cs="Arial"/>
          <w:color w:val="000000" w:themeColor="text1"/>
          <w:sz w:val="22"/>
          <w:szCs w:val="22"/>
          <w:lang w:val="es-ES"/>
        </w:rPr>
        <w:t xml:space="preserve"> Gestión Social</w:t>
      </w:r>
      <w:r w:rsidR="002B27D0" w:rsidRPr="004C14A1">
        <w:rPr>
          <w:rFonts w:ascii="Arial" w:hAnsi="Arial" w:cs="Arial"/>
          <w:color w:val="000000" w:themeColor="text1"/>
          <w:sz w:val="22"/>
          <w:szCs w:val="22"/>
          <w:lang w:val="es-ES"/>
        </w:rPr>
        <w:br/>
      </w:r>
      <w:r w:rsidR="00D8605A" w:rsidRPr="004C14A1">
        <w:rPr>
          <w:rFonts w:ascii="Arial" w:hAnsi="Arial" w:cs="Arial"/>
          <w:b/>
          <w:bCs/>
          <w:color w:val="000000" w:themeColor="text1"/>
          <w:sz w:val="22"/>
          <w:szCs w:val="22"/>
          <w:lang w:val="es-ES"/>
        </w:rPr>
        <w:t>Dirección</w:t>
      </w:r>
      <w:r w:rsidR="002B27D0" w:rsidRPr="004C14A1">
        <w:rPr>
          <w:rFonts w:ascii="Arial" w:hAnsi="Arial" w:cs="Arial"/>
          <w:b/>
          <w:bCs/>
          <w:color w:val="000000" w:themeColor="text1"/>
          <w:sz w:val="22"/>
          <w:szCs w:val="22"/>
          <w:lang w:val="es-ES"/>
        </w:rPr>
        <w:t>:</w:t>
      </w:r>
      <w:r w:rsidR="002B27D0"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00386BBC" w:rsidRPr="004C14A1">
        <w:rPr>
          <w:rFonts w:ascii="Arial" w:hAnsi="Arial" w:cs="Arial"/>
          <w:color w:val="000000" w:themeColor="text1"/>
          <w:sz w:val="22"/>
          <w:szCs w:val="22"/>
          <w:lang w:val="es-ES"/>
        </w:rPr>
        <w:t>Calle Juan Dellepiani 247 – San Isidro</w:t>
      </w:r>
      <w:r w:rsidR="002B27D0" w:rsidRPr="004C14A1">
        <w:rPr>
          <w:rFonts w:ascii="Arial" w:hAnsi="Arial" w:cs="Arial"/>
          <w:color w:val="000000" w:themeColor="text1"/>
          <w:sz w:val="22"/>
          <w:szCs w:val="22"/>
          <w:lang w:val="es-ES"/>
        </w:rPr>
        <w:t xml:space="preserve"> – Lima</w:t>
      </w:r>
      <w:r w:rsidR="002B27D0" w:rsidRPr="004C14A1">
        <w:rPr>
          <w:rFonts w:ascii="Arial" w:hAnsi="Arial" w:cs="Arial"/>
          <w:color w:val="000000" w:themeColor="text1"/>
          <w:sz w:val="22"/>
          <w:szCs w:val="22"/>
          <w:lang w:val="es-ES"/>
        </w:rPr>
        <w:br/>
      </w:r>
      <w:r w:rsidR="002B27D0" w:rsidRPr="004C14A1">
        <w:rPr>
          <w:rFonts w:ascii="Arial" w:hAnsi="Arial" w:cs="Arial"/>
          <w:b/>
          <w:bCs/>
          <w:color w:val="000000" w:themeColor="text1"/>
          <w:sz w:val="22"/>
          <w:szCs w:val="22"/>
          <w:lang w:val="es-ES"/>
        </w:rPr>
        <w:t>Correo corporativo:</w:t>
      </w:r>
      <w:r w:rsidR="002B27D0" w:rsidRPr="004C14A1">
        <w:rPr>
          <w:rFonts w:ascii="Arial" w:hAnsi="Arial" w:cs="Arial"/>
          <w:color w:val="000000" w:themeColor="text1"/>
          <w:sz w:val="22"/>
          <w:szCs w:val="22"/>
          <w:lang w:val="es-ES"/>
        </w:rPr>
        <w:t xml:space="preserve"> </w:t>
      </w:r>
      <w:hyperlink r:id="rId8" w:history="1">
        <w:r w:rsidR="00D8605A" w:rsidRPr="004C14A1">
          <w:rPr>
            <w:rStyle w:val="Hipervnculo"/>
            <w:rFonts w:ascii="Arial" w:hAnsi="Arial" w:cs="Arial"/>
            <w:sz w:val="22"/>
            <w:szCs w:val="22"/>
            <w:lang w:val="es-ES"/>
          </w:rPr>
          <w:t>dguerrero@antamina.com</w:t>
        </w:r>
      </w:hyperlink>
      <w:r w:rsidR="002B27D0" w:rsidRPr="004C14A1">
        <w:rPr>
          <w:rFonts w:ascii="Arial" w:hAnsi="Arial" w:cs="Arial"/>
          <w:color w:val="000000" w:themeColor="text1"/>
          <w:sz w:val="22"/>
          <w:szCs w:val="22"/>
          <w:lang w:val="es-ES"/>
        </w:rPr>
        <w:tab/>
        <w:t xml:space="preserve"> </w:t>
      </w:r>
      <w:r w:rsidR="002B27D0" w:rsidRPr="004C14A1">
        <w:rPr>
          <w:rFonts w:ascii="Arial" w:hAnsi="Arial" w:cs="Arial"/>
          <w:color w:val="000000" w:themeColor="text1"/>
          <w:sz w:val="22"/>
          <w:szCs w:val="22"/>
          <w:lang w:val="es-ES"/>
        </w:rPr>
        <w:br/>
      </w:r>
      <w:r w:rsidR="002B27D0" w:rsidRPr="004C14A1">
        <w:rPr>
          <w:rFonts w:ascii="Arial" w:hAnsi="Arial" w:cs="Arial"/>
          <w:b/>
          <w:bCs/>
          <w:color w:val="000000" w:themeColor="text1"/>
          <w:sz w:val="22"/>
          <w:szCs w:val="22"/>
          <w:lang w:val="es-ES"/>
        </w:rPr>
        <w:t>Correo personal:</w:t>
      </w:r>
      <w:r w:rsidR="002B27D0"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hyperlink r:id="rId9" w:history="1">
        <w:r w:rsidR="00C43A8E" w:rsidRPr="004C14A1">
          <w:rPr>
            <w:rStyle w:val="Hipervnculo"/>
            <w:rFonts w:ascii="Arial" w:hAnsi="Arial" w:cs="Arial"/>
            <w:sz w:val="22"/>
            <w:szCs w:val="22"/>
            <w:lang w:val="es-ES_tradnl"/>
          </w:rPr>
          <w:t>david.guerrero.ceron83@gmail.com</w:t>
        </w:r>
      </w:hyperlink>
      <w:r w:rsidR="00C43A8E" w:rsidRPr="004C14A1">
        <w:rPr>
          <w:rFonts w:ascii="Arial" w:hAnsi="Arial" w:cs="Arial"/>
          <w:sz w:val="22"/>
          <w:szCs w:val="22"/>
          <w:lang w:val="es-ES_tradnl"/>
        </w:rPr>
        <w:br/>
      </w:r>
      <w:r w:rsidR="002B27D0" w:rsidRPr="004C14A1">
        <w:rPr>
          <w:rFonts w:ascii="Arial" w:hAnsi="Arial" w:cs="Arial"/>
          <w:b/>
          <w:bCs/>
          <w:color w:val="000000" w:themeColor="text1"/>
          <w:sz w:val="22"/>
          <w:szCs w:val="22"/>
          <w:lang w:val="es-ES"/>
        </w:rPr>
        <w:t>Celular:</w:t>
      </w:r>
      <w:r w:rsidR="002B27D0"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002B27D0" w:rsidRPr="004C14A1">
        <w:rPr>
          <w:rFonts w:ascii="Arial" w:hAnsi="Arial" w:cs="Arial"/>
          <w:color w:val="000000" w:themeColor="text1"/>
          <w:sz w:val="22"/>
          <w:szCs w:val="22"/>
          <w:lang w:val="es-ES"/>
        </w:rPr>
        <w:t>954462371</w:t>
      </w:r>
    </w:p>
    <w:p w14:paraId="7A7C0056" w14:textId="5AA2BA98" w:rsidR="005A6FFB" w:rsidRPr="005A6FFB" w:rsidRDefault="005A6FFB" w:rsidP="007A2D28">
      <w:pPr>
        <w:pStyle w:val="NormalWeb"/>
        <w:spacing w:line="276" w:lineRule="auto"/>
        <w:rPr>
          <w:rFonts w:ascii="Arial" w:hAnsi="Arial" w:cs="Arial"/>
          <w:b/>
          <w:bCs/>
          <w:i/>
          <w:iCs/>
          <w:color w:val="000000" w:themeColor="text1"/>
          <w:sz w:val="22"/>
          <w:szCs w:val="22"/>
        </w:rPr>
      </w:pPr>
      <w:r w:rsidRPr="005A6FFB">
        <w:rPr>
          <w:rFonts w:ascii="Arial" w:hAnsi="Arial" w:cs="Arial"/>
          <w:b/>
          <w:bCs/>
          <w:color w:val="000000" w:themeColor="text1"/>
          <w:sz w:val="22"/>
          <w:szCs w:val="22"/>
          <w:lang w:val="es-ES"/>
        </w:rPr>
        <w:t>“</w:t>
      </w:r>
      <w:r w:rsidRPr="005A6FFB">
        <w:rPr>
          <w:rFonts w:ascii="Arial" w:hAnsi="Arial" w:cs="Arial"/>
          <w:b/>
          <w:bCs/>
          <w:i/>
          <w:iCs/>
          <w:color w:val="000000" w:themeColor="text1"/>
          <w:sz w:val="22"/>
          <w:szCs w:val="22"/>
          <w:lang w:val="es-ES_tradnl"/>
        </w:rPr>
        <w:t>De los acuerdos anuales a la planificación social de mediano plazo: Experiencia de transición en la gestión social minera”</w:t>
      </w:r>
    </w:p>
    <w:p w14:paraId="395DDD1A" w14:textId="5C5F46FF" w:rsidR="005A6FFB" w:rsidRPr="007A2D28" w:rsidRDefault="005A6FFB" w:rsidP="001D3B76">
      <w:pPr>
        <w:pStyle w:val="Prrafodelista"/>
        <w:numPr>
          <w:ilvl w:val="0"/>
          <w:numId w:val="17"/>
        </w:numPr>
        <w:spacing w:line="276" w:lineRule="auto"/>
        <w:rPr>
          <w:rFonts w:ascii="Arial" w:hAnsi="Arial" w:cs="Arial"/>
          <w:b/>
          <w:bCs/>
          <w:sz w:val="22"/>
          <w:szCs w:val="22"/>
          <w:lang w:val="es-419"/>
        </w:rPr>
      </w:pPr>
      <w:r w:rsidRPr="007A2D28">
        <w:rPr>
          <w:rFonts w:ascii="Arial" w:hAnsi="Arial" w:cs="Arial"/>
          <w:b/>
          <w:bCs/>
          <w:sz w:val="22"/>
          <w:szCs w:val="22"/>
          <w:lang w:val="es-419"/>
        </w:rPr>
        <w:t>Contexto y Alcances del Trabajo</w:t>
      </w:r>
    </w:p>
    <w:p w14:paraId="60F7F5DA" w14:textId="77777777" w:rsidR="005A6FFB" w:rsidRDefault="005A6FFB" w:rsidP="001D3B76">
      <w:p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La gestión social minera en el Perú ha estado históricamente basada en acuerdos anuales entre empresas y comunidades campesinas. Este esquema, centrado en demandas inmediatas y en negociaciones periódicas, permitió atender necesidades urgentes y sostener la operatividad minera, pero generó también alta volatilidad, dependencia de los recursos mineros y limitada articulación con el desarrollo del territorio.</w:t>
      </w:r>
      <w:r w:rsidRPr="005A6FFB">
        <w:rPr>
          <w:rFonts w:ascii="Arial" w:eastAsia="MS Mincho" w:hAnsi="Arial" w:cs="Arial"/>
          <w:sz w:val="22"/>
          <w:szCs w:val="22"/>
          <w:lang w:val="es-419"/>
        </w:rPr>
        <w:br/>
      </w:r>
      <w:r w:rsidRPr="005A6FFB">
        <w:rPr>
          <w:rFonts w:ascii="Arial" w:eastAsia="MS Mincho" w:hAnsi="Arial" w:cs="Arial"/>
          <w:sz w:val="22"/>
          <w:szCs w:val="22"/>
          <w:lang w:val="es-419"/>
        </w:rPr>
        <w:br/>
        <w:t>En respuesta a las crecientes expectativas de sostenibilidad, gobernanza participativa y responsabilidad social, ha surgido la necesidad de adoptar enfoques de planificación compartida entre empresa y comunidad, complementada progresivamente con la participación de los gobiernos locales. Este nuevo enfoque busca estructurar la inversión social sobre agendas estratégicas y multianuales, concertadas y alineadas, en la medida de lo posible, con los instrumentos públicos existentes.</w:t>
      </w:r>
      <w:r w:rsidRPr="005A6FFB">
        <w:rPr>
          <w:rFonts w:ascii="Arial" w:eastAsia="MS Mincho" w:hAnsi="Arial" w:cs="Arial"/>
          <w:sz w:val="22"/>
          <w:szCs w:val="22"/>
          <w:lang w:val="es-419"/>
        </w:rPr>
        <w:br/>
      </w:r>
      <w:r w:rsidRPr="005A6FFB">
        <w:rPr>
          <w:rFonts w:ascii="Arial" w:eastAsia="MS Mincho" w:hAnsi="Arial" w:cs="Arial"/>
          <w:sz w:val="22"/>
          <w:szCs w:val="22"/>
          <w:lang w:val="es-419"/>
        </w:rPr>
        <w:br/>
        <w:t>Sin embargo, es importante reconocer que esta articulación con los gobiernos subnacionales aún se encuentra en transición, debido a debilidades institucionales, limitaciones de gestión y restricciones normativas. Por ello, la base de esta transformación ha sido la concertación directa entre empresa y comunidades, como primer paso para construir relaciones más estables, corresponsables y duraderas.</w:t>
      </w:r>
      <w:r w:rsidRPr="005A6FFB">
        <w:rPr>
          <w:rFonts w:ascii="Arial" w:eastAsia="MS Mincho" w:hAnsi="Arial" w:cs="Arial"/>
          <w:sz w:val="22"/>
          <w:szCs w:val="22"/>
          <w:lang w:val="es-419"/>
        </w:rPr>
        <w:br/>
      </w:r>
      <w:r w:rsidRPr="005A6FFB">
        <w:rPr>
          <w:rFonts w:ascii="Arial" w:eastAsia="MS Mincho" w:hAnsi="Arial" w:cs="Arial"/>
          <w:sz w:val="22"/>
          <w:szCs w:val="22"/>
          <w:lang w:val="es-419"/>
        </w:rPr>
        <w:br/>
        <w:t>El presente trabajo sistematiza esta experiencia de transición desde un modelo transaccional a uno planificado, enfatizando el fortalecimiento de la relación empresa-comunidad, la mejora del cumplimiento de compromisos y los impactos positivos del cambio hacia una lógica de mediano plazo.</w:t>
      </w:r>
    </w:p>
    <w:p w14:paraId="0179AAD7" w14:textId="77777777" w:rsidR="005A6FFB" w:rsidRPr="005A6FFB" w:rsidRDefault="005A6FFB" w:rsidP="001D3B76">
      <w:pPr>
        <w:spacing w:line="276" w:lineRule="auto"/>
        <w:rPr>
          <w:rFonts w:ascii="Arial" w:eastAsia="MS Mincho" w:hAnsi="Arial" w:cs="Arial"/>
          <w:sz w:val="22"/>
          <w:szCs w:val="22"/>
          <w:lang w:val="es-419"/>
        </w:rPr>
      </w:pPr>
    </w:p>
    <w:p w14:paraId="239F8A02" w14:textId="351E2566" w:rsidR="005A6FFB" w:rsidRPr="007A2D28" w:rsidRDefault="005A6FFB" w:rsidP="001D3B76">
      <w:pPr>
        <w:pStyle w:val="Prrafodelista"/>
        <w:numPr>
          <w:ilvl w:val="0"/>
          <w:numId w:val="17"/>
        </w:numPr>
        <w:spacing w:line="276" w:lineRule="auto"/>
        <w:rPr>
          <w:rFonts w:ascii="Arial" w:hAnsi="Arial" w:cs="Arial"/>
          <w:b/>
          <w:bCs/>
          <w:sz w:val="22"/>
          <w:szCs w:val="22"/>
          <w:lang w:val="es-419"/>
        </w:rPr>
      </w:pPr>
      <w:r w:rsidRPr="007A2D28">
        <w:rPr>
          <w:rFonts w:ascii="Arial" w:hAnsi="Arial" w:cs="Arial"/>
          <w:b/>
          <w:bCs/>
          <w:sz w:val="22"/>
          <w:szCs w:val="22"/>
          <w:lang w:val="es-419"/>
        </w:rPr>
        <w:t>Objetivos del Trabajo</w:t>
      </w:r>
    </w:p>
    <w:p w14:paraId="74A189D7" w14:textId="77777777" w:rsidR="005A6FFB" w:rsidRDefault="005A6FFB" w:rsidP="001D3B76">
      <w:p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El objetivo principal de este trabajo es analizar la transición de un modelo de acuerdos anuales hacia un proceso de planificación compartida de la inversión social de mediano plazo, centrado en la relación entre empresa minera y comunidades campesinas, e incluyendo de forma progresiva a los gobiernos locales.</w:t>
      </w:r>
      <w:r w:rsidRPr="005A6FFB">
        <w:rPr>
          <w:rFonts w:ascii="Arial" w:eastAsia="MS Mincho" w:hAnsi="Arial" w:cs="Arial"/>
          <w:sz w:val="22"/>
          <w:szCs w:val="22"/>
          <w:lang w:val="es-419"/>
        </w:rPr>
        <w:br/>
      </w:r>
      <w:r w:rsidRPr="005A6FFB">
        <w:rPr>
          <w:rFonts w:ascii="Arial" w:eastAsia="MS Mincho" w:hAnsi="Arial" w:cs="Arial"/>
          <w:sz w:val="22"/>
          <w:szCs w:val="22"/>
          <w:lang w:val="es-419"/>
        </w:rPr>
        <w:br/>
      </w:r>
      <w:r w:rsidRPr="005A6FFB">
        <w:rPr>
          <w:rFonts w:ascii="Arial" w:eastAsia="MS Mincho" w:hAnsi="Arial" w:cs="Arial"/>
          <w:b/>
          <w:bCs/>
          <w:sz w:val="22"/>
          <w:szCs w:val="22"/>
          <w:lang w:val="es-419"/>
        </w:rPr>
        <w:t>Objetivos específicos:</w:t>
      </w:r>
    </w:p>
    <w:p w14:paraId="57A8B571" w14:textId="77777777" w:rsidR="005A6FFB" w:rsidRDefault="005A6FFB" w:rsidP="001D3B76">
      <w:pPr>
        <w:pStyle w:val="Prrafodelista"/>
        <w:numPr>
          <w:ilvl w:val="0"/>
          <w:numId w:val="14"/>
        </w:num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lastRenderedPageBreak/>
        <w:t>Identificar las limitaciones del modelo tradicional de acuerdos anuales.</w:t>
      </w:r>
    </w:p>
    <w:p w14:paraId="2B747619" w14:textId="77777777" w:rsidR="005A6FFB" w:rsidRDefault="005A6FFB" w:rsidP="001D3B76">
      <w:pPr>
        <w:pStyle w:val="Prrafodelista"/>
        <w:numPr>
          <w:ilvl w:val="0"/>
          <w:numId w:val="14"/>
        </w:num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Exponer los beneficios de establecer agendas sociales de mediano plazo concertadas entre empresa y comunidad.</w:t>
      </w:r>
    </w:p>
    <w:p w14:paraId="704D2883" w14:textId="77777777" w:rsidR="005A6FFB" w:rsidRDefault="005A6FFB" w:rsidP="001D3B76">
      <w:pPr>
        <w:pStyle w:val="Prrafodelista"/>
        <w:numPr>
          <w:ilvl w:val="0"/>
          <w:numId w:val="14"/>
        </w:num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Analizar el proceso de incorporación gradual de gobiernos locales y sus desafíos institucionales.</w:t>
      </w:r>
    </w:p>
    <w:p w14:paraId="27ECFAE8" w14:textId="77777777" w:rsidR="005A6FFB" w:rsidRDefault="005A6FFB" w:rsidP="001D3B76">
      <w:pPr>
        <w:pStyle w:val="Prrafodelista"/>
        <w:numPr>
          <w:ilvl w:val="0"/>
          <w:numId w:val="14"/>
        </w:num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Resaltar cómo la planificación a tres años contribuye a romper el cortoplacismo derivado de la rotación bianual de las directivas comunales.</w:t>
      </w:r>
    </w:p>
    <w:p w14:paraId="478291D2" w14:textId="77777777" w:rsidR="005A6FFB" w:rsidRDefault="005A6FFB" w:rsidP="001D3B76">
      <w:pPr>
        <w:pStyle w:val="Prrafodelista"/>
        <w:numPr>
          <w:ilvl w:val="0"/>
          <w:numId w:val="14"/>
        </w:num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Evaluar cómo este modelo mejora la eficiencia en la gestión y cumplimiento de compromisos sociales.</w:t>
      </w:r>
    </w:p>
    <w:p w14:paraId="3A7E3216" w14:textId="5EBE59A9" w:rsidR="005A6FFB" w:rsidRPr="005A6FFB" w:rsidRDefault="005A6FFB" w:rsidP="001D3B76">
      <w:pPr>
        <w:pStyle w:val="Prrafodelista"/>
        <w:numPr>
          <w:ilvl w:val="0"/>
          <w:numId w:val="14"/>
        </w:num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Proponer recomendaciones para institucionalizar la inversión social minera de forma sostenible y corresponsable.</w:t>
      </w:r>
    </w:p>
    <w:p w14:paraId="3C4147D0" w14:textId="77777777" w:rsidR="005A6FFB" w:rsidRDefault="005A6FFB" w:rsidP="001D3B76">
      <w:pPr>
        <w:spacing w:line="276" w:lineRule="auto"/>
        <w:jc w:val="both"/>
        <w:rPr>
          <w:rFonts w:ascii="Arial" w:hAnsi="Arial" w:cs="Arial"/>
          <w:lang w:val="es-419"/>
        </w:rPr>
      </w:pPr>
    </w:p>
    <w:p w14:paraId="16545B26" w14:textId="1534E4C0" w:rsidR="005A6FFB" w:rsidRPr="007A2D28" w:rsidRDefault="005A6FFB" w:rsidP="001D3B76">
      <w:pPr>
        <w:pStyle w:val="Prrafodelista"/>
        <w:numPr>
          <w:ilvl w:val="0"/>
          <w:numId w:val="17"/>
        </w:numPr>
        <w:spacing w:line="276" w:lineRule="auto"/>
        <w:jc w:val="both"/>
        <w:rPr>
          <w:rFonts w:ascii="Arial" w:hAnsi="Arial" w:cs="Arial"/>
          <w:b/>
          <w:bCs/>
          <w:sz w:val="22"/>
          <w:szCs w:val="22"/>
          <w:lang w:val="es-419"/>
        </w:rPr>
      </w:pPr>
      <w:r w:rsidRPr="007A2D28">
        <w:rPr>
          <w:rFonts w:ascii="Arial" w:hAnsi="Arial" w:cs="Arial"/>
          <w:b/>
          <w:bCs/>
          <w:sz w:val="22"/>
          <w:szCs w:val="22"/>
          <w:lang w:val="es-419"/>
        </w:rPr>
        <w:t>Metodología Aplicada</w:t>
      </w:r>
    </w:p>
    <w:p w14:paraId="6E86D2EF" w14:textId="77777777" w:rsidR="007A2D28" w:rsidRDefault="005A6FFB" w:rsidP="001D3B76">
      <w:pPr>
        <w:spacing w:line="276" w:lineRule="auto"/>
        <w:jc w:val="both"/>
        <w:rPr>
          <w:rFonts w:ascii="Arial" w:eastAsia="MS Mincho" w:hAnsi="Arial" w:cs="Arial"/>
          <w:sz w:val="22"/>
          <w:szCs w:val="22"/>
          <w:lang w:val="es-419"/>
        </w:rPr>
      </w:pPr>
      <w:r w:rsidRPr="005A6FFB">
        <w:rPr>
          <w:rFonts w:ascii="Arial" w:eastAsia="MS Mincho" w:hAnsi="Arial" w:cs="Arial"/>
          <w:sz w:val="22"/>
          <w:szCs w:val="22"/>
          <w:lang w:val="es-419"/>
        </w:rPr>
        <w:t>La transición fue implementada a través de una metodología participativa y adaptativa, con enfoque territorial. Las principales etapas fueron:</w:t>
      </w:r>
    </w:p>
    <w:p w14:paraId="36987130" w14:textId="77777777" w:rsidR="007A2D28" w:rsidRDefault="007A2D28" w:rsidP="001D3B76">
      <w:pPr>
        <w:spacing w:line="276" w:lineRule="auto"/>
        <w:jc w:val="both"/>
        <w:rPr>
          <w:rFonts w:ascii="Arial" w:eastAsia="MS Mincho" w:hAnsi="Arial" w:cs="Arial"/>
          <w:sz w:val="22"/>
          <w:szCs w:val="22"/>
          <w:lang w:val="es-419"/>
        </w:rPr>
      </w:pPr>
    </w:p>
    <w:p w14:paraId="456D233E" w14:textId="45570645" w:rsidR="005A6FFB" w:rsidRPr="007A2D28" w:rsidRDefault="005A6FFB" w:rsidP="001D3B76">
      <w:pPr>
        <w:pStyle w:val="Prrafodelista"/>
        <w:numPr>
          <w:ilvl w:val="0"/>
          <w:numId w:val="20"/>
        </w:numPr>
        <w:spacing w:line="276" w:lineRule="auto"/>
        <w:rPr>
          <w:rFonts w:ascii="Arial" w:eastAsia="MS Mincho" w:hAnsi="Arial" w:cs="Arial"/>
          <w:sz w:val="22"/>
          <w:szCs w:val="22"/>
          <w:lang w:val="es-419"/>
        </w:rPr>
      </w:pPr>
      <w:r w:rsidRPr="007A2D28">
        <w:rPr>
          <w:rFonts w:ascii="Arial" w:eastAsia="MS Mincho" w:hAnsi="Arial" w:cs="Arial"/>
          <w:b/>
          <w:bCs/>
          <w:sz w:val="22"/>
          <w:szCs w:val="22"/>
          <w:lang w:val="es-419"/>
        </w:rPr>
        <w:t>Diagnóstico de situación inicial:</w:t>
      </w:r>
      <w:r w:rsidRPr="007A2D28">
        <w:rPr>
          <w:rFonts w:ascii="Arial" w:eastAsia="MS Mincho" w:hAnsi="Arial" w:cs="Arial"/>
          <w:sz w:val="22"/>
          <w:szCs w:val="22"/>
          <w:lang w:val="es-419"/>
        </w:rPr>
        <w:t xml:space="preserve"> Revisión de acuerdos vigentes, demandas históricas y dinámica institucional comunitaria y local.</w:t>
      </w:r>
    </w:p>
    <w:p w14:paraId="6C78A24D" w14:textId="3700CCDE" w:rsidR="005A6FFB" w:rsidRPr="007A2D28" w:rsidRDefault="005A6FFB" w:rsidP="001D3B76">
      <w:pPr>
        <w:pStyle w:val="Prrafodelista"/>
        <w:numPr>
          <w:ilvl w:val="0"/>
          <w:numId w:val="20"/>
        </w:numPr>
        <w:spacing w:line="276" w:lineRule="auto"/>
        <w:rPr>
          <w:rFonts w:ascii="Arial" w:eastAsia="MS Mincho" w:hAnsi="Arial" w:cs="Arial"/>
          <w:sz w:val="22"/>
          <w:szCs w:val="22"/>
          <w:lang w:val="es-419"/>
        </w:rPr>
      </w:pPr>
      <w:r w:rsidRPr="007A2D28">
        <w:rPr>
          <w:rFonts w:ascii="Arial" w:eastAsia="MS Mincho" w:hAnsi="Arial" w:cs="Arial"/>
          <w:b/>
          <w:bCs/>
          <w:sz w:val="22"/>
          <w:szCs w:val="22"/>
          <w:lang w:val="es-419"/>
        </w:rPr>
        <w:t>Mapeo de actores y análisis de capacidades:</w:t>
      </w:r>
      <w:r w:rsidRPr="007A2D28">
        <w:rPr>
          <w:rFonts w:ascii="Arial" w:eastAsia="MS Mincho" w:hAnsi="Arial" w:cs="Arial"/>
          <w:sz w:val="22"/>
          <w:szCs w:val="22"/>
          <w:lang w:val="es-419"/>
        </w:rPr>
        <w:t xml:space="preserve"> Identificación de líderes comunales, autoridades locales y evaluación de sus niveles de organización y gestión.</w:t>
      </w:r>
    </w:p>
    <w:p w14:paraId="73932752" w14:textId="77777777" w:rsidR="007A2D28" w:rsidRDefault="005A6FFB" w:rsidP="001D3B76">
      <w:pPr>
        <w:pStyle w:val="Prrafodelista"/>
        <w:numPr>
          <w:ilvl w:val="0"/>
          <w:numId w:val="20"/>
        </w:numPr>
        <w:spacing w:line="276" w:lineRule="auto"/>
        <w:rPr>
          <w:rFonts w:ascii="Arial" w:eastAsia="MS Mincho" w:hAnsi="Arial" w:cs="Arial"/>
          <w:sz w:val="22"/>
          <w:szCs w:val="22"/>
          <w:lang w:val="es-419"/>
        </w:rPr>
      </w:pPr>
      <w:r w:rsidRPr="007A2D28">
        <w:rPr>
          <w:rFonts w:ascii="Arial" w:eastAsia="MS Mincho" w:hAnsi="Arial" w:cs="Arial"/>
          <w:b/>
          <w:bCs/>
          <w:sz w:val="22"/>
          <w:szCs w:val="22"/>
          <w:lang w:val="es-419"/>
        </w:rPr>
        <w:t>Diseño del Plan de Inversión Social de Mediano Plazo:</w:t>
      </w:r>
      <w:r w:rsidRPr="007A2D28">
        <w:rPr>
          <w:rFonts w:ascii="Arial" w:eastAsia="MS Mincho" w:hAnsi="Arial" w:cs="Arial"/>
          <w:sz w:val="22"/>
          <w:szCs w:val="22"/>
          <w:lang w:val="es-419"/>
        </w:rPr>
        <w:t xml:space="preserve"> Construcción conjunta de una agenda de proyectos para tres años, con enfoque de sostenibilidad y articulación tentativa a los planes de desarrollo concertado.</w:t>
      </w:r>
    </w:p>
    <w:p w14:paraId="0AC57093" w14:textId="77777777" w:rsidR="007A2D28" w:rsidRDefault="005A6FFB" w:rsidP="001D3B76">
      <w:pPr>
        <w:pStyle w:val="Prrafodelista"/>
        <w:numPr>
          <w:ilvl w:val="0"/>
          <w:numId w:val="20"/>
        </w:numPr>
        <w:spacing w:line="276" w:lineRule="auto"/>
        <w:rPr>
          <w:rFonts w:ascii="Arial" w:eastAsia="MS Mincho" w:hAnsi="Arial" w:cs="Arial"/>
          <w:sz w:val="22"/>
          <w:szCs w:val="22"/>
          <w:lang w:val="es-419"/>
        </w:rPr>
      </w:pPr>
      <w:r w:rsidRPr="007A2D28">
        <w:rPr>
          <w:rFonts w:ascii="Arial" w:eastAsia="MS Mincho" w:hAnsi="Arial" w:cs="Arial"/>
          <w:b/>
          <w:bCs/>
          <w:sz w:val="22"/>
          <w:szCs w:val="22"/>
          <w:lang w:val="es-419"/>
        </w:rPr>
        <w:t>Formalización de compromisos:</w:t>
      </w:r>
      <w:r w:rsidRPr="007A2D28">
        <w:rPr>
          <w:rFonts w:ascii="Arial" w:eastAsia="MS Mincho" w:hAnsi="Arial" w:cs="Arial"/>
          <w:sz w:val="22"/>
          <w:szCs w:val="22"/>
          <w:lang w:val="es-419"/>
        </w:rPr>
        <w:t xml:space="preserve"> Firma de convenios con responsabilidades, cronogramas, presupuestos y mecanismos de seguimiento.</w:t>
      </w:r>
    </w:p>
    <w:p w14:paraId="3D397C86" w14:textId="14EE0869" w:rsidR="005A6FFB" w:rsidRPr="007A2D28" w:rsidRDefault="005A6FFB" w:rsidP="001D3B76">
      <w:pPr>
        <w:pStyle w:val="Prrafodelista"/>
        <w:numPr>
          <w:ilvl w:val="0"/>
          <w:numId w:val="20"/>
        </w:numPr>
        <w:spacing w:line="276" w:lineRule="auto"/>
        <w:rPr>
          <w:rFonts w:ascii="Arial" w:eastAsia="MS Mincho" w:hAnsi="Arial" w:cs="Arial"/>
          <w:sz w:val="22"/>
          <w:szCs w:val="22"/>
          <w:lang w:val="es-419"/>
        </w:rPr>
      </w:pPr>
      <w:r w:rsidRPr="007A2D28">
        <w:rPr>
          <w:rFonts w:ascii="Arial" w:eastAsia="MS Mincho" w:hAnsi="Arial" w:cs="Arial"/>
          <w:b/>
          <w:bCs/>
          <w:sz w:val="22"/>
          <w:szCs w:val="22"/>
          <w:lang w:val="es-419"/>
        </w:rPr>
        <w:t>Comunicación y rendición de cuentas:</w:t>
      </w:r>
      <w:r w:rsidRPr="007A2D28">
        <w:rPr>
          <w:rFonts w:ascii="Arial" w:eastAsia="MS Mincho" w:hAnsi="Arial" w:cs="Arial"/>
          <w:sz w:val="22"/>
          <w:szCs w:val="22"/>
          <w:lang w:val="es-419"/>
        </w:rPr>
        <w:t xml:space="preserve"> Implementación de canales de información continua con las comunidades, promoviendo la transparencia.</w:t>
      </w:r>
    </w:p>
    <w:p w14:paraId="790E78EB" w14:textId="77777777" w:rsidR="005A6FFB" w:rsidRPr="005A6FFB" w:rsidRDefault="005A6FFB" w:rsidP="001D3B76">
      <w:pPr>
        <w:spacing w:line="276" w:lineRule="auto"/>
        <w:rPr>
          <w:rFonts w:ascii="Arial" w:eastAsia="MS Mincho" w:hAnsi="Arial" w:cs="Arial"/>
          <w:sz w:val="22"/>
          <w:szCs w:val="22"/>
          <w:lang w:val="es-419"/>
        </w:rPr>
      </w:pPr>
    </w:p>
    <w:p w14:paraId="616AF19A" w14:textId="12CC3382" w:rsidR="005A6FFB" w:rsidRPr="007A2D28" w:rsidRDefault="005A6FFB" w:rsidP="001D3B76">
      <w:pPr>
        <w:pStyle w:val="Prrafodelista"/>
        <w:numPr>
          <w:ilvl w:val="0"/>
          <w:numId w:val="17"/>
        </w:numPr>
        <w:spacing w:line="276" w:lineRule="auto"/>
        <w:rPr>
          <w:rFonts w:ascii="Arial" w:hAnsi="Arial" w:cs="Arial"/>
          <w:b/>
          <w:bCs/>
          <w:sz w:val="22"/>
          <w:szCs w:val="22"/>
          <w:lang w:val="es-419"/>
        </w:rPr>
      </w:pPr>
      <w:r w:rsidRPr="007A2D28">
        <w:rPr>
          <w:rFonts w:ascii="Arial" w:hAnsi="Arial" w:cs="Arial"/>
          <w:b/>
          <w:bCs/>
          <w:sz w:val="22"/>
          <w:szCs w:val="22"/>
          <w:lang w:val="es-419"/>
        </w:rPr>
        <w:t>Resultados Alcanzados</w:t>
      </w:r>
    </w:p>
    <w:p w14:paraId="54B06B4F" w14:textId="77777777" w:rsidR="007A2D28" w:rsidRDefault="005A6FFB" w:rsidP="001D3B76">
      <w:pPr>
        <w:spacing w:line="276" w:lineRule="auto"/>
        <w:rPr>
          <w:rFonts w:ascii="Arial" w:eastAsia="MS Mincho" w:hAnsi="Arial" w:cs="Arial"/>
          <w:sz w:val="22"/>
          <w:szCs w:val="22"/>
          <w:lang w:val="es-419"/>
        </w:rPr>
      </w:pPr>
      <w:r w:rsidRPr="005A6FFB">
        <w:rPr>
          <w:rFonts w:ascii="Arial" w:eastAsia="MS Mincho" w:hAnsi="Arial" w:cs="Arial"/>
          <w:sz w:val="22"/>
          <w:szCs w:val="22"/>
          <w:lang w:val="es-419"/>
        </w:rPr>
        <w:t>La implementación de este modelo ha generado beneficios en distintos niveles:</w:t>
      </w:r>
    </w:p>
    <w:p w14:paraId="31A23CF3" w14:textId="77777777" w:rsidR="007A2D28" w:rsidRDefault="007A2D28" w:rsidP="001D3B76">
      <w:pPr>
        <w:spacing w:line="276" w:lineRule="auto"/>
        <w:rPr>
          <w:rFonts w:ascii="Arial" w:eastAsia="MS Mincho" w:hAnsi="Arial" w:cs="Arial"/>
          <w:sz w:val="22"/>
          <w:szCs w:val="22"/>
          <w:lang w:val="es-419"/>
        </w:rPr>
      </w:pPr>
    </w:p>
    <w:p w14:paraId="38C63C59" w14:textId="77777777" w:rsidR="007A2D28" w:rsidRDefault="005A6FFB" w:rsidP="001D3B76">
      <w:pPr>
        <w:pStyle w:val="Prrafodelista"/>
        <w:numPr>
          <w:ilvl w:val="0"/>
          <w:numId w:val="16"/>
        </w:numPr>
        <w:spacing w:line="276" w:lineRule="auto"/>
        <w:jc w:val="both"/>
        <w:rPr>
          <w:rFonts w:ascii="Arial" w:eastAsia="MS Mincho" w:hAnsi="Arial" w:cs="Arial"/>
          <w:sz w:val="22"/>
          <w:szCs w:val="22"/>
          <w:lang w:val="es-419"/>
        </w:rPr>
      </w:pPr>
      <w:r w:rsidRPr="007A2D28">
        <w:rPr>
          <w:rFonts w:ascii="Arial" w:eastAsia="MS Mincho" w:hAnsi="Arial" w:cs="Arial"/>
          <w:b/>
          <w:bCs/>
          <w:sz w:val="22"/>
          <w:szCs w:val="22"/>
          <w:lang w:val="es-419"/>
        </w:rPr>
        <w:t>Mayor institucionalización de la relación empresa-comunidad</w:t>
      </w:r>
      <w:r w:rsidRPr="007A2D28">
        <w:rPr>
          <w:rFonts w:ascii="Arial" w:eastAsia="MS Mincho" w:hAnsi="Arial" w:cs="Arial"/>
          <w:sz w:val="22"/>
          <w:szCs w:val="22"/>
          <w:lang w:val="es-419"/>
        </w:rPr>
        <w:t>, al superar la lógica de acuerdos anuales y construir compromisos multianuales compartidos.</w:t>
      </w:r>
    </w:p>
    <w:p w14:paraId="5889AB94" w14:textId="77777777" w:rsidR="007A2D28" w:rsidRDefault="005A6FFB" w:rsidP="001D3B76">
      <w:pPr>
        <w:pStyle w:val="Prrafodelista"/>
        <w:numPr>
          <w:ilvl w:val="0"/>
          <w:numId w:val="16"/>
        </w:numPr>
        <w:spacing w:line="276" w:lineRule="auto"/>
        <w:jc w:val="both"/>
        <w:rPr>
          <w:rFonts w:ascii="Arial" w:eastAsia="MS Mincho" w:hAnsi="Arial" w:cs="Arial"/>
          <w:sz w:val="22"/>
          <w:szCs w:val="22"/>
          <w:lang w:val="es-419"/>
        </w:rPr>
      </w:pPr>
      <w:r w:rsidRPr="007A2D28">
        <w:rPr>
          <w:rFonts w:ascii="Arial" w:eastAsia="MS Mincho" w:hAnsi="Arial" w:cs="Arial"/>
          <w:b/>
          <w:bCs/>
          <w:sz w:val="22"/>
          <w:szCs w:val="22"/>
          <w:lang w:val="es-419"/>
        </w:rPr>
        <w:t>Reducción del cortoplacismo en la gestión comunal</w:t>
      </w:r>
      <w:r w:rsidRPr="007A2D28">
        <w:rPr>
          <w:rFonts w:ascii="Arial" w:eastAsia="MS Mincho" w:hAnsi="Arial" w:cs="Arial"/>
          <w:sz w:val="22"/>
          <w:szCs w:val="22"/>
          <w:lang w:val="es-419"/>
        </w:rPr>
        <w:t>, al establecer agendas que trascienden el ciclo bianual de las directivas comunales, fortaleciendo la memoria institucional y la continuidad.</w:t>
      </w:r>
    </w:p>
    <w:p w14:paraId="2E958365" w14:textId="77777777" w:rsidR="007A2D28" w:rsidRDefault="005A6FFB" w:rsidP="001D3B76">
      <w:pPr>
        <w:pStyle w:val="Prrafodelista"/>
        <w:numPr>
          <w:ilvl w:val="0"/>
          <w:numId w:val="16"/>
        </w:numPr>
        <w:spacing w:line="276" w:lineRule="auto"/>
        <w:jc w:val="both"/>
        <w:rPr>
          <w:rFonts w:ascii="Arial" w:eastAsia="MS Mincho" w:hAnsi="Arial" w:cs="Arial"/>
          <w:sz w:val="22"/>
          <w:szCs w:val="22"/>
          <w:lang w:val="es-419"/>
        </w:rPr>
      </w:pPr>
      <w:r w:rsidRPr="007A2D28">
        <w:rPr>
          <w:rFonts w:ascii="Arial" w:eastAsia="MS Mincho" w:hAnsi="Arial" w:cs="Arial"/>
          <w:b/>
          <w:bCs/>
          <w:sz w:val="22"/>
          <w:szCs w:val="22"/>
          <w:lang w:val="es-419"/>
        </w:rPr>
        <w:t>Mejor articulación interna en la empresa minera</w:t>
      </w:r>
      <w:r w:rsidRPr="007A2D28">
        <w:rPr>
          <w:rFonts w:ascii="Arial" w:eastAsia="MS Mincho" w:hAnsi="Arial" w:cs="Arial"/>
          <w:sz w:val="22"/>
          <w:szCs w:val="22"/>
          <w:lang w:val="es-419"/>
        </w:rPr>
        <w:t>, al permitir una planificación presupuestal más eficiente y alineada con estándares corporativos.</w:t>
      </w:r>
    </w:p>
    <w:p w14:paraId="6F3A34A7" w14:textId="77777777" w:rsidR="007A2D28" w:rsidRDefault="005A6FFB" w:rsidP="001D3B76">
      <w:pPr>
        <w:pStyle w:val="Prrafodelista"/>
        <w:numPr>
          <w:ilvl w:val="0"/>
          <w:numId w:val="16"/>
        </w:numPr>
        <w:spacing w:line="276" w:lineRule="auto"/>
        <w:jc w:val="both"/>
        <w:rPr>
          <w:rFonts w:ascii="Arial" w:eastAsia="MS Mincho" w:hAnsi="Arial" w:cs="Arial"/>
          <w:sz w:val="22"/>
          <w:szCs w:val="22"/>
          <w:lang w:val="es-419"/>
        </w:rPr>
      </w:pPr>
      <w:r w:rsidRPr="007A2D28">
        <w:rPr>
          <w:rFonts w:ascii="Arial" w:eastAsia="MS Mincho" w:hAnsi="Arial" w:cs="Arial"/>
          <w:b/>
          <w:bCs/>
          <w:sz w:val="22"/>
          <w:szCs w:val="22"/>
          <w:lang w:val="es-419"/>
        </w:rPr>
        <w:t>Incremento significativo en la eficiencia administrativa para el cumplimiento de compromisos</w:t>
      </w:r>
      <w:r w:rsidRPr="007A2D28">
        <w:rPr>
          <w:rFonts w:ascii="Arial" w:eastAsia="MS Mincho" w:hAnsi="Arial" w:cs="Arial"/>
          <w:sz w:val="22"/>
          <w:szCs w:val="22"/>
          <w:lang w:val="es-419"/>
        </w:rPr>
        <w:t>, al permitir consolidar múltiples proyectos en contratos integrados, reduciendo los ciclos de contratación, adjudicación y ejecución. Esto contrasta con el modelo anterior, que exigía iniciar procesos administrativos casi cada año, duplicando esfuerzos y aumentando la carga operativa.</w:t>
      </w:r>
    </w:p>
    <w:p w14:paraId="1ED88DDB" w14:textId="77777777" w:rsidR="007A2D28" w:rsidRDefault="005A6FFB" w:rsidP="001D3B76">
      <w:pPr>
        <w:pStyle w:val="Prrafodelista"/>
        <w:numPr>
          <w:ilvl w:val="0"/>
          <w:numId w:val="16"/>
        </w:numPr>
        <w:spacing w:line="276" w:lineRule="auto"/>
        <w:jc w:val="both"/>
        <w:rPr>
          <w:rFonts w:ascii="Arial" w:eastAsia="MS Mincho" w:hAnsi="Arial" w:cs="Arial"/>
          <w:sz w:val="22"/>
          <w:szCs w:val="22"/>
          <w:lang w:val="es-419"/>
        </w:rPr>
      </w:pPr>
      <w:r w:rsidRPr="007A2D28">
        <w:rPr>
          <w:rFonts w:ascii="Arial" w:eastAsia="MS Mincho" w:hAnsi="Arial" w:cs="Arial"/>
          <w:b/>
          <w:bCs/>
          <w:sz w:val="22"/>
          <w:szCs w:val="22"/>
          <w:lang w:val="es-419"/>
        </w:rPr>
        <w:lastRenderedPageBreak/>
        <w:t>Inicio de un proceso de articulación con gobiernos locales</w:t>
      </w:r>
      <w:r w:rsidRPr="007A2D28">
        <w:rPr>
          <w:rFonts w:ascii="Arial" w:eastAsia="MS Mincho" w:hAnsi="Arial" w:cs="Arial"/>
          <w:sz w:val="22"/>
          <w:szCs w:val="22"/>
          <w:lang w:val="es-419"/>
        </w:rPr>
        <w:t>, aunque condicionado por limitaciones institucionales que deben ser abordadas con estrategias complementarias de fortalecimiento.</w:t>
      </w:r>
    </w:p>
    <w:p w14:paraId="29BD7C07" w14:textId="77777777" w:rsidR="007A2D28" w:rsidRDefault="005A6FFB" w:rsidP="001D3B76">
      <w:pPr>
        <w:pStyle w:val="Prrafodelista"/>
        <w:numPr>
          <w:ilvl w:val="0"/>
          <w:numId w:val="16"/>
        </w:numPr>
        <w:spacing w:line="276" w:lineRule="auto"/>
        <w:jc w:val="both"/>
        <w:rPr>
          <w:rFonts w:ascii="Arial" w:eastAsia="MS Mincho" w:hAnsi="Arial" w:cs="Arial"/>
          <w:sz w:val="22"/>
          <w:szCs w:val="22"/>
          <w:lang w:val="es-419"/>
        </w:rPr>
      </w:pPr>
      <w:r w:rsidRPr="007A2D28">
        <w:rPr>
          <w:rFonts w:ascii="Arial" w:eastAsia="MS Mincho" w:hAnsi="Arial" w:cs="Arial"/>
          <w:b/>
          <w:bCs/>
          <w:sz w:val="22"/>
          <w:szCs w:val="22"/>
          <w:lang w:val="es-419"/>
        </w:rPr>
        <w:t>Incremento de la confianza entre empresa y comunidad</w:t>
      </w:r>
      <w:r w:rsidRPr="007A2D28">
        <w:rPr>
          <w:rFonts w:ascii="Arial" w:eastAsia="MS Mincho" w:hAnsi="Arial" w:cs="Arial"/>
          <w:sz w:val="22"/>
          <w:szCs w:val="22"/>
          <w:lang w:val="es-419"/>
        </w:rPr>
        <w:t>, al contar con marcos claros, metas compartidas y mecanismos formales de seguimiento y rendición de cuentas.</w:t>
      </w:r>
    </w:p>
    <w:p w14:paraId="5EC38160" w14:textId="001B133B" w:rsidR="005A6FFB" w:rsidRDefault="005A6FFB" w:rsidP="001D3B76">
      <w:pPr>
        <w:spacing w:line="276" w:lineRule="auto"/>
        <w:ind w:left="360"/>
        <w:jc w:val="both"/>
        <w:rPr>
          <w:rFonts w:ascii="Arial" w:eastAsia="MS Mincho" w:hAnsi="Arial" w:cs="Arial"/>
          <w:sz w:val="22"/>
          <w:szCs w:val="22"/>
          <w:lang w:val="es-419"/>
        </w:rPr>
      </w:pPr>
      <w:r w:rsidRPr="007A2D28">
        <w:rPr>
          <w:rFonts w:ascii="Arial" w:eastAsia="MS Mincho" w:hAnsi="Arial" w:cs="Arial"/>
          <w:sz w:val="22"/>
          <w:szCs w:val="22"/>
          <w:lang w:val="es-419"/>
        </w:rPr>
        <w:t>En conjunto, esta transición ha contribuido a construir una nueva lógica de inversión social, más estratégica, participativa y orientada a resultados sostenibles.</w:t>
      </w:r>
    </w:p>
    <w:p w14:paraId="7FDA4C52" w14:textId="77777777" w:rsidR="007A2D28" w:rsidRPr="007A2D28" w:rsidRDefault="007A2D28" w:rsidP="001D3B76">
      <w:pPr>
        <w:spacing w:line="276" w:lineRule="auto"/>
        <w:ind w:left="360"/>
        <w:rPr>
          <w:rFonts w:ascii="Arial" w:eastAsia="MS Mincho" w:hAnsi="Arial" w:cs="Arial"/>
          <w:sz w:val="22"/>
          <w:szCs w:val="22"/>
          <w:lang w:val="es-419"/>
        </w:rPr>
      </w:pPr>
    </w:p>
    <w:p w14:paraId="0D473750" w14:textId="23C2A471" w:rsidR="005A6FFB" w:rsidRPr="007A2D28" w:rsidRDefault="005A6FFB" w:rsidP="001D3B76">
      <w:pPr>
        <w:pStyle w:val="Prrafodelista"/>
        <w:numPr>
          <w:ilvl w:val="0"/>
          <w:numId w:val="17"/>
        </w:numPr>
        <w:spacing w:line="276" w:lineRule="auto"/>
        <w:rPr>
          <w:rFonts w:ascii="Arial" w:hAnsi="Arial" w:cs="Arial"/>
          <w:b/>
          <w:bCs/>
          <w:lang w:val="es-419"/>
        </w:rPr>
      </w:pPr>
      <w:r w:rsidRPr="007A2D28">
        <w:rPr>
          <w:rFonts w:ascii="Arial" w:hAnsi="Arial" w:cs="Arial"/>
          <w:b/>
          <w:bCs/>
          <w:sz w:val="22"/>
          <w:szCs w:val="22"/>
          <w:lang w:val="es-419"/>
        </w:rPr>
        <w:t>Conclusiones y Recomendaciones</w:t>
      </w:r>
    </w:p>
    <w:p w14:paraId="5FBD3ACB" w14:textId="77777777" w:rsidR="007A2D28" w:rsidRDefault="005A6FFB" w:rsidP="001D3B76">
      <w:pPr>
        <w:spacing w:line="276" w:lineRule="auto"/>
        <w:jc w:val="both"/>
        <w:rPr>
          <w:rFonts w:ascii="Arial" w:eastAsia="MS Mincho" w:hAnsi="Arial" w:cs="Arial"/>
          <w:sz w:val="22"/>
          <w:szCs w:val="22"/>
          <w:lang w:val="es-419"/>
        </w:rPr>
      </w:pPr>
      <w:r w:rsidRPr="007A2D28">
        <w:rPr>
          <w:rFonts w:ascii="Arial" w:eastAsia="MS Mincho" w:hAnsi="Arial" w:cs="Arial"/>
          <w:sz w:val="22"/>
          <w:szCs w:val="22"/>
          <w:lang w:val="es-419"/>
        </w:rPr>
        <w:t>La planificación social de mediano plazo constituye un paso clave para transformar la gestión social minera. Al pasar de acuerdos anuales a compromisos de tres años, se mejora la institucionalidad de la relación empresa-comunidad, se fortalece la continuidad de los procesos y se reduce la dependencia de coyunturas o cambios dirigenciales.</w:t>
      </w:r>
      <w:r w:rsidRPr="007A2D28">
        <w:rPr>
          <w:rFonts w:ascii="Arial" w:eastAsia="MS Mincho" w:hAnsi="Arial" w:cs="Arial"/>
          <w:sz w:val="22"/>
          <w:szCs w:val="22"/>
          <w:lang w:val="es-419"/>
        </w:rPr>
        <w:br/>
      </w:r>
      <w:r w:rsidRPr="007A2D28">
        <w:rPr>
          <w:rFonts w:ascii="Arial" w:eastAsia="MS Mincho" w:hAnsi="Arial" w:cs="Arial"/>
          <w:sz w:val="22"/>
          <w:szCs w:val="22"/>
          <w:lang w:val="es-419"/>
        </w:rPr>
        <w:br/>
        <w:t>Además, este modelo mejora de forma sustancial la eficiencia operativa interna de la empresa, al reducir los procesos administrativos repetitivos y permitir una mejor programación financiera, logística y de cumplimiento. Al consolidar varios compromisos en contratos multianuales, se acorta el ciclo de ejecución y se centra el esfuerzo en la etapa de adjudicación, dejando luego espacio para un seguimiento más ordenado.</w:t>
      </w:r>
      <w:r w:rsidRPr="007A2D28">
        <w:rPr>
          <w:rFonts w:ascii="Arial" w:eastAsia="MS Mincho" w:hAnsi="Arial" w:cs="Arial"/>
          <w:sz w:val="22"/>
          <w:szCs w:val="22"/>
          <w:lang w:val="es-419"/>
        </w:rPr>
        <w:br/>
      </w:r>
      <w:r w:rsidRPr="007A2D28">
        <w:rPr>
          <w:rFonts w:ascii="Arial" w:eastAsia="MS Mincho" w:hAnsi="Arial" w:cs="Arial"/>
          <w:sz w:val="22"/>
          <w:szCs w:val="22"/>
          <w:lang w:val="es-419"/>
        </w:rPr>
        <w:br/>
        <w:t>Aunque la articulación con gobiernos locales es un objetivo deseable, debe reconocerse que su incorporación efectiva exige un proceso gradual, apoyado por estrategias de fortalecimiento de capacidades e incentivos para la planificación territorial.</w:t>
      </w:r>
    </w:p>
    <w:p w14:paraId="0B2A8AEB" w14:textId="36A52C18" w:rsidR="007A2D28" w:rsidRDefault="005A6FFB" w:rsidP="001D3B76">
      <w:pPr>
        <w:spacing w:line="276" w:lineRule="auto"/>
        <w:jc w:val="both"/>
        <w:rPr>
          <w:rFonts w:ascii="Arial" w:eastAsia="MS Mincho" w:hAnsi="Arial" w:cs="Arial"/>
          <w:b/>
          <w:bCs/>
          <w:sz w:val="22"/>
          <w:szCs w:val="22"/>
          <w:lang w:val="es-419"/>
        </w:rPr>
      </w:pPr>
      <w:r w:rsidRPr="007A2D28">
        <w:rPr>
          <w:rFonts w:ascii="Arial" w:eastAsia="MS Mincho" w:hAnsi="Arial" w:cs="Arial"/>
          <w:sz w:val="22"/>
          <w:szCs w:val="22"/>
          <w:lang w:val="es-419"/>
        </w:rPr>
        <w:br/>
      </w:r>
      <w:r w:rsidRPr="007A2D28">
        <w:rPr>
          <w:rFonts w:ascii="Arial" w:eastAsia="MS Mincho" w:hAnsi="Arial" w:cs="Arial"/>
          <w:b/>
          <w:bCs/>
          <w:sz w:val="22"/>
          <w:szCs w:val="22"/>
          <w:lang w:val="es-419"/>
        </w:rPr>
        <w:t>Recomendaciones:</w:t>
      </w:r>
    </w:p>
    <w:p w14:paraId="51A6AD9F" w14:textId="77777777" w:rsidR="007A2D28" w:rsidRDefault="005A6FFB" w:rsidP="001D3B76">
      <w:pPr>
        <w:pStyle w:val="Prrafodelista"/>
        <w:numPr>
          <w:ilvl w:val="0"/>
          <w:numId w:val="19"/>
        </w:numPr>
        <w:spacing w:line="276" w:lineRule="auto"/>
        <w:jc w:val="both"/>
        <w:rPr>
          <w:rFonts w:ascii="Arial" w:eastAsia="MS Mincho" w:hAnsi="Arial" w:cs="Arial"/>
          <w:sz w:val="22"/>
          <w:szCs w:val="22"/>
          <w:lang w:val="es-419"/>
        </w:rPr>
      </w:pPr>
      <w:r w:rsidRPr="007A2D28">
        <w:rPr>
          <w:rFonts w:ascii="Arial" w:eastAsia="MS Mincho" w:hAnsi="Arial" w:cs="Arial"/>
          <w:sz w:val="22"/>
          <w:szCs w:val="22"/>
          <w:lang w:val="es-419"/>
        </w:rPr>
        <w:t>Consolidar los espacios de diálogo empresa-comunidad como base de la planificación social.</w:t>
      </w:r>
    </w:p>
    <w:p w14:paraId="4FC87DEF" w14:textId="77777777" w:rsidR="007A2D28" w:rsidRDefault="005A6FFB" w:rsidP="001D3B76">
      <w:pPr>
        <w:pStyle w:val="Prrafodelista"/>
        <w:numPr>
          <w:ilvl w:val="0"/>
          <w:numId w:val="19"/>
        </w:numPr>
        <w:spacing w:line="276" w:lineRule="auto"/>
        <w:jc w:val="both"/>
        <w:rPr>
          <w:rFonts w:ascii="Arial" w:eastAsia="MS Mincho" w:hAnsi="Arial" w:cs="Arial"/>
          <w:sz w:val="22"/>
          <w:szCs w:val="22"/>
          <w:lang w:val="es-419"/>
        </w:rPr>
      </w:pPr>
      <w:r w:rsidRPr="007A2D28">
        <w:rPr>
          <w:rFonts w:ascii="Arial" w:eastAsia="MS Mincho" w:hAnsi="Arial" w:cs="Arial"/>
          <w:sz w:val="22"/>
          <w:szCs w:val="22"/>
          <w:lang w:val="es-419"/>
        </w:rPr>
        <w:t>Promover mecanismos de memoria institucional comunal para mitigar el impacto de los cambios dirigenciales.</w:t>
      </w:r>
    </w:p>
    <w:p w14:paraId="3A7B1A79" w14:textId="77777777" w:rsidR="007A2D28" w:rsidRDefault="005A6FFB" w:rsidP="001D3B76">
      <w:pPr>
        <w:pStyle w:val="Prrafodelista"/>
        <w:numPr>
          <w:ilvl w:val="0"/>
          <w:numId w:val="19"/>
        </w:numPr>
        <w:spacing w:line="276" w:lineRule="auto"/>
        <w:jc w:val="both"/>
        <w:rPr>
          <w:rFonts w:ascii="Arial" w:eastAsia="MS Mincho" w:hAnsi="Arial" w:cs="Arial"/>
          <w:sz w:val="22"/>
          <w:szCs w:val="22"/>
          <w:lang w:val="es-419"/>
        </w:rPr>
      </w:pPr>
      <w:r w:rsidRPr="007A2D28">
        <w:rPr>
          <w:rFonts w:ascii="Arial" w:eastAsia="MS Mincho" w:hAnsi="Arial" w:cs="Arial"/>
          <w:sz w:val="22"/>
          <w:szCs w:val="22"/>
          <w:lang w:val="es-419"/>
        </w:rPr>
        <w:t>Diseñar estrategias complementarias para fortalecer la capacidad de gestión de los gobiernos subnacionales.</w:t>
      </w:r>
    </w:p>
    <w:p w14:paraId="279D812C" w14:textId="77777777" w:rsidR="007A2D28" w:rsidRDefault="005A6FFB" w:rsidP="001D3B76">
      <w:pPr>
        <w:pStyle w:val="Prrafodelista"/>
        <w:numPr>
          <w:ilvl w:val="0"/>
          <w:numId w:val="19"/>
        </w:numPr>
        <w:spacing w:line="276" w:lineRule="auto"/>
        <w:jc w:val="both"/>
        <w:rPr>
          <w:rFonts w:ascii="Arial" w:eastAsia="MS Mincho" w:hAnsi="Arial" w:cs="Arial"/>
          <w:sz w:val="22"/>
          <w:szCs w:val="22"/>
          <w:lang w:val="es-419"/>
        </w:rPr>
      </w:pPr>
      <w:r w:rsidRPr="007A2D28">
        <w:rPr>
          <w:rFonts w:ascii="Arial" w:eastAsia="MS Mincho" w:hAnsi="Arial" w:cs="Arial"/>
          <w:sz w:val="22"/>
          <w:szCs w:val="22"/>
          <w:lang w:val="es-419"/>
        </w:rPr>
        <w:t>Integrar progresivamente los compromisos sociales en los instrumentos de gestión pública, sin dejar de reconocer la centralidad de la relación directa empresa-comunidad.</w:t>
      </w:r>
    </w:p>
    <w:p w14:paraId="0021C013" w14:textId="305E2AD2" w:rsidR="005A6FFB" w:rsidRDefault="005A6FFB" w:rsidP="001D3B76">
      <w:pPr>
        <w:pStyle w:val="Prrafodelista"/>
        <w:numPr>
          <w:ilvl w:val="0"/>
          <w:numId w:val="19"/>
        </w:numPr>
        <w:pBdr>
          <w:bottom w:val="single" w:sz="6" w:space="1" w:color="auto"/>
        </w:pBdr>
        <w:spacing w:line="276" w:lineRule="auto"/>
        <w:jc w:val="both"/>
        <w:rPr>
          <w:rFonts w:ascii="Arial" w:eastAsia="MS Mincho" w:hAnsi="Arial" w:cs="Arial"/>
          <w:sz w:val="22"/>
          <w:szCs w:val="22"/>
          <w:lang w:val="es-419"/>
        </w:rPr>
      </w:pPr>
      <w:r w:rsidRPr="007A2D28">
        <w:rPr>
          <w:rFonts w:ascii="Arial" w:eastAsia="MS Mincho" w:hAnsi="Arial" w:cs="Arial"/>
          <w:sz w:val="22"/>
          <w:szCs w:val="22"/>
          <w:lang w:val="es-419"/>
        </w:rPr>
        <w:t>Profundizar los beneficios operativos del enfoque multianual mediante procesos administrativos internos más integrados, simples y escalables.</w:t>
      </w:r>
    </w:p>
    <w:p w14:paraId="4164C84E" w14:textId="77777777" w:rsidR="001D3B76" w:rsidRPr="001D3B76" w:rsidRDefault="001D3B76" w:rsidP="001D3B76">
      <w:pPr>
        <w:pBdr>
          <w:bottom w:val="single" w:sz="6" w:space="1" w:color="auto"/>
        </w:pBdr>
        <w:spacing w:line="276" w:lineRule="auto"/>
        <w:ind w:left="360"/>
        <w:jc w:val="both"/>
        <w:rPr>
          <w:rFonts w:ascii="Arial" w:eastAsia="MS Mincho" w:hAnsi="Arial" w:cs="Arial"/>
          <w:sz w:val="22"/>
          <w:szCs w:val="22"/>
          <w:lang w:val="es-419"/>
        </w:rPr>
      </w:pPr>
    </w:p>
    <w:p w14:paraId="0C86E8E5" w14:textId="77777777" w:rsidR="001D3B76" w:rsidRDefault="001D3B76" w:rsidP="005A6FFB">
      <w:pPr>
        <w:rPr>
          <w:rFonts w:ascii="Arial" w:hAnsi="Arial" w:cs="Arial"/>
          <w:i/>
          <w:iCs/>
          <w:color w:val="000000" w:themeColor="text1"/>
          <w:sz w:val="22"/>
          <w:szCs w:val="22"/>
          <w:lang w:val="es-ES"/>
        </w:rPr>
      </w:pPr>
    </w:p>
    <w:p w14:paraId="6DA1EB2A" w14:textId="77777777" w:rsidR="001D3B76" w:rsidRDefault="001D3B76" w:rsidP="005A6FFB">
      <w:pPr>
        <w:rPr>
          <w:rFonts w:ascii="Arial" w:hAnsi="Arial" w:cs="Arial"/>
          <w:b/>
          <w:bCs/>
          <w:color w:val="000000" w:themeColor="text1"/>
          <w:sz w:val="22"/>
          <w:szCs w:val="22"/>
          <w:u w:val="single"/>
          <w:lang w:val="es-ES"/>
        </w:rPr>
      </w:pPr>
    </w:p>
    <w:p w14:paraId="06FA8FF7" w14:textId="1D194612" w:rsidR="004C14A1" w:rsidRPr="001D3B76" w:rsidRDefault="004C14A1" w:rsidP="005A6FFB">
      <w:pPr>
        <w:rPr>
          <w:rFonts w:ascii="Arial" w:hAnsi="Arial" w:cs="Arial"/>
          <w:b/>
          <w:bCs/>
          <w:color w:val="000000" w:themeColor="text1"/>
          <w:sz w:val="22"/>
          <w:szCs w:val="22"/>
          <w:u w:val="single"/>
          <w:lang w:val="es-ES"/>
        </w:rPr>
      </w:pPr>
      <w:r w:rsidRPr="001D3B76">
        <w:rPr>
          <w:rFonts w:ascii="Arial" w:hAnsi="Arial" w:cs="Arial"/>
          <w:b/>
          <w:bCs/>
          <w:color w:val="000000" w:themeColor="text1"/>
          <w:sz w:val="22"/>
          <w:szCs w:val="22"/>
          <w:u w:val="single"/>
          <w:lang w:val="es-ES"/>
        </w:rPr>
        <w:t>RESEÑA PROFESIONAL DEL AUTOR:</w:t>
      </w:r>
    </w:p>
    <w:p w14:paraId="74F29171" w14:textId="77777777" w:rsidR="007A2D28" w:rsidRPr="001D3B76" w:rsidRDefault="005F16F0" w:rsidP="007A2D28">
      <w:pPr>
        <w:jc w:val="both"/>
        <w:rPr>
          <w:rFonts w:ascii="Arial" w:hAnsi="Arial" w:cs="Arial"/>
          <w:i/>
          <w:iCs/>
          <w:color w:val="000000" w:themeColor="text1"/>
          <w:sz w:val="22"/>
          <w:szCs w:val="22"/>
        </w:rPr>
      </w:pPr>
      <w:r w:rsidRPr="001D3B76">
        <w:rPr>
          <w:rFonts w:ascii="Arial" w:hAnsi="Arial" w:cs="Arial"/>
          <w:i/>
          <w:iCs/>
          <w:color w:val="000000" w:themeColor="text1"/>
          <w:sz w:val="22"/>
          <w:szCs w:val="22"/>
        </w:rPr>
        <w:t>Sociólogo con amplia experiencia en la gestión social en el sector minero. Especialista en sostenibilidad y gestión de riesgos socio ambientales con capacidad de análisis socio político en diversos niveles.</w:t>
      </w:r>
    </w:p>
    <w:p w14:paraId="273FBEC5" w14:textId="18C2A4F3" w:rsidR="001D0BB6" w:rsidRPr="001D3B76" w:rsidRDefault="005F16F0" w:rsidP="007A2D28">
      <w:pPr>
        <w:jc w:val="both"/>
        <w:rPr>
          <w:rFonts w:ascii="Arial" w:hAnsi="Arial" w:cs="Arial"/>
          <w:i/>
          <w:iCs/>
          <w:color w:val="000000" w:themeColor="text1"/>
          <w:sz w:val="22"/>
          <w:szCs w:val="22"/>
          <w:lang w:val="es-ES"/>
        </w:rPr>
      </w:pPr>
      <w:r w:rsidRPr="001D3B76">
        <w:rPr>
          <w:rFonts w:ascii="Arial" w:hAnsi="Arial" w:cs="Arial"/>
          <w:i/>
          <w:iCs/>
          <w:color w:val="000000" w:themeColor="text1"/>
          <w:sz w:val="22"/>
          <w:szCs w:val="22"/>
        </w:rPr>
        <w:br/>
        <w:t>Egresado de la maestría en Gestión Pública por la Universidad Peruana de Ciencias Aplicadas (UPC), cuenta además con estudios de maestría en Gestión de la Inversión Social por la Universidad del Pacifico (UP) y otras especializaciones en gestión de conflictos socioambientales y prácticas de responsabilidad social y sostenibilidad.</w:t>
      </w:r>
    </w:p>
    <w:sectPr w:rsidR="001D0BB6" w:rsidRPr="001D3B76" w:rsidSect="00142794">
      <w:pgSz w:w="11900" w:h="16840"/>
      <w:pgMar w:top="1417" w:right="1701" w:bottom="1417" w:left="1701" w:header="708" w:footer="708" w:gutter="0"/>
      <w:cols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38ED1" w14:textId="77777777" w:rsidR="00205188" w:rsidRDefault="00205188" w:rsidP="006C5018">
      <w:r>
        <w:separator/>
      </w:r>
    </w:p>
  </w:endnote>
  <w:endnote w:type="continuationSeparator" w:id="0">
    <w:p w14:paraId="2A15D9D5" w14:textId="77777777" w:rsidR="00205188" w:rsidRDefault="00205188" w:rsidP="006C5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F7A9" w14:textId="77777777" w:rsidR="00205188" w:rsidRDefault="00205188" w:rsidP="006C5018">
      <w:r>
        <w:separator/>
      </w:r>
    </w:p>
  </w:footnote>
  <w:footnote w:type="continuationSeparator" w:id="0">
    <w:p w14:paraId="19296417" w14:textId="77777777" w:rsidR="00205188" w:rsidRDefault="00205188" w:rsidP="006C5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68E"/>
    <w:multiLevelType w:val="hybridMultilevel"/>
    <w:tmpl w:val="49DE5034"/>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33478E"/>
    <w:multiLevelType w:val="hybridMultilevel"/>
    <w:tmpl w:val="8DEAAE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1D70EB5"/>
    <w:multiLevelType w:val="hybridMultilevel"/>
    <w:tmpl w:val="61F42EB2"/>
    <w:lvl w:ilvl="0" w:tplc="040A0003">
      <w:start w:val="1"/>
      <w:numFmt w:val="bullet"/>
      <w:lvlText w:val="o"/>
      <w:lvlJc w:val="left"/>
      <w:pPr>
        <w:ind w:left="360" w:hanging="360"/>
      </w:pPr>
      <w:rPr>
        <w:rFonts w:ascii="Courier New" w:hAnsi="Courier New" w:cs="Courier New"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 w15:restartNumberingAfterBreak="0">
    <w:nsid w:val="17670E3A"/>
    <w:multiLevelType w:val="hybridMultilevel"/>
    <w:tmpl w:val="40FC6794"/>
    <w:lvl w:ilvl="0" w:tplc="754E95AC">
      <w:start w:val="1"/>
      <w:numFmt w:val="decimal"/>
      <w:lvlText w:val="%1."/>
      <w:lvlJc w:val="left"/>
      <w:pPr>
        <w:ind w:left="1068" w:hanging="360"/>
      </w:pPr>
      <w:rPr>
        <w:b/>
        <w:bCs/>
      </w:rPr>
    </w:lvl>
    <w:lvl w:ilvl="1" w:tplc="580A0019" w:tentative="1">
      <w:start w:val="1"/>
      <w:numFmt w:val="lowerLetter"/>
      <w:lvlText w:val="%2."/>
      <w:lvlJc w:val="left"/>
      <w:pPr>
        <w:ind w:left="1788" w:hanging="360"/>
      </w:pPr>
    </w:lvl>
    <w:lvl w:ilvl="2" w:tplc="580A001B" w:tentative="1">
      <w:start w:val="1"/>
      <w:numFmt w:val="lowerRoman"/>
      <w:lvlText w:val="%3."/>
      <w:lvlJc w:val="right"/>
      <w:pPr>
        <w:ind w:left="2508" w:hanging="180"/>
      </w:pPr>
    </w:lvl>
    <w:lvl w:ilvl="3" w:tplc="580A000F" w:tentative="1">
      <w:start w:val="1"/>
      <w:numFmt w:val="decimal"/>
      <w:lvlText w:val="%4."/>
      <w:lvlJc w:val="left"/>
      <w:pPr>
        <w:ind w:left="3228" w:hanging="360"/>
      </w:pPr>
    </w:lvl>
    <w:lvl w:ilvl="4" w:tplc="580A0019" w:tentative="1">
      <w:start w:val="1"/>
      <w:numFmt w:val="lowerLetter"/>
      <w:lvlText w:val="%5."/>
      <w:lvlJc w:val="left"/>
      <w:pPr>
        <w:ind w:left="3948" w:hanging="360"/>
      </w:pPr>
    </w:lvl>
    <w:lvl w:ilvl="5" w:tplc="580A001B" w:tentative="1">
      <w:start w:val="1"/>
      <w:numFmt w:val="lowerRoman"/>
      <w:lvlText w:val="%6."/>
      <w:lvlJc w:val="right"/>
      <w:pPr>
        <w:ind w:left="4668" w:hanging="180"/>
      </w:pPr>
    </w:lvl>
    <w:lvl w:ilvl="6" w:tplc="580A000F" w:tentative="1">
      <w:start w:val="1"/>
      <w:numFmt w:val="decimal"/>
      <w:lvlText w:val="%7."/>
      <w:lvlJc w:val="left"/>
      <w:pPr>
        <w:ind w:left="5388" w:hanging="360"/>
      </w:pPr>
    </w:lvl>
    <w:lvl w:ilvl="7" w:tplc="580A0019" w:tentative="1">
      <w:start w:val="1"/>
      <w:numFmt w:val="lowerLetter"/>
      <w:lvlText w:val="%8."/>
      <w:lvlJc w:val="left"/>
      <w:pPr>
        <w:ind w:left="6108" w:hanging="360"/>
      </w:pPr>
    </w:lvl>
    <w:lvl w:ilvl="8" w:tplc="580A001B" w:tentative="1">
      <w:start w:val="1"/>
      <w:numFmt w:val="lowerRoman"/>
      <w:lvlText w:val="%9."/>
      <w:lvlJc w:val="right"/>
      <w:pPr>
        <w:ind w:left="6828" w:hanging="180"/>
      </w:pPr>
    </w:lvl>
  </w:abstractNum>
  <w:abstractNum w:abstractNumId="4" w15:restartNumberingAfterBreak="0">
    <w:nsid w:val="333F33C1"/>
    <w:multiLevelType w:val="hybridMultilevel"/>
    <w:tmpl w:val="5BFE82F2"/>
    <w:lvl w:ilvl="0" w:tplc="040A0005">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5C86EC1"/>
    <w:multiLevelType w:val="hybridMultilevel"/>
    <w:tmpl w:val="78E0C57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8177C90"/>
    <w:multiLevelType w:val="multilevel"/>
    <w:tmpl w:val="E4669E88"/>
    <w:lvl w:ilvl="0">
      <w:start w:val="1"/>
      <w:numFmt w:val="decimal"/>
      <w:lvlText w:val="%1."/>
      <w:lvlJc w:val="left"/>
      <w:pPr>
        <w:ind w:left="720" w:hanging="360"/>
      </w:pPr>
      <w:rPr>
        <w:rFonts w:hint="default"/>
      </w:rPr>
    </w:lvl>
    <w:lvl w:ilvl="1">
      <w:start w:val="1"/>
      <w:numFmt w:val="decimal"/>
      <w:isLgl/>
      <w:lvlText w:val="%1.%2"/>
      <w:lvlJc w:val="left"/>
      <w:pPr>
        <w:ind w:left="1420" w:hanging="7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9FD6AF1"/>
    <w:multiLevelType w:val="hybridMultilevel"/>
    <w:tmpl w:val="E6B091B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FD469B8"/>
    <w:multiLevelType w:val="multilevel"/>
    <w:tmpl w:val="05BA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F0ABE"/>
    <w:multiLevelType w:val="hybridMultilevel"/>
    <w:tmpl w:val="8F84674E"/>
    <w:lvl w:ilvl="0" w:tplc="580A0017">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42767609"/>
    <w:multiLevelType w:val="hybridMultilevel"/>
    <w:tmpl w:val="F9F855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4585312A"/>
    <w:multiLevelType w:val="multilevel"/>
    <w:tmpl w:val="C85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F23DF"/>
    <w:multiLevelType w:val="hybridMultilevel"/>
    <w:tmpl w:val="26526970"/>
    <w:lvl w:ilvl="0" w:tplc="754E95AC">
      <w:start w:val="1"/>
      <w:numFmt w:val="decimal"/>
      <w:lvlText w:val="%1."/>
      <w:lvlJc w:val="left"/>
      <w:pPr>
        <w:ind w:left="720" w:hanging="360"/>
      </w:pPr>
      <w:rPr>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50807309"/>
    <w:multiLevelType w:val="multilevel"/>
    <w:tmpl w:val="E89A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E80476"/>
    <w:multiLevelType w:val="multilevel"/>
    <w:tmpl w:val="C7269C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FA5B6A"/>
    <w:multiLevelType w:val="hybridMultilevel"/>
    <w:tmpl w:val="839EE52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72B716B3"/>
    <w:multiLevelType w:val="hybridMultilevel"/>
    <w:tmpl w:val="EFB8143A"/>
    <w:lvl w:ilvl="0" w:tplc="040A0003">
      <w:start w:val="1"/>
      <w:numFmt w:val="bullet"/>
      <w:lvlText w:val="o"/>
      <w:lvlJc w:val="left"/>
      <w:pPr>
        <w:ind w:left="1080" w:hanging="360"/>
      </w:pPr>
      <w:rPr>
        <w:rFonts w:ascii="Courier New" w:hAnsi="Courier New" w:cs="Courier New"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7" w15:restartNumberingAfterBreak="0">
    <w:nsid w:val="747D361E"/>
    <w:multiLevelType w:val="hybridMultilevel"/>
    <w:tmpl w:val="9F6A202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7772263D"/>
    <w:multiLevelType w:val="multilevel"/>
    <w:tmpl w:val="7BB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60997"/>
    <w:multiLevelType w:val="multilevel"/>
    <w:tmpl w:val="14D6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456580">
    <w:abstractNumId w:val="6"/>
  </w:num>
  <w:num w:numId="2" w16cid:durableId="1576548711">
    <w:abstractNumId w:val="17"/>
  </w:num>
  <w:num w:numId="3" w16cid:durableId="861171253">
    <w:abstractNumId w:val="5"/>
  </w:num>
  <w:num w:numId="4" w16cid:durableId="1156149923">
    <w:abstractNumId w:val="4"/>
  </w:num>
  <w:num w:numId="5" w16cid:durableId="1567497857">
    <w:abstractNumId w:val="16"/>
  </w:num>
  <w:num w:numId="6" w16cid:durableId="576092658">
    <w:abstractNumId w:val="2"/>
  </w:num>
  <w:num w:numId="7" w16cid:durableId="478889292">
    <w:abstractNumId w:val="11"/>
  </w:num>
  <w:num w:numId="8" w16cid:durableId="787623131">
    <w:abstractNumId w:val="8"/>
  </w:num>
  <w:num w:numId="9" w16cid:durableId="375860068">
    <w:abstractNumId w:val="18"/>
  </w:num>
  <w:num w:numId="10" w16cid:durableId="1754668476">
    <w:abstractNumId w:val="13"/>
  </w:num>
  <w:num w:numId="11" w16cid:durableId="1999574623">
    <w:abstractNumId w:val="19"/>
  </w:num>
  <w:num w:numId="12" w16cid:durableId="1660844492">
    <w:abstractNumId w:val="14"/>
  </w:num>
  <w:num w:numId="13" w16cid:durableId="2133476097">
    <w:abstractNumId w:val="7"/>
  </w:num>
  <w:num w:numId="14" w16cid:durableId="2056348779">
    <w:abstractNumId w:val="0"/>
  </w:num>
  <w:num w:numId="15" w16cid:durableId="1908610793">
    <w:abstractNumId w:val="3"/>
  </w:num>
  <w:num w:numId="16" w16cid:durableId="1998260764">
    <w:abstractNumId w:val="1"/>
  </w:num>
  <w:num w:numId="17" w16cid:durableId="6493463">
    <w:abstractNumId w:val="12"/>
  </w:num>
  <w:num w:numId="18" w16cid:durableId="1349065151">
    <w:abstractNumId w:val="15"/>
  </w:num>
  <w:num w:numId="19" w16cid:durableId="1289969871">
    <w:abstractNumId w:val="10"/>
  </w:num>
  <w:num w:numId="20" w16cid:durableId="1118528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D0"/>
    <w:rsid w:val="00000A2D"/>
    <w:rsid w:val="00010922"/>
    <w:rsid w:val="000464C3"/>
    <w:rsid w:val="00080AA5"/>
    <w:rsid w:val="000C1D3E"/>
    <w:rsid w:val="001401CD"/>
    <w:rsid w:val="00142794"/>
    <w:rsid w:val="00165779"/>
    <w:rsid w:val="001878F2"/>
    <w:rsid w:val="001A397E"/>
    <w:rsid w:val="001D0BB6"/>
    <w:rsid w:val="001D3B76"/>
    <w:rsid w:val="001F3D04"/>
    <w:rsid w:val="00205188"/>
    <w:rsid w:val="00286540"/>
    <w:rsid w:val="002B27D0"/>
    <w:rsid w:val="002B643D"/>
    <w:rsid w:val="00345399"/>
    <w:rsid w:val="003674F4"/>
    <w:rsid w:val="0038332D"/>
    <w:rsid w:val="00386BBC"/>
    <w:rsid w:val="003E5007"/>
    <w:rsid w:val="004A00DD"/>
    <w:rsid w:val="004B270D"/>
    <w:rsid w:val="004C14A1"/>
    <w:rsid w:val="00525E86"/>
    <w:rsid w:val="005512CD"/>
    <w:rsid w:val="00560D29"/>
    <w:rsid w:val="005A6FFB"/>
    <w:rsid w:val="005D18D0"/>
    <w:rsid w:val="005E0D4E"/>
    <w:rsid w:val="005F16F0"/>
    <w:rsid w:val="00613F44"/>
    <w:rsid w:val="00644BD2"/>
    <w:rsid w:val="00655AFB"/>
    <w:rsid w:val="006763B0"/>
    <w:rsid w:val="006941BA"/>
    <w:rsid w:val="006A6863"/>
    <w:rsid w:val="006C5018"/>
    <w:rsid w:val="0078031A"/>
    <w:rsid w:val="007A2D28"/>
    <w:rsid w:val="007A3E90"/>
    <w:rsid w:val="007F0836"/>
    <w:rsid w:val="008E73B5"/>
    <w:rsid w:val="008F4D05"/>
    <w:rsid w:val="009040E1"/>
    <w:rsid w:val="009C4A39"/>
    <w:rsid w:val="009F6D05"/>
    <w:rsid w:val="00A42C7E"/>
    <w:rsid w:val="00A7495F"/>
    <w:rsid w:val="00B00052"/>
    <w:rsid w:val="00B447C2"/>
    <w:rsid w:val="00C11980"/>
    <w:rsid w:val="00C43A8E"/>
    <w:rsid w:val="00C4586D"/>
    <w:rsid w:val="00CC5955"/>
    <w:rsid w:val="00CD18B0"/>
    <w:rsid w:val="00D17457"/>
    <w:rsid w:val="00D368CE"/>
    <w:rsid w:val="00D44A9D"/>
    <w:rsid w:val="00D8605A"/>
    <w:rsid w:val="00D9544E"/>
    <w:rsid w:val="00E366A9"/>
    <w:rsid w:val="00E63CA7"/>
    <w:rsid w:val="00E64A71"/>
    <w:rsid w:val="00EB05AA"/>
    <w:rsid w:val="00F458BC"/>
    <w:rsid w:val="00F62DFD"/>
    <w:rsid w:val="00F776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1C5A"/>
  <w15:chartTrackingRefBased/>
  <w15:docId w15:val="{B6B44ECD-DB71-3D48-BAD3-4F7CB9E0E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D368C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B27D0"/>
    <w:pPr>
      <w:spacing w:before="100" w:beforeAutospacing="1" w:after="100" w:afterAutospacing="1"/>
    </w:pPr>
    <w:rPr>
      <w:rFonts w:ascii="Times New Roman" w:eastAsia="Times New Roman" w:hAnsi="Times New Roman" w:cs="Times New Roman"/>
      <w:kern w:val="0"/>
      <w:lang w:val="es-PE" w:eastAsia="es-ES_tradnl"/>
      <w14:ligatures w14:val="none"/>
    </w:rPr>
  </w:style>
  <w:style w:type="character" w:styleId="Hipervnculo">
    <w:name w:val="Hyperlink"/>
    <w:basedOn w:val="Fuentedeprrafopredeter"/>
    <w:uiPriority w:val="99"/>
    <w:unhideWhenUsed/>
    <w:rsid w:val="002B27D0"/>
    <w:rPr>
      <w:color w:val="0563C1" w:themeColor="hyperlink"/>
      <w:u w:val="single"/>
    </w:rPr>
  </w:style>
  <w:style w:type="character" w:styleId="Mencinsinresolver">
    <w:name w:val="Unresolved Mention"/>
    <w:basedOn w:val="Fuentedeprrafopredeter"/>
    <w:uiPriority w:val="99"/>
    <w:semiHidden/>
    <w:unhideWhenUsed/>
    <w:rsid w:val="002B27D0"/>
    <w:rPr>
      <w:color w:val="605E5C"/>
      <w:shd w:val="clear" w:color="auto" w:fill="E1DFDD"/>
    </w:rPr>
  </w:style>
  <w:style w:type="paragraph" w:styleId="Textonotapie">
    <w:name w:val="footnote text"/>
    <w:basedOn w:val="Normal"/>
    <w:link w:val="TextonotapieCar"/>
    <w:uiPriority w:val="99"/>
    <w:semiHidden/>
    <w:unhideWhenUsed/>
    <w:rsid w:val="006C5018"/>
    <w:rPr>
      <w:sz w:val="20"/>
      <w:szCs w:val="20"/>
    </w:rPr>
  </w:style>
  <w:style w:type="character" w:customStyle="1" w:styleId="TextonotapieCar">
    <w:name w:val="Texto nota pie Car"/>
    <w:basedOn w:val="Fuentedeprrafopredeter"/>
    <w:link w:val="Textonotapie"/>
    <w:uiPriority w:val="99"/>
    <w:semiHidden/>
    <w:rsid w:val="006C5018"/>
    <w:rPr>
      <w:sz w:val="20"/>
      <w:szCs w:val="20"/>
      <w:lang w:val="es-ES_tradnl"/>
    </w:rPr>
  </w:style>
  <w:style w:type="character" w:styleId="Refdenotaalpie">
    <w:name w:val="footnote reference"/>
    <w:basedOn w:val="Fuentedeprrafopredeter"/>
    <w:uiPriority w:val="99"/>
    <w:semiHidden/>
    <w:unhideWhenUsed/>
    <w:rsid w:val="006C5018"/>
    <w:rPr>
      <w:vertAlign w:val="superscript"/>
    </w:rPr>
  </w:style>
  <w:style w:type="character" w:styleId="Hipervnculovisitado">
    <w:name w:val="FollowedHyperlink"/>
    <w:basedOn w:val="Fuentedeprrafopredeter"/>
    <w:uiPriority w:val="99"/>
    <w:semiHidden/>
    <w:unhideWhenUsed/>
    <w:rsid w:val="00D8605A"/>
    <w:rPr>
      <w:color w:val="954F72" w:themeColor="followedHyperlink"/>
      <w:u w:val="single"/>
    </w:rPr>
  </w:style>
  <w:style w:type="character" w:styleId="Refdecomentario">
    <w:name w:val="annotation reference"/>
    <w:basedOn w:val="Fuentedeprrafopredeter"/>
    <w:uiPriority w:val="99"/>
    <w:semiHidden/>
    <w:unhideWhenUsed/>
    <w:rsid w:val="00655AFB"/>
    <w:rPr>
      <w:sz w:val="16"/>
      <w:szCs w:val="16"/>
    </w:rPr>
  </w:style>
  <w:style w:type="paragraph" w:styleId="Textocomentario">
    <w:name w:val="annotation text"/>
    <w:basedOn w:val="Normal"/>
    <w:link w:val="TextocomentarioCar"/>
    <w:uiPriority w:val="99"/>
    <w:unhideWhenUsed/>
    <w:rsid w:val="00655AFB"/>
    <w:rPr>
      <w:sz w:val="20"/>
      <w:szCs w:val="20"/>
    </w:rPr>
  </w:style>
  <w:style w:type="character" w:customStyle="1" w:styleId="TextocomentarioCar">
    <w:name w:val="Texto comentario Car"/>
    <w:basedOn w:val="Fuentedeprrafopredeter"/>
    <w:link w:val="Textocomentario"/>
    <w:uiPriority w:val="99"/>
    <w:rsid w:val="00655AFB"/>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655AFB"/>
    <w:rPr>
      <w:b/>
      <w:bCs/>
    </w:rPr>
  </w:style>
  <w:style w:type="character" w:customStyle="1" w:styleId="AsuntodelcomentarioCar">
    <w:name w:val="Asunto del comentario Car"/>
    <w:basedOn w:val="TextocomentarioCar"/>
    <w:link w:val="Asuntodelcomentario"/>
    <w:uiPriority w:val="99"/>
    <w:semiHidden/>
    <w:rsid w:val="00655AFB"/>
    <w:rPr>
      <w:b/>
      <w:bCs/>
      <w:sz w:val="20"/>
      <w:szCs w:val="20"/>
      <w:lang w:val="es-ES_tradnl"/>
    </w:rPr>
  </w:style>
  <w:style w:type="paragraph" w:customStyle="1" w:styleId="EstiloPersonalizado">
    <w:name w:val="EstiloPersonalizado"/>
    <w:basedOn w:val="Ttulo1"/>
    <w:link w:val="EstiloPersonalizadoCar"/>
    <w:qFormat/>
    <w:rsid w:val="00D368CE"/>
    <w:pPr>
      <w:spacing w:line="276" w:lineRule="auto"/>
    </w:pPr>
    <w:rPr>
      <w:rFonts w:ascii="Arial" w:hAnsi="Arial" w:cs="Arial"/>
      <w:b/>
      <w:color w:val="000000" w:themeColor="text1"/>
      <w:sz w:val="22"/>
      <w:szCs w:val="22"/>
    </w:rPr>
  </w:style>
  <w:style w:type="character" w:customStyle="1" w:styleId="Ttulo1Car">
    <w:name w:val="Título 1 Car"/>
    <w:basedOn w:val="Fuentedeprrafopredeter"/>
    <w:link w:val="Ttulo1"/>
    <w:uiPriority w:val="9"/>
    <w:rsid w:val="00D368CE"/>
    <w:rPr>
      <w:rFonts w:asciiTheme="majorHAnsi" w:eastAsiaTheme="majorEastAsia" w:hAnsiTheme="majorHAnsi" w:cstheme="majorBidi"/>
      <w:color w:val="2F5496" w:themeColor="accent1" w:themeShade="BF"/>
      <w:sz w:val="32"/>
      <w:szCs w:val="32"/>
      <w:lang w:val="es-ES_tradnl"/>
    </w:rPr>
  </w:style>
  <w:style w:type="character" w:customStyle="1" w:styleId="EstiloPersonalizadoCar">
    <w:name w:val="EstiloPersonalizado Car"/>
    <w:basedOn w:val="Ttulo1Car"/>
    <w:link w:val="EstiloPersonalizado"/>
    <w:rsid w:val="00D368CE"/>
    <w:rPr>
      <w:rFonts w:ascii="Arial" w:eastAsiaTheme="majorEastAsia" w:hAnsi="Arial" w:cs="Arial"/>
      <w:b/>
      <w:color w:val="000000" w:themeColor="text1"/>
      <w:sz w:val="22"/>
      <w:szCs w:val="22"/>
      <w:lang w:val="es-ES_tradnl"/>
    </w:rPr>
  </w:style>
  <w:style w:type="paragraph" w:styleId="Prrafodelista">
    <w:name w:val="List Paragraph"/>
    <w:basedOn w:val="Normal"/>
    <w:uiPriority w:val="34"/>
    <w:qFormat/>
    <w:rsid w:val="00D36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69778">
      <w:bodyDiv w:val="1"/>
      <w:marLeft w:val="0"/>
      <w:marRight w:val="0"/>
      <w:marTop w:val="0"/>
      <w:marBottom w:val="0"/>
      <w:divBdr>
        <w:top w:val="none" w:sz="0" w:space="0" w:color="auto"/>
        <w:left w:val="none" w:sz="0" w:space="0" w:color="auto"/>
        <w:bottom w:val="none" w:sz="0" w:space="0" w:color="auto"/>
        <w:right w:val="none" w:sz="0" w:space="0" w:color="auto"/>
      </w:divBdr>
      <w:divsChild>
        <w:div w:id="2042314787">
          <w:marLeft w:val="0"/>
          <w:marRight w:val="0"/>
          <w:marTop w:val="0"/>
          <w:marBottom w:val="0"/>
          <w:divBdr>
            <w:top w:val="none" w:sz="0" w:space="0" w:color="auto"/>
            <w:left w:val="none" w:sz="0" w:space="0" w:color="auto"/>
            <w:bottom w:val="none" w:sz="0" w:space="0" w:color="auto"/>
            <w:right w:val="none" w:sz="0" w:space="0" w:color="auto"/>
          </w:divBdr>
          <w:divsChild>
            <w:div w:id="1063287780">
              <w:marLeft w:val="0"/>
              <w:marRight w:val="0"/>
              <w:marTop w:val="0"/>
              <w:marBottom w:val="0"/>
              <w:divBdr>
                <w:top w:val="none" w:sz="0" w:space="0" w:color="auto"/>
                <w:left w:val="none" w:sz="0" w:space="0" w:color="auto"/>
                <w:bottom w:val="none" w:sz="0" w:space="0" w:color="auto"/>
                <w:right w:val="none" w:sz="0" w:space="0" w:color="auto"/>
              </w:divBdr>
              <w:divsChild>
                <w:div w:id="12550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85603">
      <w:bodyDiv w:val="1"/>
      <w:marLeft w:val="0"/>
      <w:marRight w:val="0"/>
      <w:marTop w:val="0"/>
      <w:marBottom w:val="0"/>
      <w:divBdr>
        <w:top w:val="none" w:sz="0" w:space="0" w:color="auto"/>
        <w:left w:val="none" w:sz="0" w:space="0" w:color="auto"/>
        <w:bottom w:val="none" w:sz="0" w:space="0" w:color="auto"/>
        <w:right w:val="none" w:sz="0" w:space="0" w:color="auto"/>
      </w:divBdr>
    </w:div>
    <w:div w:id="768740485">
      <w:bodyDiv w:val="1"/>
      <w:marLeft w:val="0"/>
      <w:marRight w:val="0"/>
      <w:marTop w:val="0"/>
      <w:marBottom w:val="0"/>
      <w:divBdr>
        <w:top w:val="none" w:sz="0" w:space="0" w:color="auto"/>
        <w:left w:val="none" w:sz="0" w:space="0" w:color="auto"/>
        <w:bottom w:val="none" w:sz="0" w:space="0" w:color="auto"/>
        <w:right w:val="none" w:sz="0" w:space="0" w:color="auto"/>
      </w:divBdr>
    </w:div>
    <w:div w:id="793401032">
      <w:bodyDiv w:val="1"/>
      <w:marLeft w:val="0"/>
      <w:marRight w:val="0"/>
      <w:marTop w:val="0"/>
      <w:marBottom w:val="0"/>
      <w:divBdr>
        <w:top w:val="none" w:sz="0" w:space="0" w:color="auto"/>
        <w:left w:val="none" w:sz="0" w:space="0" w:color="auto"/>
        <w:bottom w:val="none" w:sz="0" w:space="0" w:color="auto"/>
        <w:right w:val="none" w:sz="0" w:space="0" w:color="auto"/>
      </w:divBdr>
    </w:div>
    <w:div w:id="882013314">
      <w:bodyDiv w:val="1"/>
      <w:marLeft w:val="0"/>
      <w:marRight w:val="0"/>
      <w:marTop w:val="0"/>
      <w:marBottom w:val="0"/>
      <w:divBdr>
        <w:top w:val="none" w:sz="0" w:space="0" w:color="auto"/>
        <w:left w:val="none" w:sz="0" w:space="0" w:color="auto"/>
        <w:bottom w:val="none" w:sz="0" w:space="0" w:color="auto"/>
        <w:right w:val="none" w:sz="0" w:space="0" w:color="auto"/>
      </w:divBdr>
    </w:div>
    <w:div w:id="981151281">
      <w:bodyDiv w:val="1"/>
      <w:marLeft w:val="0"/>
      <w:marRight w:val="0"/>
      <w:marTop w:val="0"/>
      <w:marBottom w:val="0"/>
      <w:divBdr>
        <w:top w:val="none" w:sz="0" w:space="0" w:color="auto"/>
        <w:left w:val="none" w:sz="0" w:space="0" w:color="auto"/>
        <w:bottom w:val="none" w:sz="0" w:space="0" w:color="auto"/>
        <w:right w:val="none" w:sz="0" w:space="0" w:color="auto"/>
      </w:divBdr>
    </w:div>
    <w:div w:id="1031220619">
      <w:bodyDiv w:val="1"/>
      <w:marLeft w:val="0"/>
      <w:marRight w:val="0"/>
      <w:marTop w:val="0"/>
      <w:marBottom w:val="0"/>
      <w:divBdr>
        <w:top w:val="none" w:sz="0" w:space="0" w:color="auto"/>
        <w:left w:val="none" w:sz="0" w:space="0" w:color="auto"/>
        <w:bottom w:val="none" w:sz="0" w:space="0" w:color="auto"/>
        <w:right w:val="none" w:sz="0" w:space="0" w:color="auto"/>
      </w:divBdr>
    </w:div>
    <w:div w:id="1087845567">
      <w:bodyDiv w:val="1"/>
      <w:marLeft w:val="0"/>
      <w:marRight w:val="0"/>
      <w:marTop w:val="0"/>
      <w:marBottom w:val="0"/>
      <w:divBdr>
        <w:top w:val="none" w:sz="0" w:space="0" w:color="auto"/>
        <w:left w:val="none" w:sz="0" w:space="0" w:color="auto"/>
        <w:bottom w:val="none" w:sz="0" w:space="0" w:color="auto"/>
        <w:right w:val="none" w:sz="0" w:space="0" w:color="auto"/>
      </w:divBdr>
    </w:div>
    <w:div w:id="1134640908">
      <w:bodyDiv w:val="1"/>
      <w:marLeft w:val="0"/>
      <w:marRight w:val="0"/>
      <w:marTop w:val="0"/>
      <w:marBottom w:val="0"/>
      <w:divBdr>
        <w:top w:val="none" w:sz="0" w:space="0" w:color="auto"/>
        <w:left w:val="none" w:sz="0" w:space="0" w:color="auto"/>
        <w:bottom w:val="none" w:sz="0" w:space="0" w:color="auto"/>
        <w:right w:val="none" w:sz="0" w:space="0" w:color="auto"/>
      </w:divBdr>
      <w:divsChild>
        <w:div w:id="1067459428">
          <w:marLeft w:val="0"/>
          <w:marRight w:val="0"/>
          <w:marTop w:val="0"/>
          <w:marBottom w:val="0"/>
          <w:divBdr>
            <w:top w:val="none" w:sz="0" w:space="0" w:color="auto"/>
            <w:left w:val="none" w:sz="0" w:space="0" w:color="auto"/>
            <w:bottom w:val="none" w:sz="0" w:space="0" w:color="auto"/>
            <w:right w:val="none" w:sz="0" w:space="0" w:color="auto"/>
          </w:divBdr>
          <w:divsChild>
            <w:div w:id="200483697">
              <w:marLeft w:val="0"/>
              <w:marRight w:val="0"/>
              <w:marTop w:val="0"/>
              <w:marBottom w:val="0"/>
              <w:divBdr>
                <w:top w:val="none" w:sz="0" w:space="0" w:color="auto"/>
                <w:left w:val="none" w:sz="0" w:space="0" w:color="auto"/>
                <w:bottom w:val="none" w:sz="0" w:space="0" w:color="auto"/>
                <w:right w:val="none" w:sz="0" w:space="0" w:color="auto"/>
              </w:divBdr>
              <w:divsChild>
                <w:div w:id="15262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13559">
      <w:bodyDiv w:val="1"/>
      <w:marLeft w:val="0"/>
      <w:marRight w:val="0"/>
      <w:marTop w:val="0"/>
      <w:marBottom w:val="0"/>
      <w:divBdr>
        <w:top w:val="none" w:sz="0" w:space="0" w:color="auto"/>
        <w:left w:val="none" w:sz="0" w:space="0" w:color="auto"/>
        <w:bottom w:val="none" w:sz="0" w:space="0" w:color="auto"/>
        <w:right w:val="none" w:sz="0" w:space="0" w:color="auto"/>
      </w:divBdr>
    </w:div>
    <w:div w:id="1728996070">
      <w:bodyDiv w:val="1"/>
      <w:marLeft w:val="0"/>
      <w:marRight w:val="0"/>
      <w:marTop w:val="0"/>
      <w:marBottom w:val="0"/>
      <w:divBdr>
        <w:top w:val="none" w:sz="0" w:space="0" w:color="auto"/>
        <w:left w:val="none" w:sz="0" w:space="0" w:color="auto"/>
        <w:bottom w:val="none" w:sz="0" w:space="0" w:color="auto"/>
        <w:right w:val="none" w:sz="0" w:space="0" w:color="auto"/>
      </w:divBdr>
    </w:div>
    <w:div w:id="2032368724">
      <w:bodyDiv w:val="1"/>
      <w:marLeft w:val="0"/>
      <w:marRight w:val="0"/>
      <w:marTop w:val="0"/>
      <w:marBottom w:val="0"/>
      <w:divBdr>
        <w:top w:val="none" w:sz="0" w:space="0" w:color="auto"/>
        <w:left w:val="none" w:sz="0" w:space="0" w:color="auto"/>
        <w:bottom w:val="none" w:sz="0" w:space="0" w:color="auto"/>
        <w:right w:val="none" w:sz="0" w:space="0" w:color="auto"/>
      </w:divBdr>
    </w:div>
    <w:div w:id="2049989090">
      <w:bodyDiv w:val="1"/>
      <w:marLeft w:val="0"/>
      <w:marRight w:val="0"/>
      <w:marTop w:val="0"/>
      <w:marBottom w:val="0"/>
      <w:divBdr>
        <w:top w:val="none" w:sz="0" w:space="0" w:color="auto"/>
        <w:left w:val="none" w:sz="0" w:space="0" w:color="auto"/>
        <w:bottom w:val="none" w:sz="0" w:space="0" w:color="auto"/>
        <w:right w:val="none" w:sz="0" w:space="0" w:color="auto"/>
      </w:divBdr>
    </w:div>
    <w:div w:id="212206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uerrero@antamina.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avid.guerrero.ceron83@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95922-1117-7F41-A1F2-F67AE734A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1224</Words>
  <Characters>6735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Guerrero Cerón</dc:creator>
  <cp:keywords/>
  <dc:description/>
  <cp:lastModifiedBy>Guerrero, David</cp:lastModifiedBy>
  <cp:revision>2</cp:revision>
  <dcterms:created xsi:type="dcterms:W3CDTF">2025-05-17T01:37:00Z</dcterms:created>
  <dcterms:modified xsi:type="dcterms:W3CDTF">2025-05-17T01:37:00Z</dcterms:modified>
</cp:coreProperties>
</file>