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3AEE" w14:textId="05B58EF7" w:rsidR="004F28E6" w:rsidRPr="00F63E01" w:rsidRDefault="002D6B0C" w:rsidP="004F28E6">
      <w:pPr>
        <w:rPr>
          <w:rFonts w:ascii="Arial" w:hAnsi="Arial" w:cs="Arial"/>
          <w:b/>
          <w:bCs/>
        </w:rPr>
      </w:pPr>
      <w:r>
        <w:rPr>
          <w:rFonts w:ascii="Arial" w:hAnsi="Arial" w:cs="Arial"/>
        </w:rPr>
        <w:t xml:space="preserve">  </w:t>
      </w:r>
      <w:r w:rsidR="004F28E6" w:rsidRPr="004F28E6">
        <w:rPr>
          <w:rFonts w:ascii="Arial" w:hAnsi="Arial" w:cs="Arial"/>
        </w:rPr>
        <w:br/>
      </w:r>
      <w:r w:rsidR="00156904" w:rsidRPr="00F63E01">
        <w:rPr>
          <w:rFonts w:ascii="Arial" w:hAnsi="Arial" w:cs="Arial"/>
          <w:b/>
          <w:bCs/>
        </w:rPr>
        <w:t xml:space="preserve">El Cobre Peruano como Activo Climático: Impacto Ecológico, Económico y </w:t>
      </w:r>
      <w:r w:rsidR="00FB1627" w:rsidRPr="00F63E01">
        <w:rPr>
          <w:rFonts w:ascii="Arial" w:hAnsi="Arial" w:cs="Arial"/>
          <w:b/>
          <w:bCs/>
        </w:rPr>
        <w:t>Social Para</w:t>
      </w:r>
      <w:r w:rsidR="00156904" w:rsidRPr="00F63E01">
        <w:rPr>
          <w:rFonts w:ascii="Arial" w:hAnsi="Arial" w:cs="Arial"/>
          <w:b/>
          <w:bCs/>
        </w:rPr>
        <w:t xml:space="preserve"> el </w:t>
      </w:r>
      <w:r w:rsidR="0048538C" w:rsidRPr="00F63E01">
        <w:rPr>
          <w:rFonts w:ascii="Arial" w:hAnsi="Arial" w:cs="Arial"/>
          <w:b/>
          <w:bCs/>
        </w:rPr>
        <w:t>D</w:t>
      </w:r>
      <w:r w:rsidR="00156904" w:rsidRPr="00F63E01">
        <w:rPr>
          <w:rFonts w:ascii="Arial" w:hAnsi="Arial" w:cs="Arial"/>
          <w:b/>
          <w:bCs/>
        </w:rPr>
        <w:t xml:space="preserve">esarrollo </w:t>
      </w:r>
      <w:r w:rsidR="0048538C" w:rsidRPr="00F63E01">
        <w:rPr>
          <w:rFonts w:ascii="Arial" w:hAnsi="Arial" w:cs="Arial"/>
          <w:b/>
          <w:bCs/>
        </w:rPr>
        <w:t>S</w:t>
      </w:r>
      <w:r w:rsidR="00156904" w:rsidRPr="00F63E01">
        <w:rPr>
          <w:rFonts w:ascii="Arial" w:hAnsi="Arial" w:cs="Arial"/>
          <w:b/>
          <w:bCs/>
        </w:rPr>
        <w:t>ostenible</w:t>
      </w:r>
      <w:r w:rsidR="003279BF">
        <w:rPr>
          <w:rFonts w:ascii="Arial" w:hAnsi="Arial" w:cs="Arial"/>
          <w:b/>
          <w:bCs/>
        </w:rPr>
        <w:t xml:space="preserve"> del Perú</w:t>
      </w:r>
      <w:r w:rsidR="00FB1627" w:rsidRPr="00F63E01">
        <w:rPr>
          <w:rFonts w:ascii="Arial" w:hAnsi="Arial" w:cs="Arial"/>
          <w:b/>
          <w:bCs/>
        </w:rPr>
        <w:t xml:space="preserve">.  </w:t>
      </w:r>
    </w:p>
    <w:p w14:paraId="6ACD7EFF" w14:textId="09E3457E" w:rsidR="004F28E6" w:rsidRPr="004F28E6" w:rsidRDefault="004F28E6" w:rsidP="004F28E6">
      <w:pPr>
        <w:rPr>
          <w:rFonts w:ascii="Arial" w:hAnsi="Arial" w:cs="Arial"/>
        </w:rPr>
      </w:pPr>
      <w:r w:rsidRPr="004F28E6">
        <w:rPr>
          <w:rFonts w:ascii="Arial" w:hAnsi="Arial" w:cs="Arial"/>
          <w:b/>
          <w:bCs/>
        </w:rPr>
        <w:t>Categoría:</w:t>
      </w:r>
      <w:r w:rsidRPr="004F28E6">
        <w:rPr>
          <w:rFonts w:ascii="Arial" w:hAnsi="Arial" w:cs="Arial"/>
        </w:rPr>
        <w:t> </w:t>
      </w:r>
      <w:r w:rsidR="0048538C">
        <w:rPr>
          <w:rFonts w:ascii="Arial" w:hAnsi="Arial" w:cs="Arial"/>
        </w:rPr>
        <w:t>R</w:t>
      </w:r>
      <w:r w:rsidR="00156904" w:rsidRPr="00790BF6">
        <w:rPr>
          <w:rFonts w:ascii="Arial" w:hAnsi="Arial" w:cs="Arial"/>
        </w:rPr>
        <w:t>egulación</w:t>
      </w:r>
      <w:r w:rsidRPr="00790BF6">
        <w:rPr>
          <w:rFonts w:ascii="Arial" w:hAnsi="Arial" w:cs="Arial"/>
        </w:rPr>
        <w:t xml:space="preserve"> y </w:t>
      </w:r>
      <w:r w:rsidR="00156904" w:rsidRPr="00790BF6">
        <w:rPr>
          <w:rFonts w:ascii="Arial" w:hAnsi="Arial" w:cs="Arial"/>
        </w:rPr>
        <w:t>economía</w:t>
      </w:r>
      <w:r w:rsidRPr="00790BF6">
        <w:rPr>
          <w:rFonts w:ascii="Arial" w:hAnsi="Arial" w:cs="Arial"/>
        </w:rPr>
        <w:t xml:space="preserve"> Minera </w:t>
      </w:r>
    </w:p>
    <w:p w14:paraId="688DE1DD" w14:textId="73B28EE7" w:rsidR="004F28E6" w:rsidRPr="004F28E6" w:rsidRDefault="004F28E6" w:rsidP="004F28E6">
      <w:pPr>
        <w:rPr>
          <w:rFonts w:ascii="Arial" w:hAnsi="Arial" w:cs="Arial"/>
        </w:rPr>
      </w:pPr>
      <w:r w:rsidRPr="004F28E6">
        <w:rPr>
          <w:rFonts w:ascii="Arial" w:hAnsi="Arial" w:cs="Arial"/>
          <w:b/>
          <w:bCs/>
        </w:rPr>
        <w:t>Tema:</w:t>
      </w:r>
      <w:r w:rsidRPr="004F28E6">
        <w:rPr>
          <w:rFonts w:ascii="Arial" w:hAnsi="Arial" w:cs="Arial"/>
        </w:rPr>
        <w:t> </w:t>
      </w:r>
      <w:r w:rsidR="00156904" w:rsidRPr="00790BF6">
        <w:rPr>
          <w:rFonts w:ascii="Arial" w:hAnsi="Arial" w:cs="Arial"/>
        </w:rPr>
        <w:t>Potencial minero regional.</w:t>
      </w:r>
    </w:p>
    <w:p w14:paraId="261EC469" w14:textId="77777777" w:rsidR="004F28E6" w:rsidRPr="004F28E6" w:rsidRDefault="00000000" w:rsidP="004F28E6">
      <w:pPr>
        <w:rPr>
          <w:rFonts w:ascii="Arial" w:hAnsi="Arial" w:cs="Arial"/>
        </w:rPr>
      </w:pPr>
      <w:r>
        <w:rPr>
          <w:rFonts w:ascii="Arial" w:hAnsi="Arial" w:cs="Arial"/>
        </w:rPr>
        <w:pict w14:anchorId="5867A971">
          <v:rect id="_x0000_i1025" style="width:0;height:1.5pt" o:hralign="center" o:hrstd="t" o:hrnoshade="t" o:hr="t" fillcolor="#e2e2e5" stroked="f"/>
        </w:pict>
      </w:r>
    </w:p>
    <w:p w14:paraId="0561C3EB" w14:textId="77777777" w:rsidR="004F28E6" w:rsidRPr="004F28E6" w:rsidRDefault="004F28E6" w:rsidP="004F28E6">
      <w:pPr>
        <w:rPr>
          <w:rFonts w:ascii="Arial" w:hAnsi="Arial" w:cs="Arial"/>
        </w:rPr>
      </w:pPr>
      <w:r w:rsidRPr="004F28E6">
        <w:rPr>
          <w:rFonts w:ascii="Arial" w:hAnsi="Arial" w:cs="Arial"/>
          <w:b/>
          <w:bCs/>
        </w:rPr>
        <w:t>AUTOR(ES)</w:t>
      </w:r>
    </w:p>
    <w:p w14:paraId="12A5C4B2" w14:textId="77777777" w:rsidR="004F28E6" w:rsidRPr="004F28E6" w:rsidRDefault="004F28E6" w:rsidP="004F28E6">
      <w:pPr>
        <w:rPr>
          <w:rFonts w:ascii="Arial" w:hAnsi="Arial" w:cs="Arial"/>
        </w:rPr>
      </w:pPr>
      <w:r w:rsidRPr="004F28E6">
        <w:rPr>
          <w:rFonts w:ascii="Arial" w:hAnsi="Arial" w:cs="Arial"/>
          <w:b/>
          <w:bCs/>
        </w:rPr>
        <w:t>Autor Principal (Expositor):</w:t>
      </w:r>
    </w:p>
    <w:p w14:paraId="7C77AE96" w14:textId="00DA1F32" w:rsidR="004F28E6" w:rsidRPr="004F28E6" w:rsidRDefault="004F28E6" w:rsidP="004F28E6">
      <w:pPr>
        <w:numPr>
          <w:ilvl w:val="0"/>
          <w:numId w:val="1"/>
        </w:numPr>
        <w:rPr>
          <w:rFonts w:ascii="Arial" w:hAnsi="Arial" w:cs="Arial"/>
        </w:rPr>
      </w:pPr>
      <w:r w:rsidRPr="004F28E6">
        <w:rPr>
          <w:rFonts w:ascii="Arial" w:hAnsi="Arial" w:cs="Arial"/>
          <w:b/>
          <w:bCs/>
        </w:rPr>
        <w:t>Nombre completo:</w:t>
      </w:r>
      <w:r w:rsidRPr="004F28E6">
        <w:rPr>
          <w:rFonts w:ascii="Arial" w:hAnsi="Arial" w:cs="Arial"/>
        </w:rPr>
        <w:t> </w:t>
      </w:r>
      <w:r w:rsidRPr="00790BF6">
        <w:rPr>
          <w:rFonts w:ascii="Arial" w:hAnsi="Arial" w:cs="Arial"/>
        </w:rPr>
        <w:t>Humberto Rodolfo Ortiz Chavez</w:t>
      </w:r>
    </w:p>
    <w:p w14:paraId="1671AD1A" w14:textId="69BD46CB" w:rsidR="004F28E6" w:rsidRPr="004F28E6" w:rsidRDefault="004F28E6" w:rsidP="004F28E6">
      <w:pPr>
        <w:numPr>
          <w:ilvl w:val="0"/>
          <w:numId w:val="1"/>
        </w:numPr>
        <w:rPr>
          <w:rFonts w:ascii="Arial" w:hAnsi="Arial" w:cs="Arial"/>
        </w:rPr>
      </w:pPr>
      <w:r w:rsidRPr="004F28E6">
        <w:rPr>
          <w:rFonts w:ascii="Arial" w:hAnsi="Arial" w:cs="Arial"/>
          <w:b/>
          <w:bCs/>
        </w:rPr>
        <w:t>Empresa:</w:t>
      </w:r>
      <w:r w:rsidRPr="004F28E6">
        <w:rPr>
          <w:rFonts w:ascii="Arial" w:hAnsi="Arial" w:cs="Arial"/>
        </w:rPr>
        <w:t> </w:t>
      </w:r>
      <w:proofErr w:type="spellStart"/>
      <w:r w:rsidRPr="00790BF6">
        <w:rPr>
          <w:rFonts w:ascii="Arial" w:hAnsi="Arial" w:cs="Arial"/>
        </w:rPr>
        <w:t>Electromecanics</w:t>
      </w:r>
      <w:proofErr w:type="spellEnd"/>
      <w:r w:rsidRPr="00790BF6">
        <w:rPr>
          <w:rFonts w:ascii="Arial" w:hAnsi="Arial" w:cs="Arial"/>
        </w:rPr>
        <w:t xml:space="preserve"> </w:t>
      </w:r>
      <w:proofErr w:type="spellStart"/>
      <w:r w:rsidRPr="00790BF6">
        <w:rPr>
          <w:rFonts w:ascii="Arial" w:hAnsi="Arial" w:cs="Arial"/>
        </w:rPr>
        <w:t>Services</w:t>
      </w:r>
      <w:proofErr w:type="spellEnd"/>
      <w:r w:rsidRPr="00790BF6">
        <w:rPr>
          <w:rFonts w:ascii="Arial" w:hAnsi="Arial" w:cs="Arial"/>
        </w:rPr>
        <w:t xml:space="preserve"> SRL</w:t>
      </w:r>
    </w:p>
    <w:p w14:paraId="220A749F" w14:textId="1357FDAB" w:rsidR="004F28E6" w:rsidRPr="004F28E6" w:rsidRDefault="004F28E6" w:rsidP="004F28E6">
      <w:pPr>
        <w:numPr>
          <w:ilvl w:val="0"/>
          <w:numId w:val="1"/>
        </w:numPr>
        <w:rPr>
          <w:rFonts w:ascii="Arial" w:hAnsi="Arial" w:cs="Arial"/>
        </w:rPr>
      </w:pPr>
      <w:r w:rsidRPr="004F28E6">
        <w:rPr>
          <w:rFonts w:ascii="Arial" w:hAnsi="Arial" w:cs="Arial"/>
          <w:b/>
          <w:bCs/>
        </w:rPr>
        <w:t>Cargo:</w:t>
      </w:r>
      <w:r w:rsidRPr="004F28E6">
        <w:rPr>
          <w:rFonts w:ascii="Arial" w:hAnsi="Arial" w:cs="Arial"/>
        </w:rPr>
        <w:t> </w:t>
      </w:r>
      <w:r w:rsidRPr="00790BF6">
        <w:rPr>
          <w:rFonts w:ascii="Arial" w:hAnsi="Arial" w:cs="Arial"/>
        </w:rPr>
        <w:t xml:space="preserve">Gerente de Proyectos </w:t>
      </w:r>
    </w:p>
    <w:p w14:paraId="0628B7C1" w14:textId="3C4871A9" w:rsidR="004F28E6" w:rsidRPr="004F28E6" w:rsidRDefault="004F28E6" w:rsidP="004F28E6">
      <w:pPr>
        <w:numPr>
          <w:ilvl w:val="0"/>
          <w:numId w:val="1"/>
        </w:numPr>
        <w:rPr>
          <w:rFonts w:ascii="Arial" w:hAnsi="Arial" w:cs="Arial"/>
        </w:rPr>
      </w:pPr>
      <w:r w:rsidRPr="004F28E6">
        <w:rPr>
          <w:rFonts w:ascii="Arial" w:hAnsi="Arial" w:cs="Arial"/>
          <w:b/>
          <w:bCs/>
        </w:rPr>
        <w:t>Dirección:</w:t>
      </w:r>
      <w:r w:rsidRPr="004F28E6">
        <w:rPr>
          <w:rFonts w:ascii="Arial" w:hAnsi="Arial" w:cs="Arial"/>
        </w:rPr>
        <w:t> </w:t>
      </w:r>
      <w:r w:rsidR="00156904" w:rsidRPr="00790BF6">
        <w:rPr>
          <w:rFonts w:ascii="Arial" w:hAnsi="Arial" w:cs="Arial"/>
        </w:rPr>
        <w:t>Héroes</w:t>
      </w:r>
      <w:r w:rsidRPr="00790BF6">
        <w:rPr>
          <w:rFonts w:ascii="Arial" w:hAnsi="Arial" w:cs="Arial"/>
        </w:rPr>
        <w:t xml:space="preserve"> del Cenepa </w:t>
      </w:r>
      <w:r w:rsidR="00790BF6" w:rsidRPr="00790BF6">
        <w:rPr>
          <w:rFonts w:ascii="Arial" w:hAnsi="Arial" w:cs="Arial"/>
        </w:rPr>
        <w:t>1041,</w:t>
      </w:r>
      <w:r w:rsidRPr="00790BF6">
        <w:rPr>
          <w:rFonts w:ascii="Arial" w:hAnsi="Arial" w:cs="Arial"/>
        </w:rPr>
        <w:t xml:space="preserve"> Cajamarca</w:t>
      </w:r>
    </w:p>
    <w:p w14:paraId="631E1F3C" w14:textId="4CD0B808" w:rsidR="004F28E6" w:rsidRPr="004F28E6" w:rsidRDefault="004F28E6" w:rsidP="004F28E6">
      <w:pPr>
        <w:numPr>
          <w:ilvl w:val="0"/>
          <w:numId w:val="1"/>
        </w:numPr>
        <w:rPr>
          <w:rFonts w:ascii="Arial" w:hAnsi="Arial" w:cs="Arial"/>
        </w:rPr>
      </w:pPr>
      <w:r w:rsidRPr="004F28E6">
        <w:rPr>
          <w:rFonts w:ascii="Arial" w:hAnsi="Arial" w:cs="Arial"/>
          <w:b/>
          <w:bCs/>
        </w:rPr>
        <w:t>Teléfono fijo:</w:t>
      </w:r>
      <w:r w:rsidRPr="004F28E6">
        <w:rPr>
          <w:rFonts w:ascii="Arial" w:hAnsi="Arial" w:cs="Arial"/>
        </w:rPr>
        <w:t> </w:t>
      </w:r>
      <w:r w:rsidRPr="00790BF6">
        <w:rPr>
          <w:rFonts w:ascii="Arial" w:hAnsi="Arial" w:cs="Arial"/>
        </w:rPr>
        <w:t xml:space="preserve"> 998 058 </w:t>
      </w:r>
    </w:p>
    <w:p w14:paraId="15A11C83" w14:textId="4A853C57" w:rsidR="004F28E6" w:rsidRPr="004F28E6" w:rsidRDefault="004F28E6" w:rsidP="004F28E6">
      <w:pPr>
        <w:numPr>
          <w:ilvl w:val="0"/>
          <w:numId w:val="1"/>
        </w:numPr>
        <w:rPr>
          <w:rFonts w:ascii="Arial" w:hAnsi="Arial" w:cs="Arial"/>
        </w:rPr>
      </w:pPr>
      <w:r w:rsidRPr="004F28E6">
        <w:rPr>
          <w:rFonts w:ascii="Arial" w:hAnsi="Arial" w:cs="Arial"/>
          <w:b/>
          <w:bCs/>
        </w:rPr>
        <w:t>Celular:</w:t>
      </w:r>
      <w:r w:rsidRPr="004F28E6">
        <w:rPr>
          <w:rFonts w:ascii="Arial" w:hAnsi="Arial" w:cs="Arial"/>
        </w:rPr>
        <w:t> </w:t>
      </w:r>
      <w:r w:rsidR="00156904" w:rsidRPr="00790BF6">
        <w:rPr>
          <w:rFonts w:ascii="Arial" w:hAnsi="Arial" w:cs="Arial"/>
        </w:rPr>
        <w:t xml:space="preserve">965 343 711 </w:t>
      </w:r>
    </w:p>
    <w:p w14:paraId="157A2520" w14:textId="357A9243" w:rsidR="004F28E6" w:rsidRPr="00790BF6" w:rsidRDefault="004F28E6" w:rsidP="004F28E6">
      <w:pPr>
        <w:numPr>
          <w:ilvl w:val="0"/>
          <w:numId w:val="1"/>
        </w:numPr>
        <w:rPr>
          <w:rFonts w:ascii="Arial" w:hAnsi="Arial" w:cs="Arial"/>
        </w:rPr>
      </w:pPr>
      <w:r w:rsidRPr="004F28E6">
        <w:rPr>
          <w:rFonts w:ascii="Arial" w:hAnsi="Arial" w:cs="Arial"/>
          <w:b/>
          <w:bCs/>
        </w:rPr>
        <w:t>Correo electrónico personal:</w:t>
      </w:r>
      <w:r w:rsidRPr="004F28E6">
        <w:rPr>
          <w:rFonts w:ascii="Arial" w:hAnsi="Arial" w:cs="Arial"/>
        </w:rPr>
        <w:t> </w:t>
      </w:r>
      <w:hyperlink r:id="rId7" w:history="1">
        <w:r w:rsidR="00156904" w:rsidRPr="00790BF6">
          <w:rPr>
            <w:rStyle w:val="Hipervnculo"/>
            <w:rFonts w:ascii="Arial" w:hAnsi="Arial" w:cs="Arial"/>
          </w:rPr>
          <w:t>humbertorodolfo.ortiz@gmail.com</w:t>
        </w:r>
      </w:hyperlink>
    </w:p>
    <w:p w14:paraId="698BF76C" w14:textId="65284208" w:rsidR="00156904" w:rsidRPr="004F28E6" w:rsidRDefault="00156904" w:rsidP="00156904">
      <w:pPr>
        <w:rPr>
          <w:rFonts w:ascii="Arial" w:hAnsi="Arial" w:cs="Arial"/>
        </w:rPr>
      </w:pPr>
      <w:r w:rsidRPr="00790BF6">
        <w:rPr>
          <w:rFonts w:ascii="Arial" w:hAnsi="Arial" w:cs="Arial"/>
          <w:b/>
          <w:bCs/>
        </w:rPr>
        <w:t xml:space="preserve">Reseña </w:t>
      </w:r>
      <w:r w:rsidR="00E47DB9">
        <w:rPr>
          <w:rFonts w:ascii="Arial" w:hAnsi="Arial" w:cs="Arial"/>
          <w:b/>
          <w:bCs/>
        </w:rPr>
        <w:t xml:space="preserve">del autor </w:t>
      </w:r>
    </w:p>
    <w:p w14:paraId="1B6DAFC8" w14:textId="40B3D64C" w:rsidR="00790BF6" w:rsidRPr="00F63E01" w:rsidRDefault="00790BF6" w:rsidP="00F63E01">
      <w:pPr>
        <w:pStyle w:val="Prrafodelista"/>
        <w:numPr>
          <w:ilvl w:val="0"/>
          <w:numId w:val="2"/>
        </w:numPr>
        <w:ind w:left="708"/>
        <w:jc w:val="both"/>
        <w:rPr>
          <w:rFonts w:ascii="Arial" w:hAnsi="Arial" w:cs="Arial"/>
        </w:rPr>
      </w:pPr>
      <w:r w:rsidRPr="00F63E01">
        <w:rPr>
          <w:rFonts w:ascii="Arial" w:hAnsi="Arial" w:cs="Arial"/>
        </w:rPr>
        <w:t>Licenciado en administración de empresas, magister en gestión pública, cajamarquino,</w:t>
      </w:r>
      <w:r w:rsidR="00196FFB">
        <w:rPr>
          <w:rFonts w:ascii="Arial" w:hAnsi="Arial" w:cs="Arial"/>
        </w:rPr>
        <w:t xml:space="preserve"> conferencista y</w:t>
      </w:r>
      <w:r w:rsidRPr="00F63E01">
        <w:rPr>
          <w:rFonts w:ascii="Arial" w:hAnsi="Arial" w:cs="Arial"/>
        </w:rPr>
        <w:t xml:space="preserve"> emprendedor e investigado</w:t>
      </w:r>
      <w:r w:rsidR="00196FFB">
        <w:rPr>
          <w:rFonts w:ascii="Arial" w:hAnsi="Arial" w:cs="Arial"/>
        </w:rPr>
        <w:t>,</w:t>
      </w:r>
      <w:r w:rsidRPr="00F63E01">
        <w:rPr>
          <w:rFonts w:ascii="Arial" w:hAnsi="Arial" w:cs="Arial"/>
        </w:rPr>
        <w:t xml:space="preserve"> científico en tecnología aplicada, cursos de post grado en la George Washington </w:t>
      </w:r>
      <w:proofErr w:type="spellStart"/>
      <w:r w:rsidRPr="00F63E01">
        <w:rPr>
          <w:rFonts w:ascii="Arial" w:hAnsi="Arial" w:cs="Arial"/>
        </w:rPr>
        <w:t>University</w:t>
      </w:r>
      <w:proofErr w:type="spellEnd"/>
      <w:r w:rsidRPr="00F63E01">
        <w:rPr>
          <w:rFonts w:ascii="Arial" w:hAnsi="Arial" w:cs="Arial"/>
        </w:rPr>
        <w:t xml:space="preserve"> y La PUCP, en “Gerencia Política”, post grado en PMI PMBOK; </w:t>
      </w:r>
      <w:r w:rsidR="00196FFB">
        <w:rPr>
          <w:rFonts w:ascii="Arial" w:hAnsi="Arial" w:cs="Arial"/>
        </w:rPr>
        <w:t xml:space="preserve">Especialista en calentamiento global y energía renovables, </w:t>
      </w:r>
      <w:r w:rsidRPr="00F63E01">
        <w:rPr>
          <w:rFonts w:ascii="Arial" w:hAnsi="Arial" w:cs="Arial"/>
        </w:rPr>
        <w:t>ganador d</w:t>
      </w:r>
      <w:r w:rsidR="00196FFB">
        <w:rPr>
          <w:rFonts w:ascii="Arial" w:hAnsi="Arial" w:cs="Arial"/>
        </w:rPr>
        <w:t>e</w:t>
      </w:r>
      <w:r w:rsidRPr="00F63E01">
        <w:rPr>
          <w:rFonts w:ascii="Arial" w:hAnsi="Arial" w:cs="Arial"/>
        </w:rPr>
        <w:t>l</w:t>
      </w:r>
      <w:r w:rsidR="00196FFB">
        <w:rPr>
          <w:rFonts w:ascii="Arial" w:hAnsi="Arial" w:cs="Arial"/>
        </w:rPr>
        <w:t xml:space="preserve"> Premio Proactivo 2023</w:t>
      </w:r>
      <w:r w:rsidRPr="00F63E01">
        <w:rPr>
          <w:rFonts w:ascii="Arial" w:hAnsi="Arial" w:cs="Arial"/>
        </w:rPr>
        <w:t>.</w:t>
      </w:r>
      <w:r w:rsidR="00F63E01">
        <w:rPr>
          <w:rFonts w:ascii="Arial" w:hAnsi="Arial" w:cs="Arial"/>
        </w:rPr>
        <w:t xml:space="preserve"> </w:t>
      </w:r>
      <w:r w:rsidRPr="00F63E01">
        <w:rPr>
          <w:rFonts w:ascii="Arial" w:hAnsi="Arial" w:cs="Arial"/>
        </w:rPr>
        <w:t>Director de la Cámara de Comercio y Producción de Cajamarca CPC 2010 - 2014, representante del sector privado para la región de Cajamarca en la ZEE OT, cofundador del “Colectivo Cajamarca” para apoyo a proyecto minero Conga durante el conflicto 2011 - 2012;</w:t>
      </w:r>
    </w:p>
    <w:p w14:paraId="2C195C80" w14:textId="01A2CCF6" w:rsidR="00E47DB9" w:rsidRPr="00F63E01" w:rsidRDefault="000F7DA2" w:rsidP="00E47DB9">
      <w:pPr>
        <w:pStyle w:val="Ttulo3"/>
        <w:spacing w:before="0" w:after="120" w:line="275" w:lineRule="auto"/>
        <w:rPr>
          <w:rFonts w:ascii="Arial" w:eastAsia="Google Sans Text" w:hAnsi="Arial" w:cs="Arial"/>
          <w:b/>
          <w:bCs/>
          <w:color w:val="1B1C1D"/>
          <w:sz w:val="24"/>
          <w:szCs w:val="24"/>
        </w:rPr>
      </w:pPr>
      <w:r w:rsidRPr="00F63E01">
        <w:rPr>
          <w:rFonts w:ascii="Arial" w:eastAsia="Google Sans Text" w:hAnsi="Arial" w:cs="Arial"/>
          <w:b/>
          <w:bCs/>
          <w:color w:val="1B1C1D"/>
          <w:sz w:val="24"/>
          <w:szCs w:val="24"/>
        </w:rPr>
        <w:t>Proyecto:</w:t>
      </w:r>
    </w:p>
    <w:p w14:paraId="63FE6F51" w14:textId="77777777" w:rsidR="00E47DB9" w:rsidRPr="00E47DB9" w:rsidRDefault="00E47DB9" w:rsidP="002D6B0C">
      <w:pPr>
        <w:pBdr>
          <w:top w:val="nil"/>
          <w:left w:val="nil"/>
          <w:bottom w:val="nil"/>
          <w:right w:val="nil"/>
          <w:between w:val="nil"/>
        </w:pBdr>
        <w:spacing w:line="275" w:lineRule="auto"/>
        <w:jc w:val="both"/>
        <w:rPr>
          <w:rFonts w:ascii="Arial" w:eastAsia="Google Sans Text" w:hAnsi="Arial" w:cs="Arial"/>
        </w:rPr>
      </w:pPr>
      <w:r w:rsidRPr="00E47DB9">
        <w:rPr>
          <w:rFonts w:ascii="Arial" w:eastAsia="Google Sans Text" w:hAnsi="Arial" w:cs="Arial"/>
        </w:rPr>
        <w:t>La expansión de la producción de cobre peruano, impulsada por la demanda de la transición energética, enfrenta múltiples obstáculos y riesgos:</w:t>
      </w:r>
    </w:p>
    <w:p w14:paraId="57FD6982" w14:textId="77777777" w:rsidR="00E47DB9" w:rsidRPr="00E47DB9" w:rsidRDefault="00E47DB9" w:rsidP="002D6B0C">
      <w:pPr>
        <w:widowControl w:val="0"/>
        <w:numPr>
          <w:ilvl w:val="0"/>
          <w:numId w:val="3"/>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Conflictos Sociales y Distribución Inequitativa:</w:t>
      </w:r>
      <w:r w:rsidRPr="00E47DB9">
        <w:rPr>
          <w:rFonts w:ascii="Arial" w:eastAsia="Google Sans Text" w:hAnsi="Arial" w:cs="Arial"/>
          <w:color w:val="1B1C1D"/>
        </w:rPr>
        <w:t xml:space="preserve"> A pesar de los ingresos generados, muchas regiones productoras mantienen altos índices de pobreza y carencias en servicios básicos, alimentando conflictos socioambientales. La percepción de que las comunidades locales, especialmente indígenas, no son adecuadamente consultadas (Consulta Previa, CLPI) ni beneficiadas, genera oposición a proyectos mineros. La distribución de la renta minera (ej. Canon Minero) ha sido criticada por su limitada eficacia en reducir brechas sociales debido a problemas de gestión.</w:t>
      </w:r>
    </w:p>
    <w:p w14:paraId="2FC57BB7" w14:textId="77777777" w:rsidR="00E47DB9" w:rsidRPr="00F63E01" w:rsidRDefault="00E47DB9" w:rsidP="002D6B0C">
      <w:pPr>
        <w:widowControl w:val="0"/>
        <w:numPr>
          <w:ilvl w:val="0"/>
          <w:numId w:val="3"/>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b/>
          <w:color w:val="1B1C1D"/>
        </w:rPr>
        <w:t>Necesidad de Sostenibilidad:</w:t>
      </w:r>
      <w:r w:rsidRPr="00E47DB9">
        <w:rPr>
          <w:rFonts w:ascii="Arial" w:eastAsia="Google Sans Text" w:hAnsi="Arial" w:cs="Arial"/>
          <w:color w:val="1B1C1D"/>
        </w:rPr>
        <w:t xml:space="preserve"> La presión internacional por cadenas de suministro responsables exige que el cobre no solo sea abundante, sino también producido bajo altos estándares ambientales y sociales (trazabilidad, certificaciones como </w:t>
      </w:r>
      <w:proofErr w:type="spellStart"/>
      <w:r w:rsidRPr="00E47DB9">
        <w:rPr>
          <w:rFonts w:ascii="Arial" w:eastAsia="Google Sans Text" w:hAnsi="Arial" w:cs="Arial"/>
          <w:color w:val="1B1C1D"/>
        </w:rPr>
        <w:t>The</w:t>
      </w:r>
      <w:proofErr w:type="spellEnd"/>
      <w:r w:rsidRPr="00E47DB9">
        <w:rPr>
          <w:rFonts w:ascii="Arial" w:eastAsia="Google Sans Text" w:hAnsi="Arial" w:cs="Arial"/>
          <w:color w:val="1B1C1D"/>
        </w:rPr>
        <w:t xml:space="preserve"> </w:t>
      </w:r>
      <w:proofErr w:type="spellStart"/>
      <w:r w:rsidRPr="00E47DB9">
        <w:rPr>
          <w:rFonts w:ascii="Arial" w:eastAsia="Google Sans Text" w:hAnsi="Arial" w:cs="Arial"/>
          <w:color w:val="1B1C1D"/>
        </w:rPr>
        <w:t>Copper</w:t>
      </w:r>
      <w:proofErr w:type="spellEnd"/>
      <w:r w:rsidRPr="00E47DB9">
        <w:rPr>
          <w:rFonts w:ascii="Arial" w:eastAsia="Google Sans Text" w:hAnsi="Arial" w:cs="Arial"/>
          <w:color w:val="1B1C1D"/>
        </w:rPr>
        <w:t xml:space="preserve"> Mark).</w:t>
      </w:r>
    </w:p>
    <w:p w14:paraId="6B2BF727" w14:textId="77777777" w:rsidR="00F63E01" w:rsidRPr="00E47DB9" w:rsidRDefault="00F63E01" w:rsidP="00F63E01">
      <w:pPr>
        <w:widowControl w:val="0"/>
        <w:pBdr>
          <w:top w:val="nil"/>
          <w:left w:val="nil"/>
          <w:bottom w:val="nil"/>
          <w:right w:val="nil"/>
          <w:between w:val="nil"/>
        </w:pBdr>
        <w:spacing w:after="120" w:line="275" w:lineRule="auto"/>
        <w:ind w:left="480"/>
        <w:rPr>
          <w:rFonts w:ascii="Arial" w:hAnsi="Arial" w:cs="Arial"/>
        </w:rPr>
      </w:pPr>
    </w:p>
    <w:p w14:paraId="4627ED01" w14:textId="47993FC9" w:rsidR="00E47DB9" w:rsidRDefault="00E47DB9" w:rsidP="00F63E01">
      <w:pPr>
        <w:pBdr>
          <w:top w:val="nil"/>
          <w:left w:val="nil"/>
          <w:bottom w:val="nil"/>
          <w:right w:val="nil"/>
          <w:between w:val="nil"/>
        </w:pBdr>
        <w:spacing w:before="120" w:after="240" w:line="275" w:lineRule="auto"/>
        <w:jc w:val="both"/>
        <w:rPr>
          <w:rFonts w:ascii="Arial" w:eastAsia="Google Sans Text" w:hAnsi="Arial" w:cs="Arial"/>
          <w:b/>
          <w:bCs/>
          <w:i/>
          <w:iCs/>
          <w:color w:val="1B1C1D"/>
        </w:rPr>
      </w:pPr>
      <w:r w:rsidRPr="00F63E01">
        <w:rPr>
          <w:rFonts w:ascii="Arial" w:eastAsia="Google Sans Text" w:hAnsi="Arial" w:cs="Arial"/>
          <w:b/>
          <w:bCs/>
          <w:i/>
          <w:iCs/>
          <w:color w:val="1B1C1D"/>
        </w:rPr>
        <w:t xml:space="preserve">La pregunta central es: ¿Cómo puede Perú maximizar la contribución climática de su cobre, minimizando sus impactos negativos locales y promoviendo la justicia </w:t>
      </w:r>
      <w:r w:rsidR="00F63E01" w:rsidRPr="00F63E01">
        <w:rPr>
          <w:rFonts w:ascii="Arial" w:eastAsia="Google Sans Text" w:hAnsi="Arial" w:cs="Arial"/>
          <w:b/>
          <w:bCs/>
          <w:i/>
          <w:iCs/>
          <w:color w:val="1B1C1D"/>
        </w:rPr>
        <w:t>social?</w:t>
      </w:r>
      <w:r w:rsidRPr="00F63E01">
        <w:rPr>
          <w:rFonts w:ascii="Arial" w:eastAsia="Google Sans Text" w:hAnsi="Arial" w:cs="Arial"/>
          <w:b/>
          <w:bCs/>
          <w:i/>
          <w:iCs/>
          <w:color w:val="1B1C1D"/>
        </w:rPr>
        <w:t xml:space="preserve"> No abordar este problema implica desaprovechar una oportunidad histórica y arriesgar la viabilidad de su principal actividad extractiva.</w:t>
      </w:r>
    </w:p>
    <w:p w14:paraId="04BC0AD2" w14:textId="77777777" w:rsidR="00E47DB9" w:rsidRPr="0048538C" w:rsidRDefault="00E47DB9" w:rsidP="00E47DB9">
      <w:pPr>
        <w:pBdr>
          <w:top w:val="nil"/>
          <w:left w:val="nil"/>
          <w:bottom w:val="nil"/>
          <w:right w:val="nil"/>
          <w:between w:val="nil"/>
        </w:pBdr>
        <w:spacing w:line="275" w:lineRule="auto"/>
        <w:rPr>
          <w:rFonts w:ascii="Arial" w:eastAsia="Google Sans Text" w:hAnsi="Arial" w:cs="Arial"/>
          <w:b/>
          <w:bCs/>
          <w:sz w:val="24"/>
          <w:szCs w:val="24"/>
        </w:rPr>
      </w:pPr>
      <w:r w:rsidRPr="0048538C">
        <w:rPr>
          <w:rFonts w:ascii="Arial" w:eastAsia="Google Sans Text" w:hAnsi="Arial" w:cs="Arial"/>
          <w:b/>
          <w:bCs/>
          <w:sz w:val="24"/>
          <w:szCs w:val="24"/>
        </w:rPr>
        <w:t>Hipótesis Central:</w:t>
      </w:r>
    </w:p>
    <w:p w14:paraId="3CF7CA65" w14:textId="77777777" w:rsidR="00E47DB9" w:rsidRPr="00E47DB9" w:rsidRDefault="00E47DB9" w:rsidP="002D6B0C">
      <w:pPr>
        <w:pBdr>
          <w:top w:val="nil"/>
          <w:left w:val="nil"/>
          <w:bottom w:val="nil"/>
          <w:right w:val="nil"/>
          <w:between w:val="nil"/>
        </w:pBdr>
        <w:spacing w:line="275" w:lineRule="auto"/>
        <w:jc w:val="both"/>
        <w:rPr>
          <w:rFonts w:ascii="Arial" w:eastAsia="Google Sans Text" w:hAnsi="Arial" w:cs="Arial"/>
        </w:rPr>
      </w:pPr>
      <w:r w:rsidRPr="00E47DB9">
        <w:rPr>
          <w:rFonts w:ascii="Arial" w:eastAsia="Google Sans Text" w:hAnsi="Arial" w:cs="Arial"/>
        </w:rPr>
        <w:t>La investigación postula que si Perú gestiona su industria del cobre bajo principios de sostenibilidad ambiental, justicia social y transparencia, el cobre peruano se convertirá efectivamente en un activo climático. Esto implica:</w:t>
      </w:r>
    </w:p>
    <w:p w14:paraId="091C4FB3" w14:textId="5BD23700" w:rsidR="00E47DB9" w:rsidRPr="00E47DB9" w:rsidRDefault="00E47DB9" w:rsidP="002D6B0C">
      <w:pPr>
        <w:widowControl w:val="0"/>
        <w:numPr>
          <w:ilvl w:val="0"/>
          <w:numId w:val="4"/>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color w:val="1B1C1D"/>
        </w:rPr>
        <w:t xml:space="preserve">Cuantificar y valorizar las emisiones de CO2​ </w:t>
      </w:r>
      <w:r w:rsidR="0048538C" w:rsidRPr="00F63E01">
        <w:rPr>
          <w:rFonts w:ascii="Arial" w:eastAsia="Google Sans Text" w:hAnsi="Arial" w:cs="Arial"/>
          <w:b/>
          <w:bCs/>
          <w:i/>
          <w:iCs/>
          <w:color w:val="1B1C1D"/>
        </w:rPr>
        <w:t>“</w:t>
      </w:r>
      <w:r w:rsidRPr="00F63E01">
        <w:rPr>
          <w:rFonts w:ascii="Arial" w:eastAsia="Google Sans Text" w:hAnsi="Arial" w:cs="Arial"/>
          <w:b/>
          <w:bCs/>
          <w:i/>
          <w:iCs/>
          <w:color w:val="1B1C1D"/>
        </w:rPr>
        <w:t>evitadas</w:t>
      </w:r>
      <w:r w:rsidR="0048538C" w:rsidRPr="00F63E01">
        <w:rPr>
          <w:rFonts w:ascii="Arial" w:eastAsia="Google Sans Text" w:hAnsi="Arial" w:cs="Arial"/>
          <w:b/>
          <w:bCs/>
          <w:i/>
          <w:iCs/>
          <w:color w:val="1B1C1D"/>
        </w:rPr>
        <w:t>”</w:t>
      </w:r>
      <w:r w:rsidRPr="00E47DB9">
        <w:rPr>
          <w:rFonts w:ascii="Arial" w:eastAsia="Google Sans Text" w:hAnsi="Arial" w:cs="Arial"/>
          <w:color w:val="1B1C1D"/>
        </w:rPr>
        <w:t xml:space="preserve"> globalmente por el uso del cobre en tecnologías limpias.</w:t>
      </w:r>
    </w:p>
    <w:p w14:paraId="1E2A32B0" w14:textId="77777777" w:rsidR="00E47DB9" w:rsidRPr="00E47DB9" w:rsidRDefault="00E47DB9" w:rsidP="002D6B0C">
      <w:pPr>
        <w:widowControl w:val="0"/>
        <w:numPr>
          <w:ilvl w:val="0"/>
          <w:numId w:val="4"/>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color w:val="1B1C1D"/>
        </w:rPr>
        <w:t>Asegurar que el balance neto de carbono (emisiones evitadas vs. generadas) sea positivo.</w:t>
      </w:r>
    </w:p>
    <w:p w14:paraId="53E7474E"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b/>
          <w:color w:val="1B1C1D"/>
        </w:rPr>
      </w:pPr>
      <w:r w:rsidRPr="00E47DB9">
        <w:rPr>
          <w:rFonts w:ascii="Arial" w:eastAsia="Google Sans Text" w:hAnsi="Arial" w:cs="Arial"/>
          <w:color w:val="1B1C1D"/>
        </w:rPr>
        <w:t>Lograr esto generaría beneficios ecológicos globales (reducción neta de GEI), económicos (ingresos, potenciales créditos de carbono) y sociales (mejora de calidad de vida local, fortalecimiento diplomático).</w:t>
      </w:r>
    </w:p>
    <w:p w14:paraId="6AA74C1B" w14:textId="77777777" w:rsidR="00E47DB9" w:rsidRPr="003279BF" w:rsidRDefault="00E47DB9" w:rsidP="002D6B0C">
      <w:pPr>
        <w:pBdr>
          <w:top w:val="nil"/>
          <w:left w:val="nil"/>
          <w:bottom w:val="nil"/>
          <w:right w:val="nil"/>
          <w:between w:val="nil"/>
        </w:pBdr>
        <w:spacing w:line="275" w:lineRule="auto"/>
        <w:jc w:val="both"/>
        <w:rPr>
          <w:rFonts w:ascii="Arial" w:eastAsia="Google Sans Text" w:hAnsi="Arial" w:cs="Arial"/>
          <w:b/>
          <w:bCs/>
          <w:sz w:val="24"/>
          <w:szCs w:val="24"/>
        </w:rPr>
      </w:pPr>
      <w:r w:rsidRPr="003279BF">
        <w:rPr>
          <w:rFonts w:ascii="Arial" w:eastAsia="Google Sans Text" w:hAnsi="Arial" w:cs="Arial"/>
          <w:b/>
          <w:bCs/>
          <w:sz w:val="24"/>
          <w:szCs w:val="24"/>
        </w:rPr>
        <w:t>Metodología:</w:t>
      </w:r>
    </w:p>
    <w:p w14:paraId="2F1FA0AB" w14:textId="74A16F55"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Fase Exploratoria:</w:t>
      </w:r>
      <w:r w:rsidRPr="00E47DB9">
        <w:rPr>
          <w:rFonts w:ascii="Arial" w:eastAsia="Google Sans Text" w:hAnsi="Arial" w:cs="Arial"/>
          <w:color w:val="1B1C1D"/>
        </w:rPr>
        <w:t xml:space="preserve"> Revisión exhaustiva de literatura y fuentes secundarias (informes nacionales e internacionales, estudios académicos). Entrevistas semiestructuradas a informantes clave (gobierno, industria, comunidades, expertos).</w:t>
      </w:r>
      <w:r w:rsidR="005F6A3B">
        <w:rPr>
          <w:rFonts w:ascii="Arial" w:eastAsia="Google Sans Text" w:hAnsi="Arial" w:cs="Arial"/>
          <w:color w:val="1B1C1D"/>
        </w:rPr>
        <w:t xml:space="preserve"> </w:t>
      </w:r>
      <w:bookmarkStart w:id="0" w:name="_Hlk197976680"/>
      <w:r w:rsidR="005F6A3B">
        <w:rPr>
          <w:rFonts w:ascii="Arial" w:eastAsia="Google Sans Text" w:hAnsi="Arial" w:cs="Arial"/>
          <w:color w:val="1B1C1D"/>
        </w:rPr>
        <w:t xml:space="preserve">con apoyo de la inteligencia artificial </w:t>
      </w:r>
      <w:bookmarkEnd w:id="0"/>
    </w:p>
    <w:p w14:paraId="6B63996F" w14:textId="0AA9CA9F"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Fase Cuantitativa:</w:t>
      </w:r>
      <w:r w:rsidRPr="00E47DB9">
        <w:rPr>
          <w:rFonts w:ascii="Arial" w:eastAsia="Google Sans Text" w:hAnsi="Arial" w:cs="Arial"/>
          <w:color w:val="1B1C1D"/>
        </w:rPr>
        <w:t xml:space="preserve"> Recopilación y análisis de datos de producción, emisiones (huella de carbono), demanda de cobre en tecnologías limpias, precios de carbono y datos socioeconómicos regionales. Desarrollo de fórmulas para estimar el balance de carbono (emisiones generadas vs. evitadas) y su valor económico.</w:t>
      </w:r>
      <w:r w:rsidR="00DE1727" w:rsidRPr="00DE1727">
        <w:t xml:space="preserve"> </w:t>
      </w:r>
      <w:r w:rsidR="00DE1727" w:rsidRPr="00DE1727">
        <w:rPr>
          <w:rFonts w:ascii="Arial" w:eastAsia="Google Sans Text" w:hAnsi="Arial" w:cs="Arial"/>
          <w:color w:val="1B1C1D"/>
        </w:rPr>
        <w:t>con apoyo de la inteligencia artificial</w:t>
      </w:r>
    </w:p>
    <w:p w14:paraId="670224F1" w14:textId="5928E5E2"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Modelamiento:</w:t>
      </w:r>
      <w:r w:rsidRPr="00E47DB9">
        <w:rPr>
          <w:rFonts w:ascii="Arial" w:eastAsia="Google Sans Text" w:hAnsi="Arial" w:cs="Arial"/>
          <w:color w:val="1B1C1D"/>
        </w:rPr>
        <w:t xml:space="preserve"> Creación de escenarios futuros (Business as Usual, Crecimiento Sostenible, Transición Ecológica) hasta 2040 para evaluar impactos bajo distintas políticas</w:t>
      </w:r>
      <w:r w:rsidR="00DE1727">
        <w:rPr>
          <w:rFonts w:ascii="Arial" w:eastAsia="Google Sans Text" w:hAnsi="Arial" w:cs="Arial"/>
          <w:color w:val="1B1C1D"/>
        </w:rPr>
        <w:t xml:space="preserve">, </w:t>
      </w:r>
      <w:r w:rsidR="00DE1727" w:rsidRPr="00DE1727">
        <w:rPr>
          <w:rFonts w:ascii="Arial" w:eastAsia="Google Sans Text" w:hAnsi="Arial" w:cs="Arial"/>
          <w:color w:val="1B1C1D"/>
        </w:rPr>
        <w:t>con apoyo de la inteligencia artificial</w:t>
      </w:r>
    </w:p>
    <w:p w14:paraId="585027DD" w14:textId="4A32B475" w:rsidR="00E47DB9" w:rsidRPr="00E47DB9" w:rsidRDefault="00E47DB9" w:rsidP="002D6B0C">
      <w:pPr>
        <w:widowControl w:val="0"/>
        <w:numPr>
          <w:ilvl w:val="0"/>
          <w:numId w:val="5"/>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b/>
          <w:color w:val="1B1C1D"/>
        </w:rPr>
        <w:t>Validación:</w:t>
      </w:r>
      <w:r w:rsidRPr="00E47DB9">
        <w:rPr>
          <w:rFonts w:ascii="Arial" w:eastAsia="Google Sans Text" w:hAnsi="Arial" w:cs="Arial"/>
          <w:color w:val="1B1C1D"/>
        </w:rPr>
        <w:t xml:space="preserve"> Triangulación de resultados con fuentes externas y </w:t>
      </w:r>
      <w:proofErr w:type="spellStart"/>
      <w:r w:rsidRPr="00E47DB9">
        <w:rPr>
          <w:rFonts w:ascii="Arial" w:eastAsia="Google Sans Text" w:hAnsi="Arial" w:cs="Arial"/>
          <w:color w:val="1B1C1D"/>
        </w:rPr>
        <w:t>feedback</w:t>
      </w:r>
      <w:proofErr w:type="spellEnd"/>
      <w:r w:rsidRPr="00E47DB9">
        <w:rPr>
          <w:rFonts w:ascii="Arial" w:eastAsia="Google Sans Text" w:hAnsi="Arial" w:cs="Arial"/>
          <w:color w:val="1B1C1D"/>
        </w:rPr>
        <w:t xml:space="preserve"> de expertos</w:t>
      </w:r>
      <w:r w:rsidR="00DE1727">
        <w:rPr>
          <w:rFonts w:ascii="Arial" w:eastAsia="Google Sans Text" w:hAnsi="Arial" w:cs="Arial"/>
          <w:color w:val="1B1C1D"/>
        </w:rPr>
        <w:t xml:space="preserve">, </w:t>
      </w:r>
      <w:r w:rsidR="00DE1727" w:rsidRPr="00DE1727">
        <w:rPr>
          <w:rFonts w:ascii="Arial" w:eastAsia="Google Sans Text" w:hAnsi="Arial" w:cs="Arial"/>
          <w:color w:val="1B1C1D"/>
        </w:rPr>
        <w:t>con apoyo de la inteligencia artificial</w:t>
      </w:r>
    </w:p>
    <w:p w14:paraId="16161BDC" w14:textId="77777777" w:rsidR="00E47DB9" w:rsidRPr="0048538C" w:rsidRDefault="00E47DB9" w:rsidP="00E47DB9">
      <w:pPr>
        <w:pBdr>
          <w:top w:val="nil"/>
          <w:left w:val="nil"/>
          <w:bottom w:val="nil"/>
          <w:right w:val="nil"/>
          <w:between w:val="nil"/>
        </w:pBdr>
        <w:spacing w:before="120" w:after="120" w:line="275" w:lineRule="auto"/>
        <w:rPr>
          <w:rFonts w:ascii="Arial" w:eastAsia="Google Sans Text" w:hAnsi="Arial" w:cs="Arial"/>
          <w:b/>
          <w:color w:val="1B1C1D"/>
          <w:sz w:val="24"/>
          <w:szCs w:val="24"/>
        </w:rPr>
      </w:pPr>
      <w:r w:rsidRPr="0048538C">
        <w:rPr>
          <w:rFonts w:ascii="Arial" w:eastAsia="Google Sans Text" w:hAnsi="Arial" w:cs="Arial"/>
          <w:b/>
          <w:color w:val="1B1C1D"/>
          <w:sz w:val="24"/>
          <w:szCs w:val="24"/>
        </w:rPr>
        <w:t>Resultados y Análisis Clave:</w:t>
      </w:r>
    </w:p>
    <w:p w14:paraId="693780D7"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Balance Climático Netamente Positivo:</w:t>
      </w:r>
      <w:r w:rsidRPr="00E47DB9">
        <w:rPr>
          <w:rFonts w:ascii="Arial" w:eastAsia="Google Sans Text" w:hAnsi="Arial" w:cs="Arial"/>
          <w:color w:val="1B1C1D"/>
        </w:rPr>
        <w:t xml:space="preserve"> Se confirma que las emisiones de CO2​ evitadas globalmente por el uso del cobre peruano (~550-800 millones de ton CO2​ anuales a lo largo de la vida útil de las tecnologías) son decenas de veces mayores que las emisiones generadas en su producción (~13.8 millones de ton CO2​). Esto valida el concepto de "activo climático". La producción peruana posibilita evitar ~1.4%-2% de las emisiones globales anuales.</w:t>
      </w:r>
    </w:p>
    <w:p w14:paraId="1156A19C"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 xml:space="preserve">Valor Económico del </w:t>
      </w:r>
      <w:r w:rsidRPr="00E47DB9">
        <w:rPr>
          <w:rFonts w:ascii="Arial" w:eastAsia="Google Sans Text" w:hAnsi="Arial" w:cs="Arial"/>
          <w:color w:val="1B1C1D"/>
        </w:rPr>
        <w:t>CO2​</w:t>
      </w:r>
      <w:r w:rsidRPr="00E47DB9">
        <w:rPr>
          <w:rFonts w:ascii="Arial" w:eastAsia="Google Sans Text" w:hAnsi="Arial" w:cs="Arial"/>
          <w:b/>
          <w:color w:val="1B1C1D"/>
        </w:rPr>
        <w:t xml:space="preserve"> Evitado:</w:t>
      </w:r>
      <w:r w:rsidRPr="00E47DB9">
        <w:rPr>
          <w:rFonts w:ascii="Arial" w:eastAsia="Google Sans Text" w:hAnsi="Arial" w:cs="Arial"/>
          <w:color w:val="1B1C1D"/>
        </w:rPr>
        <w:t xml:space="preserve"> Este beneficio climático tiene un valor económico significativo no capturado actualmente. Usando precios de carbono de referencia ($10-$50/ton CO2​), el valor anual estimado varía entre $5,500 y $27,500 millones USD. Este valor es comparable o incluso superior al valor de mercado de las exportaciones de cobre (~$20,000 millones USD en 2023). Esto sugiere </w:t>
      </w:r>
      <w:r w:rsidRPr="00E47DB9">
        <w:rPr>
          <w:rFonts w:ascii="Arial" w:eastAsia="Google Sans Text" w:hAnsi="Arial" w:cs="Arial"/>
          <w:color w:val="1B1C1D"/>
        </w:rPr>
        <w:lastRenderedPageBreak/>
        <w:t>potencial para mecanismos de financiamiento innovadores (bonos verdes, acuerdos internacionales).</w:t>
      </w:r>
    </w:p>
    <w:p w14:paraId="4382878F"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Impactos Locales Persistentes:</w:t>
      </w:r>
      <w:r w:rsidRPr="00E47DB9">
        <w:rPr>
          <w:rFonts w:ascii="Arial" w:eastAsia="Google Sans Text" w:hAnsi="Arial" w:cs="Arial"/>
          <w:color w:val="1B1C1D"/>
        </w:rPr>
        <w:t xml:space="preserve"> A pesar del balance global positivo, los impactos negativos locales (ambientales y sociales) son reales y deben ser gestionados. Aunque ha habido reducción de pobreza en regiones mineras, persiste la "paradoja de la abundancia" en algunas zonas, indicando fallas en la distribución de beneficios y gestión del canon. Los conflictos socioambientales siguen siendo un desafío.</w:t>
      </w:r>
    </w:p>
    <w:p w14:paraId="01974109" w14:textId="77777777" w:rsidR="00E47DB9" w:rsidRPr="00E47DB9" w:rsidRDefault="00E47DB9" w:rsidP="002D6B0C">
      <w:pPr>
        <w:widowControl w:val="0"/>
        <w:numPr>
          <w:ilvl w:val="0"/>
          <w:numId w:val="6"/>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b/>
          <w:color w:val="1B1C1D"/>
        </w:rPr>
        <w:t>Viabilidad del Fondo Soberano Climático (FSC):</w:t>
      </w:r>
      <w:r w:rsidRPr="00E47DB9">
        <w:rPr>
          <w:rFonts w:ascii="Arial" w:eastAsia="Google Sans Text" w:hAnsi="Arial" w:cs="Arial"/>
          <w:color w:val="1B1C1D"/>
        </w:rPr>
        <w:t xml:space="preserve"> La simulación indica que destinar una fracción (ej. 20%) de la recaudación fiscal minera a un FSC es viable </w:t>
      </w:r>
    </w:p>
    <w:p w14:paraId="22A69FB5"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59264" behindDoc="0" locked="0" layoutInCell="1" allowOverlap="1" wp14:anchorId="5FF1EDC7" wp14:editId="5F3BDBFC">
            <wp:simplePos x="0" y="0"/>
            <wp:positionH relativeFrom="column">
              <wp:posOffset>1402080</wp:posOffset>
            </wp:positionH>
            <wp:positionV relativeFrom="paragraph">
              <wp:posOffset>527050</wp:posOffset>
            </wp:positionV>
            <wp:extent cx="2600325" cy="333375"/>
            <wp:effectExtent l="0" t="0" r="9525" b="9525"/>
            <wp:wrapTopAndBottom/>
            <wp:docPr id="66736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60041" name=""/>
                    <pic:cNvPicPr/>
                  </pic:nvPicPr>
                  <pic:blipFill>
                    <a:blip r:embed="rId8">
                      <a:extLst>
                        <a:ext uri="{28A0092B-C50C-407E-A947-70E740481C1C}">
                          <a14:useLocalDpi xmlns:a14="http://schemas.microsoft.com/office/drawing/2010/main" val="0"/>
                        </a:ext>
                      </a:extLst>
                    </a:blip>
                    <a:stretch>
                      <a:fillRect/>
                    </a:stretch>
                  </pic:blipFill>
                  <pic:spPr>
                    <a:xfrm>
                      <a:off x="0" y="0"/>
                      <a:ext cx="2600325" cy="333375"/>
                    </a:xfrm>
                    <a:prstGeom prst="rect">
                      <a:avLst/>
                    </a:prstGeom>
                  </pic:spPr>
                </pic:pic>
              </a:graphicData>
            </a:graphic>
          </wp:anchor>
        </w:drawing>
      </w:r>
      <w:r w:rsidRPr="00E47DB9">
        <w:rPr>
          <w:rFonts w:ascii="Arial" w:eastAsia="Google Sans Text" w:hAnsi="Arial" w:cs="Arial"/>
          <w:color w:val="1B1C1D"/>
        </w:rPr>
        <w:t>Cálculo de emisiones de CO, de la producción de cobre (</w:t>
      </w:r>
      <w:proofErr w:type="spellStart"/>
      <w:r w:rsidRPr="00E47DB9">
        <w:rPr>
          <w:rFonts w:ascii="Arial" w:eastAsia="Google Sans Text" w:hAnsi="Arial" w:cs="Arial"/>
          <w:color w:val="1B1C1D"/>
        </w:rPr>
        <w:t>Eproducción</w:t>
      </w:r>
      <w:proofErr w:type="spellEnd"/>
      <w:r w:rsidRPr="00E47DB9">
        <w:rPr>
          <w:rFonts w:ascii="Arial" w:eastAsia="Google Sans Text" w:hAnsi="Arial" w:cs="Arial"/>
          <w:color w:val="1B1C1D"/>
        </w:rPr>
        <w:t>)</w:t>
      </w:r>
    </w:p>
    <w:p w14:paraId="6D49A763"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 xml:space="preserve">Donde </w:t>
      </w:r>
      <w:proofErr w:type="spellStart"/>
      <w:r w:rsidRPr="00E47DB9">
        <w:rPr>
          <w:rFonts w:ascii="Arial" w:eastAsia="Google Sans Text" w:hAnsi="Arial" w:cs="Arial"/>
          <w:color w:val="1B1C1D"/>
        </w:rPr>
        <w:t>Pcu</w:t>
      </w:r>
      <w:proofErr w:type="spellEnd"/>
      <w:r w:rsidRPr="00E47DB9">
        <w:rPr>
          <w:rFonts w:ascii="Arial" w:eastAsia="Google Sans Text" w:hAnsi="Arial" w:cs="Arial"/>
          <w:color w:val="1B1C1D"/>
        </w:rPr>
        <w:t xml:space="preserve"> es la producción de cobre (en toneladas) en el año base y </w:t>
      </w:r>
      <w:proofErr w:type="spellStart"/>
      <w:r w:rsidRPr="00E47DB9">
        <w:rPr>
          <w:rFonts w:ascii="Arial" w:eastAsia="Google Sans Text" w:hAnsi="Arial" w:cs="Arial"/>
          <w:color w:val="1B1C1D"/>
        </w:rPr>
        <w:t>fcon</w:t>
      </w:r>
      <w:proofErr w:type="spellEnd"/>
      <w:r w:rsidRPr="00E47DB9">
        <w:rPr>
          <w:rFonts w:ascii="Arial" w:eastAsia="Google Sans Text" w:hAnsi="Arial" w:cs="Arial"/>
          <w:color w:val="1B1C1D"/>
        </w:rPr>
        <w:t>/</w:t>
      </w:r>
      <w:proofErr w:type="spellStart"/>
      <w:r w:rsidRPr="00E47DB9">
        <w:rPr>
          <w:rFonts w:ascii="Arial" w:eastAsia="Google Sans Text" w:hAnsi="Arial" w:cs="Arial"/>
          <w:color w:val="1B1C1D"/>
        </w:rPr>
        <w:t>cu</w:t>
      </w:r>
      <w:proofErr w:type="spellEnd"/>
      <w:r w:rsidRPr="00E47DB9">
        <w:rPr>
          <w:rFonts w:ascii="Arial" w:eastAsia="Google Sans Text" w:hAnsi="Arial" w:cs="Arial"/>
          <w:color w:val="1B1C1D"/>
        </w:rPr>
        <w:t xml:space="preserve"> es el factor de emisión (ton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por ton Cu). Este factor se calibrará con fuentes: p. ej., usando 5 1002/52) como valor promedio (ajustable según participación de energías limpias).</w:t>
      </w:r>
    </w:p>
    <w:p w14:paraId="3DA774FE"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p>
    <w:p w14:paraId="5C40056B"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0288" behindDoc="0" locked="0" layoutInCell="1" allowOverlap="1" wp14:anchorId="16733395" wp14:editId="5C8E9738">
            <wp:simplePos x="0" y="0"/>
            <wp:positionH relativeFrom="page">
              <wp:posOffset>2263140</wp:posOffset>
            </wp:positionH>
            <wp:positionV relativeFrom="paragraph">
              <wp:posOffset>447040</wp:posOffset>
            </wp:positionV>
            <wp:extent cx="2872740" cy="201295"/>
            <wp:effectExtent l="0" t="0" r="3810" b="8255"/>
            <wp:wrapTopAndBottom/>
            <wp:docPr id="211396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3368" name="Imagen 2113963368"/>
                    <pic:cNvPicPr/>
                  </pic:nvPicPr>
                  <pic:blipFill>
                    <a:blip r:embed="rId9">
                      <a:extLst>
                        <a:ext uri="{28A0092B-C50C-407E-A947-70E740481C1C}">
                          <a14:useLocalDpi xmlns:a14="http://schemas.microsoft.com/office/drawing/2010/main" val="0"/>
                        </a:ext>
                      </a:extLst>
                    </a:blip>
                    <a:stretch>
                      <a:fillRect/>
                    </a:stretch>
                  </pic:blipFill>
                  <pic:spPr>
                    <a:xfrm>
                      <a:off x="0" y="0"/>
                      <a:ext cx="2872740" cy="201295"/>
                    </a:xfrm>
                    <a:prstGeom prst="rect">
                      <a:avLst/>
                    </a:prstGeom>
                  </pic:spPr>
                </pic:pic>
              </a:graphicData>
            </a:graphic>
            <wp14:sizeRelH relativeFrom="margin">
              <wp14:pctWidth>0</wp14:pctWidth>
            </wp14:sizeRelH>
            <wp14:sizeRelV relativeFrom="margin">
              <wp14:pctHeight>0</wp14:pctHeight>
            </wp14:sizeRelV>
          </wp:anchor>
        </w:drawing>
      </w:r>
      <w:r w:rsidRPr="00E47DB9">
        <w:rPr>
          <w:rFonts w:ascii="Arial" w:eastAsia="Google Sans Text" w:hAnsi="Arial" w:cs="Arial"/>
          <w:color w:val="1B1C1D"/>
        </w:rPr>
        <w:t xml:space="preserve">Cálculo de emisiones de CO, evitadas por uso del cobre (E evitadas): </w:t>
      </w:r>
    </w:p>
    <w:p w14:paraId="1F1CCF36"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1312" behindDoc="0" locked="0" layoutInCell="1" allowOverlap="1" wp14:anchorId="654C331B" wp14:editId="37518500">
            <wp:simplePos x="0" y="0"/>
            <wp:positionH relativeFrom="margin">
              <wp:posOffset>1493520</wp:posOffset>
            </wp:positionH>
            <wp:positionV relativeFrom="paragraph">
              <wp:posOffset>740410</wp:posOffset>
            </wp:positionV>
            <wp:extent cx="3192145" cy="264795"/>
            <wp:effectExtent l="0" t="0" r="8255" b="1905"/>
            <wp:wrapTopAndBottom/>
            <wp:docPr id="2008351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101" name="Imagen 200835101"/>
                    <pic:cNvPicPr/>
                  </pic:nvPicPr>
                  <pic:blipFill>
                    <a:blip r:embed="rId10">
                      <a:extLst>
                        <a:ext uri="{28A0092B-C50C-407E-A947-70E740481C1C}">
                          <a14:useLocalDpi xmlns:a14="http://schemas.microsoft.com/office/drawing/2010/main" val="0"/>
                        </a:ext>
                      </a:extLst>
                    </a:blip>
                    <a:stretch>
                      <a:fillRect/>
                    </a:stretch>
                  </pic:blipFill>
                  <pic:spPr>
                    <a:xfrm>
                      <a:off x="0" y="0"/>
                      <a:ext cx="3192145" cy="264795"/>
                    </a:xfrm>
                    <a:prstGeom prst="rect">
                      <a:avLst/>
                    </a:prstGeom>
                  </pic:spPr>
                </pic:pic>
              </a:graphicData>
            </a:graphic>
            <wp14:sizeRelH relativeFrom="margin">
              <wp14:pctWidth>0</wp14:pctWidth>
            </wp14:sizeRelH>
            <wp14:sizeRelV relativeFrom="margin">
              <wp14:pctHeight>0</wp14:pctHeight>
            </wp14:sizeRelV>
          </wp:anchor>
        </w:drawing>
      </w:r>
      <w:r w:rsidRPr="00E47DB9">
        <w:rPr>
          <w:rFonts w:ascii="Arial" w:eastAsia="Google Sans Text" w:hAnsi="Arial" w:cs="Arial"/>
          <w:color w:val="1B1C1D"/>
        </w:rPr>
        <w:t>donde fc02 evitado/Cu es el factor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evitado por tonelada de Cu. Este se derivará sumando contribuciones de distintos sectores: por ejemplo, </w:t>
      </w:r>
    </w:p>
    <w:p w14:paraId="2F460F54"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 se calculará cuántas toneladas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reduce un MW de solar (y cuánto Cu requiere ese MW), un EV vs ICE (y cuánto Cu extra requiere), etc., para obtener un estimado agregado. No obstante, también se validará con la cifra simplificada de "</w:t>
      </w:r>
      <w:proofErr w:type="spellStart"/>
      <w:r w:rsidRPr="00E47DB9">
        <w:rPr>
          <w:rFonts w:ascii="Arial" w:eastAsia="Google Sans Text" w:hAnsi="Arial" w:cs="Arial"/>
          <w:color w:val="1B1C1D"/>
        </w:rPr>
        <w:t>few</w:t>
      </w:r>
      <w:proofErr w:type="spellEnd"/>
      <w:r w:rsidRPr="00E47DB9">
        <w:rPr>
          <w:rFonts w:ascii="Arial" w:eastAsia="Google Sans Text" w:hAnsi="Arial" w:cs="Arial"/>
          <w:color w:val="1B1C1D"/>
        </w:rPr>
        <w:t xml:space="preserve"> </w:t>
      </w:r>
      <w:proofErr w:type="spellStart"/>
      <w:r w:rsidRPr="00E47DB9">
        <w:rPr>
          <w:rFonts w:ascii="Arial" w:eastAsia="Google Sans Text" w:hAnsi="Arial" w:cs="Arial"/>
          <w:color w:val="1B1C1D"/>
        </w:rPr>
        <w:t>hundred</w:t>
      </w:r>
      <w:proofErr w:type="spellEnd"/>
      <w:r w:rsidRPr="00E47DB9">
        <w:rPr>
          <w:rFonts w:ascii="Arial" w:eastAsia="Google Sans Text" w:hAnsi="Arial" w:cs="Arial"/>
          <w:color w:val="1B1C1D"/>
        </w:rPr>
        <w:t>" toneladas mencionada en literat54). Probablemente se tomará un rango 200-500 1CO</w:t>
      </w:r>
      <w:r w:rsidRPr="00E47DB9">
        <w:rPr>
          <w:rFonts w:ascii="Cambria Math" w:eastAsia="Google Sans Text" w:hAnsi="Cambria Math" w:cs="Cambria Math"/>
          <w:color w:val="1B1C1D"/>
        </w:rPr>
        <w:t>₂</w:t>
      </w:r>
      <w:r w:rsidRPr="00E47DB9">
        <w:rPr>
          <w:rFonts w:ascii="Arial" w:eastAsia="Google Sans Text" w:hAnsi="Arial" w:cs="Arial"/>
          <w:color w:val="1B1C1D"/>
        </w:rPr>
        <w:t>/ton Cu para análisis de sensibilidad.</w:t>
      </w:r>
    </w:p>
    <w:p w14:paraId="2DC6D2A6" w14:textId="213A4617" w:rsidR="00E47DB9" w:rsidRPr="00E47DB9" w:rsidRDefault="002D6B0C" w:rsidP="002D6B0C">
      <w:pPr>
        <w:pBdr>
          <w:top w:val="nil"/>
          <w:left w:val="nil"/>
          <w:bottom w:val="nil"/>
          <w:right w:val="nil"/>
          <w:between w:val="nil"/>
        </w:pBdr>
        <w:tabs>
          <w:tab w:val="left" w:pos="4704"/>
        </w:tabs>
        <w:spacing w:before="120" w:after="240" w:line="275" w:lineRule="auto"/>
        <w:rPr>
          <w:rFonts w:ascii="Arial" w:eastAsia="Google Sans Text" w:hAnsi="Arial" w:cs="Arial"/>
          <w:color w:val="1B1C1D"/>
        </w:rPr>
      </w:pPr>
      <w:r>
        <w:rPr>
          <w:rFonts w:ascii="Arial" w:eastAsia="Google Sans Text" w:hAnsi="Arial" w:cs="Arial"/>
          <w:color w:val="1B1C1D"/>
        </w:rPr>
        <w:tab/>
      </w:r>
    </w:p>
    <w:p w14:paraId="3F8BE892"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2336" behindDoc="0" locked="0" layoutInCell="1" allowOverlap="1" wp14:anchorId="4D6823F2" wp14:editId="2F37D7AD">
            <wp:simplePos x="0" y="0"/>
            <wp:positionH relativeFrom="column">
              <wp:posOffset>1684020</wp:posOffset>
            </wp:positionH>
            <wp:positionV relativeFrom="paragraph">
              <wp:posOffset>548005</wp:posOffset>
            </wp:positionV>
            <wp:extent cx="2080260" cy="198120"/>
            <wp:effectExtent l="0" t="0" r="0" b="0"/>
            <wp:wrapTopAndBottom/>
            <wp:docPr id="6439130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3019" name="Imagen 643913019"/>
                    <pic:cNvPicPr/>
                  </pic:nvPicPr>
                  <pic:blipFill>
                    <a:blip r:embed="rId11">
                      <a:extLst>
                        <a:ext uri="{28A0092B-C50C-407E-A947-70E740481C1C}">
                          <a14:useLocalDpi xmlns:a14="http://schemas.microsoft.com/office/drawing/2010/main" val="0"/>
                        </a:ext>
                      </a:extLst>
                    </a:blip>
                    <a:stretch>
                      <a:fillRect/>
                    </a:stretch>
                  </pic:blipFill>
                  <pic:spPr>
                    <a:xfrm>
                      <a:off x="0" y="0"/>
                      <a:ext cx="2080260" cy="198120"/>
                    </a:xfrm>
                    <a:prstGeom prst="rect">
                      <a:avLst/>
                    </a:prstGeom>
                  </pic:spPr>
                </pic:pic>
              </a:graphicData>
            </a:graphic>
          </wp:anchor>
        </w:drawing>
      </w:r>
      <w:r w:rsidRPr="00E47DB9">
        <w:rPr>
          <w:rFonts w:ascii="Arial" w:eastAsia="Google Sans Text" w:hAnsi="Arial" w:cs="Arial"/>
          <w:color w:val="1B1C1D"/>
        </w:rPr>
        <w:t>Valor económico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evitado</w:t>
      </w:r>
    </w:p>
    <w:p w14:paraId="756600B4" w14:textId="568039B1"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 xml:space="preserve"> donde </w:t>
      </w:r>
      <w:proofErr w:type="spellStart"/>
      <w:r w:rsidRPr="00E47DB9">
        <w:rPr>
          <w:rFonts w:ascii="Arial" w:eastAsia="Google Sans Text" w:hAnsi="Arial" w:cs="Arial"/>
          <w:color w:val="1B1C1D"/>
        </w:rPr>
        <w:t>P</w:t>
      </w:r>
      <w:r w:rsidR="00F83291">
        <w:rPr>
          <w:rFonts w:ascii="Arial" w:eastAsia="Google Sans Text" w:hAnsi="Arial" w:cs="Arial"/>
          <w:color w:val="1B1C1D"/>
        </w:rPr>
        <w:t>c</w:t>
      </w:r>
      <w:r w:rsidRPr="00E47DB9">
        <w:rPr>
          <w:rFonts w:ascii="Arial" w:eastAsia="Google Sans Text" w:hAnsi="Arial" w:cs="Arial"/>
          <w:color w:val="1B1C1D"/>
        </w:rPr>
        <w:t>arbono</w:t>
      </w:r>
      <w:proofErr w:type="spellEnd"/>
      <w:r w:rsidRPr="00E47DB9">
        <w:rPr>
          <w:rFonts w:ascii="Arial" w:eastAsia="Google Sans Text" w:hAnsi="Arial" w:cs="Arial"/>
          <w:color w:val="1B1C1D"/>
        </w:rPr>
        <w:t xml:space="preserve"> es un precio de referencia de carbono (se ensayarán casos: 10 US$/ICO</w:t>
      </w:r>
      <w:r w:rsidRPr="00E47DB9">
        <w:rPr>
          <w:rFonts w:ascii="Cambria Math" w:eastAsia="Google Sans Text" w:hAnsi="Cambria Math" w:cs="Cambria Math"/>
          <w:color w:val="1B1C1D"/>
        </w:rPr>
        <w:t>₂</w:t>
      </w:r>
      <w:r w:rsidRPr="00E47DB9">
        <w:rPr>
          <w:rFonts w:ascii="Arial" w:eastAsia="Google Sans Text" w:hAnsi="Arial" w:cs="Arial"/>
          <w:color w:val="1B1C1D"/>
        </w:rPr>
        <w:t>, 30 US$/ICO</w:t>
      </w:r>
      <w:r w:rsidRPr="00E47DB9">
        <w:rPr>
          <w:rFonts w:ascii="Cambria Math" w:eastAsia="Google Sans Text" w:hAnsi="Cambria Math" w:cs="Cambria Math"/>
          <w:color w:val="1B1C1D"/>
        </w:rPr>
        <w:t>₂</w:t>
      </w:r>
      <w:r w:rsidRPr="00E47DB9">
        <w:rPr>
          <w:rFonts w:ascii="Arial" w:eastAsia="Google Sans Text" w:hAnsi="Arial" w:cs="Arial"/>
          <w:color w:val="1B1C1D"/>
        </w:rPr>
        <w:t>- precio aproximado en algunos mercados voluntarios, y 100 US$/tCO2-valor social del carbono alto). Esto dará un monto en US$ que "vale" climáticamente el aporte del cobre. Este valor se comparará con, por ejemplo, el valor de mercado del cobre vendido (</w:t>
      </w:r>
      <w:proofErr w:type="spellStart"/>
      <w:r w:rsidRPr="00E47DB9">
        <w:rPr>
          <w:rFonts w:ascii="Arial" w:eastAsia="Google Sans Text" w:hAnsi="Arial" w:cs="Arial"/>
          <w:color w:val="1B1C1D"/>
        </w:rPr>
        <w:t>P_Cux</w:t>
      </w:r>
      <w:proofErr w:type="spellEnd"/>
      <w:r w:rsidRPr="00E47DB9">
        <w:rPr>
          <w:rFonts w:ascii="Arial" w:eastAsia="Google Sans Text" w:hAnsi="Arial" w:cs="Arial"/>
          <w:color w:val="1B1C1D"/>
        </w:rPr>
        <w:t xml:space="preserve"> precio Cu US$/ton) para ilustrar la relación.</w:t>
      </w:r>
    </w:p>
    <w:p w14:paraId="6535E729"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p>
    <w:p w14:paraId="6DED5D25" w14:textId="77777777" w:rsidR="00E47DB9" w:rsidRPr="00E47DB9" w:rsidRDefault="00E47DB9" w:rsidP="002D6B0C">
      <w:pPr>
        <w:jc w:val="both"/>
        <w:rPr>
          <w:rFonts w:ascii="Arial" w:hAnsi="Arial" w:cs="Arial"/>
        </w:rPr>
      </w:pPr>
    </w:p>
    <w:sectPr w:rsidR="00E47DB9" w:rsidRPr="00E47DB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F67F" w14:textId="77777777" w:rsidR="005678AC" w:rsidRDefault="005678AC" w:rsidP="00F63E01">
      <w:pPr>
        <w:spacing w:after="0" w:line="240" w:lineRule="auto"/>
      </w:pPr>
      <w:r>
        <w:separator/>
      </w:r>
    </w:p>
  </w:endnote>
  <w:endnote w:type="continuationSeparator" w:id="0">
    <w:p w14:paraId="463E12B8" w14:textId="77777777" w:rsidR="005678AC" w:rsidRDefault="005678AC" w:rsidP="00F6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941E" w14:textId="77777777" w:rsidR="005678AC" w:rsidRDefault="005678AC" w:rsidP="00F63E01">
      <w:pPr>
        <w:spacing w:after="0" w:line="240" w:lineRule="auto"/>
      </w:pPr>
      <w:r>
        <w:separator/>
      </w:r>
    </w:p>
  </w:footnote>
  <w:footnote w:type="continuationSeparator" w:id="0">
    <w:p w14:paraId="6FDACB90" w14:textId="77777777" w:rsidR="005678AC" w:rsidRDefault="005678AC" w:rsidP="00F63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A1C"/>
    <w:multiLevelType w:val="multilevel"/>
    <w:tmpl w:val="F14461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E5326D5"/>
    <w:multiLevelType w:val="multilevel"/>
    <w:tmpl w:val="FA842F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B9B227D"/>
    <w:multiLevelType w:val="multilevel"/>
    <w:tmpl w:val="BE9025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4FF524C"/>
    <w:multiLevelType w:val="multilevel"/>
    <w:tmpl w:val="CCB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5352F"/>
    <w:multiLevelType w:val="multilevel"/>
    <w:tmpl w:val="378EAA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6D569F5"/>
    <w:multiLevelType w:val="hybridMultilevel"/>
    <w:tmpl w:val="7EEC95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EA36E28"/>
    <w:multiLevelType w:val="hybridMultilevel"/>
    <w:tmpl w:val="829410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31864118">
    <w:abstractNumId w:val="3"/>
  </w:num>
  <w:num w:numId="2" w16cid:durableId="2097970390">
    <w:abstractNumId w:val="6"/>
  </w:num>
  <w:num w:numId="3" w16cid:durableId="178395862">
    <w:abstractNumId w:val="0"/>
  </w:num>
  <w:num w:numId="4" w16cid:durableId="1242374677">
    <w:abstractNumId w:val="4"/>
  </w:num>
  <w:num w:numId="5" w16cid:durableId="1984699730">
    <w:abstractNumId w:val="1"/>
  </w:num>
  <w:num w:numId="6" w16cid:durableId="1299146529">
    <w:abstractNumId w:val="2"/>
  </w:num>
  <w:num w:numId="7" w16cid:durableId="616524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E6"/>
    <w:rsid w:val="00095E01"/>
    <w:rsid w:val="000F7DA2"/>
    <w:rsid w:val="00156904"/>
    <w:rsid w:val="00196FFB"/>
    <w:rsid w:val="00274223"/>
    <w:rsid w:val="002D6B0C"/>
    <w:rsid w:val="003279BF"/>
    <w:rsid w:val="003D295C"/>
    <w:rsid w:val="0048538C"/>
    <w:rsid w:val="004F28E6"/>
    <w:rsid w:val="005678AC"/>
    <w:rsid w:val="005F6A3B"/>
    <w:rsid w:val="00702456"/>
    <w:rsid w:val="00790BF6"/>
    <w:rsid w:val="008C4A4C"/>
    <w:rsid w:val="00923FA7"/>
    <w:rsid w:val="00945761"/>
    <w:rsid w:val="00C16A02"/>
    <w:rsid w:val="00DE1727"/>
    <w:rsid w:val="00E47DB9"/>
    <w:rsid w:val="00E607B9"/>
    <w:rsid w:val="00EE7D86"/>
    <w:rsid w:val="00F63E01"/>
    <w:rsid w:val="00F83291"/>
    <w:rsid w:val="00FB1627"/>
    <w:rsid w:val="00FE2A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1FBB0"/>
  <w15:chartTrackingRefBased/>
  <w15:docId w15:val="{D5CF5040-2139-4A29-8974-8E387AC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28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8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8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8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8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8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8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8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8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8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8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8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8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8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8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8E6"/>
    <w:rPr>
      <w:rFonts w:eastAsiaTheme="majorEastAsia" w:cstheme="majorBidi"/>
      <w:color w:val="272727" w:themeColor="text1" w:themeTint="D8"/>
    </w:rPr>
  </w:style>
  <w:style w:type="paragraph" w:styleId="Ttulo">
    <w:name w:val="Title"/>
    <w:basedOn w:val="Normal"/>
    <w:next w:val="Normal"/>
    <w:link w:val="TtuloCar"/>
    <w:uiPriority w:val="10"/>
    <w:qFormat/>
    <w:rsid w:val="004F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8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8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8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8E6"/>
    <w:pPr>
      <w:spacing w:before="160"/>
      <w:jc w:val="center"/>
    </w:pPr>
    <w:rPr>
      <w:i/>
      <w:iCs/>
      <w:color w:val="404040" w:themeColor="text1" w:themeTint="BF"/>
    </w:rPr>
  </w:style>
  <w:style w:type="character" w:customStyle="1" w:styleId="CitaCar">
    <w:name w:val="Cita Car"/>
    <w:basedOn w:val="Fuentedeprrafopredeter"/>
    <w:link w:val="Cita"/>
    <w:uiPriority w:val="29"/>
    <w:rsid w:val="004F28E6"/>
    <w:rPr>
      <w:i/>
      <w:iCs/>
      <w:color w:val="404040" w:themeColor="text1" w:themeTint="BF"/>
    </w:rPr>
  </w:style>
  <w:style w:type="paragraph" w:styleId="Prrafodelista">
    <w:name w:val="List Paragraph"/>
    <w:basedOn w:val="Normal"/>
    <w:uiPriority w:val="34"/>
    <w:qFormat/>
    <w:rsid w:val="004F28E6"/>
    <w:pPr>
      <w:ind w:left="720"/>
      <w:contextualSpacing/>
    </w:pPr>
  </w:style>
  <w:style w:type="character" w:styleId="nfasisintenso">
    <w:name w:val="Intense Emphasis"/>
    <w:basedOn w:val="Fuentedeprrafopredeter"/>
    <w:uiPriority w:val="21"/>
    <w:qFormat/>
    <w:rsid w:val="004F28E6"/>
    <w:rPr>
      <w:i/>
      <w:iCs/>
      <w:color w:val="0F4761" w:themeColor="accent1" w:themeShade="BF"/>
    </w:rPr>
  </w:style>
  <w:style w:type="paragraph" w:styleId="Citadestacada">
    <w:name w:val="Intense Quote"/>
    <w:basedOn w:val="Normal"/>
    <w:next w:val="Normal"/>
    <w:link w:val="CitadestacadaCar"/>
    <w:uiPriority w:val="30"/>
    <w:qFormat/>
    <w:rsid w:val="004F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8E6"/>
    <w:rPr>
      <w:i/>
      <w:iCs/>
      <w:color w:val="0F4761" w:themeColor="accent1" w:themeShade="BF"/>
    </w:rPr>
  </w:style>
  <w:style w:type="character" w:styleId="Referenciaintensa">
    <w:name w:val="Intense Reference"/>
    <w:basedOn w:val="Fuentedeprrafopredeter"/>
    <w:uiPriority w:val="32"/>
    <w:qFormat/>
    <w:rsid w:val="004F28E6"/>
    <w:rPr>
      <w:b/>
      <w:bCs/>
      <w:smallCaps/>
      <w:color w:val="0F4761" w:themeColor="accent1" w:themeShade="BF"/>
      <w:spacing w:val="5"/>
    </w:rPr>
  </w:style>
  <w:style w:type="character" w:styleId="Hipervnculo">
    <w:name w:val="Hyperlink"/>
    <w:basedOn w:val="Fuentedeprrafopredeter"/>
    <w:uiPriority w:val="99"/>
    <w:unhideWhenUsed/>
    <w:rsid w:val="00156904"/>
    <w:rPr>
      <w:color w:val="467886" w:themeColor="hyperlink"/>
      <w:u w:val="single"/>
    </w:rPr>
  </w:style>
  <w:style w:type="character" w:styleId="Mencinsinresolver">
    <w:name w:val="Unresolved Mention"/>
    <w:basedOn w:val="Fuentedeprrafopredeter"/>
    <w:uiPriority w:val="99"/>
    <w:semiHidden/>
    <w:unhideWhenUsed/>
    <w:rsid w:val="00156904"/>
    <w:rPr>
      <w:color w:val="605E5C"/>
      <w:shd w:val="clear" w:color="auto" w:fill="E1DFDD"/>
    </w:rPr>
  </w:style>
  <w:style w:type="paragraph" w:styleId="Encabezado">
    <w:name w:val="header"/>
    <w:basedOn w:val="Normal"/>
    <w:link w:val="EncabezadoCar"/>
    <w:uiPriority w:val="99"/>
    <w:unhideWhenUsed/>
    <w:rsid w:val="00F63E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E01"/>
  </w:style>
  <w:style w:type="paragraph" w:styleId="Piedepgina">
    <w:name w:val="footer"/>
    <w:basedOn w:val="Normal"/>
    <w:link w:val="PiedepginaCar"/>
    <w:uiPriority w:val="99"/>
    <w:unhideWhenUsed/>
    <w:rsid w:val="00F63E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9749">
      <w:bodyDiv w:val="1"/>
      <w:marLeft w:val="0"/>
      <w:marRight w:val="0"/>
      <w:marTop w:val="0"/>
      <w:marBottom w:val="0"/>
      <w:divBdr>
        <w:top w:val="none" w:sz="0" w:space="0" w:color="auto"/>
        <w:left w:val="none" w:sz="0" w:space="0" w:color="auto"/>
        <w:bottom w:val="none" w:sz="0" w:space="0" w:color="auto"/>
        <w:right w:val="none" w:sz="0" w:space="0" w:color="auto"/>
      </w:divBdr>
    </w:div>
    <w:div w:id="68093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umbertorodolfo.ortiz@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1077</Words>
  <Characters>5927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u201615814 (Ortiz Vargas, Irving Sonny)</dc:creator>
  <cp:keywords/>
  <dc:description/>
  <cp:lastModifiedBy>u201615814 (Ortiz Vargas, Irving Sonny)</cp:lastModifiedBy>
  <cp:revision>10</cp:revision>
  <dcterms:created xsi:type="dcterms:W3CDTF">2025-05-12T23:18:00Z</dcterms:created>
  <dcterms:modified xsi:type="dcterms:W3CDTF">2025-05-13T02:19:00Z</dcterms:modified>
</cp:coreProperties>
</file>