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06B18A1D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611C6E">
        <w:rPr>
          <w:rFonts w:ascii="Arial" w:hAnsi="Arial" w:cs="Arial"/>
          <w:bCs/>
          <w:lang w:val="es-PE"/>
        </w:rPr>
        <w:t xml:space="preserve">Optimización de la Producción </w:t>
      </w:r>
      <w:r w:rsidR="00DB1EFD">
        <w:rPr>
          <w:rFonts w:ascii="Arial" w:hAnsi="Arial" w:cs="Arial"/>
          <w:bCs/>
          <w:lang w:val="es-PE"/>
        </w:rPr>
        <w:t>de</w:t>
      </w:r>
      <w:r w:rsidR="0004210E" w:rsidRPr="0004210E">
        <w:rPr>
          <w:rFonts w:ascii="Arial" w:hAnsi="Arial" w:cs="Arial"/>
          <w:bCs/>
          <w:lang w:val="es-PE"/>
        </w:rPr>
        <w:t xml:space="preserve"> Injection Leaching en Newmont Yanacocha</w:t>
      </w:r>
    </w:p>
    <w:p w14:paraId="7DD33A35" w14:textId="49A19E34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2624C8" w:rsidRPr="002624C8">
        <w:rPr>
          <w:rFonts w:ascii="Arial" w:hAnsi="Arial" w:cs="Arial"/>
          <w:lang w:val="es-PE"/>
        </w:rPr>
        <w:t>Procesamiento de Minerales y Metalurgia Extractiva</w:t>
      </w:r>
    </w:p>
    <w:p w14:paraId="438A99A0" w14:textId="6247F3C4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EF1AF7" w:rsidRPr="00EF1AF7">
        <w:rPr>
          <w:rFonts w:ascii="Arial" w:hAnsi="Arial" w:cs="Arial"/>
          <w:lang w:val="es-PE"/>
        </w:rPr>
        <w:t>Optimización de operaciones y procesos en plantas</w:t>
      </w:r>
    </w:p>
    <w:p w14:paraId="42AF2A68" w14:textId="54AFD499" w:rsidR="00C31A66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566E53ED" w14:textId="4F88DA05" w:rsidR="00BC2291" w:rsidRPr="00BC2291" w:rsidRDefault="00BC2291" w:rsidP="000A238C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 w:rsidRPr="001F025E">
        <w:rPr>
          <w:rFonts w:ascii="Arial" w:hAnsi="Arial" w:cs="Arial"/>
          <w:lang w:val="es-419"/>
        </w:rPr>
        <w:t xml:space="preserve">Dante Daniel Espinoza Gavilano, Newmont – Yanacocha, Superintendente de Planificación a Largo Plazo (LTP), </w:t>
      </w:r>
      <w:r>
        <w:fldChar w:fldCharType="begin"/>
      </w:r>
      <w:r w:rsidRPr="000806F3">
        <w:rPr>
          <w:lang w:val="es-419"/>
        </w:rPr>
        <w:instrText>HYPERLINK "mailto:dante.espinoza@newmont.com"</w:instrText>
      </w:r>
      <w:r>
        <w:fldChar w:fldCharType="separate"/>
      </w:r>
      <w:r w:rsidRPr="001F025E">
        <w:rPr>
          <w:rStyle w:val="Hyperlink"/>
          <w:rFonts w:ascii="Arial" w:hAnsi="Arial" w:cs="Arial"/>
          <w:lang w:val="es-419"/>
        </w:rPr>
        <w:t>dante.espinoza@newmont.com</w:t>
      </w:r>
      <w:r>
        <w:fldChar w:fldCharType="end"/>
      </w:r>
      <w:r w:rsidRPr="001F025E">
        <w:rPr>
          <w:rFonts w:ascii="Arial" w:hAnsi="Arial" w:cs="Arial"/>
          <w:lang w:val="es-419"/>
        </w:rPr>
        <w:t>, 976228092</w:t>
      </w:r>
    </w:p>
    <w:p w14:paraId="2A062639" w14:textId="20F80117" w:rsidR="00501E63" w:rsidRDefault="008058F4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 w:rsidRPr="008058F4">
        <w:rPr>
          <w:rFonts w:ascii="Arial" w:hAnsi="Arial" w:cs="Arial"/>
          <w:lang w:val="es-419"/>
        </w:rPr>
        <w:t>Edwin Enrique Briceño Torres</w:t>
      </w:r>
      <w:r w:rsidR="00501E63" w:rsidRPr="008058F4">
        <w:rPr>
          <w:rFonts w:ascii="Arial" w:hAnsi="Arial" w:cs="Arial"/>
          <w:lang w:val="es-419"/>
        </w:rPr>
        <w:t xml:space="preserve">, Newmont - Yanacocha, </w:t>
      </w:r>
      <w:r w:rsidRPr="008058F4">
        <w:rPr>
          <w:rFonts w:ascii="Arial" w:hAnsi="Arial" w:cs="Arial"/>
          <w:lang w:val="es-419"/>
        </w:rPr>
        <w:t>Su</w:t>
      </w:r>
      <w:r>
        <w:rPr>
          <w:rFonts w:ascii="Arial" w:hAnsi="Arial" w:cs="Arial"/>
          <w:lang w:val="es-419"/>
        </w:rPr>
        <w:t>perintendente Injection Leaching</w:t>
      </w:r>
      <w:r w:rsidR="00501E63" w:rsidRPr="008058F4">
        <w:rPr>
          <w:rFonts w:ascii="Arial" w:hAnsi="Arial" w:cs="Arial"/>
          <w:lang w:val="es-419"/>
        </w:rPr>
        <w:t xml:space="preserve">, </w:t>
      </w:r>
      <w:hyperlink r:id="rId8" w:history="1">
        <w:r w:rsidR="009B6136" w:rsidRPr="00021018">
          <w:rPr>
            <w:rStyle w:val="Hyperlink"/>
            <w:rFonts w:ascii="Arial" w:hAnsi="Arial" w:cs="Arial"/>
            <w:lang w:val="es-419"/>
          </w:rPr>
          <w:t>edwin.briceño@newmont.com</w:t>
        </w:r>
      </w:hyperlink>
      <w:r w:rsidR="00501E63" w:rsidRPr="008058F4">
        <w:rPr>
          <w:rFonts w:ascii="Arial" w:hAnsi="Arial" w:cs="Arial"/>
          <w:lang w:val="es-419"/>
        </w:rPr>
        <w:t xml:space="preserve">, </w:t>
      </w:r>
      <w:r w:rsidR="000A05BF" w:rsidRPr="008058F4">
        <w:rPr>
          <w:rFonts w:ascii="Arial" w:hAnsi="Arial" w:cs="Arial"/>
          <w:lang w:val="es-419"/>
        </w:rPr>
        <w:t>97622</w:t>
      </w:r>
      <w:r w:rsidR="009B6136">
        <w:rPr>
          <w:rFonts w:ascii="Arial" w:hAnsi="Arial" w:cs="Arial"/>
          <w:lang w:val="es-419"/>
        </w:rPr>
        <w:t>2968</w:t>
      </w:r>
      <w:r w:rsidR="00501E63" w:rsidRPr="008058F4">
        <w:rPr>
          <w:rFonts w:ascii="Arial" w:hAnsi="Arial" w:cs="Arial"/>
          <w:lang w:val="es-419"/>
        </w:rPr>
        <w:t>.</w:t>
      </w:r>
    </w:p>
    <w:p w14:paraId="78CD0140" w14:textId="77777777" w:rsidR="000A238C" w:rsidRPr="00BC2291" w:rsidRDefault="000A238C" w:rsidP="000A238C">
      <w:pPr>
        <w:spacing w:after="0" w:line="360" w:lineRule="auto"/>
        <w:jc w:val="center"/>
        <w:rPr>
          <w:rFonts w:ascii="Arial" w:hAnsi="Arial" w:cs="Arial"/>
          <w:bCs/>
          <w:lang w:val="es-419"/>
        </w:rPr>
      </w:pPr>
    </w:p>
    <w:p w14:paraId="21EAB7C0" w14:textId="389C8373" w:rsidR="00BC2291" w:rsidRPr="00BC2291" w:rsidRDefault="00BC2291" w:rsidP="00BC22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lang w:val="es-PE"/>
        </w:rPr>
      </w:pPr>
      <w:r w:rsidRPr="00BC2291">
        <w:rPr>
          <w:rFonts w:ascii="Arial" w:hAnsi="Arial" w:cs="Arial"/>
          <w:b/>
          <w:lang w:val="es-PE"/>
        </w:rPr>
        <w:t>Contexto</w:t>
      </w:r>
    </w:p>
    <w:p w14:paraId="56EBF0A3" w14:textId="341FC2C3" w:rsidR="00BC2291" w:rsidRPr="00BC2291" w:rsidRDefault="00BC2291" w:rsidP="00FF4FD4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 xml:space="preserve">La operación de lixiviación por inyección (Injection Leaching) en Yanacocha se implementó como una solución para recuperar onzas remanentes en </w:t>
      </w:r>
      <w:proofErr w:type="spellStart"/>
      <w:r w:rsidRPr="00BC2291">
        <w:rPr>
          <w:rFonts w:ascii="Arial" w:hAnsi="Arial" w:cs="Arial"/>
          <w:bCs/>
          <w:lang w:val="es-PE"/>
        </w:rPr>
        <w:t>pads</w:t>
      </w:r>
      <w:proofErr w:type="spellEnd"/>
      <w:r w:rsidRPr="00BC2291">
        <w:rPr>
          <w:rFonts w:ascii="Arial" w:hAnsi="Arial" w:cs="Arial"/>
          <w:bCs/>
          <w:lang w:val="es-PE"/>
        </w:rPr>
        <w:t xml:space="preserve"> previamente tratados por lixiviación convencional. Mediante la perforación de pozos e inyección de solución cianurada a presión, se busca rehumedecer zonas de baja permeabilidad y recuperar oro adicional. Sin embargo, el proceso presenta desafíos operativos, geotécnicos y de diseño que incrementan la complejidad y la incertidumbre. En este marco, se inició un proceso de optimización integral para mejorar la eficiencia y seguridad del sistema.</w:t>
      </w:r>
    </w:p>
    <w:p w14:paraId="1430AA5E" w14:textId="0AB2BB35" w:rsidR="00BC2291" w:rsidRPr="00BC2291" w:rsidRDefault="00BC2291" w:rsidP="00BC22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lang w:val="es-PE"/>
        </w:rPr>
      </w:pPr>
      <w:r w:rsidRPr="00BC2291">
        <w:rPr>
          <w:rFonts w:ascii="Arial" w:hAnsi="Arial" w:cs="Arial"/>
          <w:b/>
          <w:lang w:val="es-PE"/>
        </w:rPr>
        <w:t>Objetivos</w:t>
      </w:r>
    </w:p>
    <w:p w14:paraId="01EECA9A" w14:textId="417F936C" w:rsidR="00BC2291" w:rsidRPr="00BC2291" w:rsidRDefault="00BC2291" w:rsidP="00FF4FD4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 xml:space="preserve">Incrementar la producción de oro a través de la optimización de la utilización efectiva del sistema de Injection Leaching y la maximización de la recuperación en </w:t>
      </w:r>
      <w:proofErr w:type="spellStart"/>
      <w:r w:rsidRPr="00BC2291">
        <w:rPr>
          <w:rFonts w:ascii="Arial" w:hAnsi="Arial" w:cs="Arial"/>
          <w:bCs/>
          <w:lang w:val="es-PE"/>
        </w:rPr>
        <w:t>pads</w:t>
      </w:r>
      <w:proofErr w:type="spellEnd"/>
      <w:r w:rsidRPr="00BC2291">
        <w:rPr>
          <w:rFonts w:ascii="Arial" w:hAnsi="Arial" w:cs="Arial"/>
          <w:bCs/>
          <w:lang w:val="es-PE"/>
        </w:rPr>
        <w:t xml:space="preserve"> previamente tratados. Asimismo, identificar y gestionar las variables críticas que afectan la producción y establecer estrategias de mejora continua bajo altos estándares de seguridad.</w:t>
      </w:r>
    </w:p>
    <w:p w14:paraId="0B678B0F" w14:textId="1C04464B" w:rsidR="00BC2291" w:rsidRPr="00BC2291" w:rsidRDefault="00BC2291" w:rsidP="00BC22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lang w:val="es-PE"/>
        </w:rPr>
      </w:pPr>
      <w:r w:rsidRPr="00BC2291">
        <w:rPr>
          <w:rFonts w:ascii="Arial" w:hAnsi="Arial" w:cs="Arial"/>
          <w:b/>
          <w:lang w:val="es-PE"/>
        </w:rPr>
        <w:t>Metodología</w:t>
      </w:r>
    </w:p>
    <w:p w14:paraId="1E4E79B8" w14:textId="77777777" w:rsidR="00BC2291" w:rsidRP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La estrategia de mejora operativa se basó en la implementación de cinco componentes clave:</w:t>
      </w:r>
    </w:p>
    <w:p w14:paraId="43A05552" w14:textId="77777777" w:rsidR="00BC2291" w:rsidRP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- Sistema de anclaje y controles operativos: Se implementó el uso obligatorio de torres de anclaje y brazos articulados para asegurar al personal en zonas de inyección. Se añadieron rejillas de protección en los pozos y se establecieron límites de presión y caudal como medidas de seguridad y eficiencia.</w:t>
      </w:r>
    </w:p>
    <w:p w14:paraId="78F5FD95" w14:textId="77777777" w:rsid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- Sistema de inyección radial y en serie: Se desarrolló un diseño que permite cubrir múltiples pozos desde un punto central, reduciendo la cantidad de movimientos de personal y equipos, mejorando significativamente la eficiencia operativa y disminuyendo la exposición al riesgo.</w:t>
      </w:r>
    </w:p>
    <w:p w14:paraId="601C7842" w14:textId="77777777" w:rsidR="00FF4FD4" w:rsidRDefault="00FF4FD4" w:rsidP="00FF4FD4">
      <w:pPr>
        <w:spacing w:after="0" w:line="360" w:lineRule="auto"/>
        <w:ind w:left="360"/>
        <w:jc w:val="center"/>
        <w:rPr>
          <w:rFonts w:ascii="Arial" w:hAnsi="Arial" w:cs="Arial"/>
          <w:lang w:val="es-PE"/>
        </w:rPr>
      </w:pPr>
      <w:r w:rsidRPr="008F0991">
        <w:rPr>
          <w:noProof/>
          <w:lang w:val="es-PE"/>
        </w:rPr>
        <w:lastRenderedPageBreak/>
        <w:drawing>
          <wp:inline distT="0" distB="0" distL="0" distR="0" wp14:anchorId="5909BB15" wp14:editId="6836CAEE">
            <wp:extent cx="3359785" cy="2327910"/>
            <wp:effectExtent l="19050" t="19050" r="12065" b="15240"/>
            <wp:docPr id="3492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15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2327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E6DDE" w14:textId="41C5534A" w:rsidR="00FF4FD4" w:rsidRDefault="00FF4FD4" w:rsidP="00FF4FD4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Figura</w:t>
      </w:r>
      <w:r w:rsidRPr="007D69B2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1</w:t>
      </w:r>
      <w:r w:rsidRPr="007D69B2">
        <w:rPr>
          <w:rFonts w:ascii="Arial" w:hAnsi="Arial" w:cs="Arial"/>
          <w:lang w:val="es-PE"/>
        </w:rPr>
        <w:t xml:space="preserve">. </w:t>
      </w:r>
      <w:r>
        <w:rPr>
          <w:rFonts w:ascii="Arial" w:hAnsi="Arial" w:cs="Arial"/>
          <w:lang w:val="es-PE"/>
        </w:rPr>
        <w:t>Sistema de inyección radial y en serie</w:t>
      </w:r>
    </w:p>
    <w:p w14:paraId="1132ACD1" w14:textId="77777777" w:rsidR="00FF4FD4" w:rsidRPr="00BC2291" w:rsidRDefault="00FF4FD4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</w:p>
    <w:p w14:paraId="100E3252" w14:textId="77777777" w:rsid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- Sistema de inyección en avanzada y avanzada mejorada: Se optimizó la transición entre pozos mediante tuberías preinstaladas para evitar interrupciones. La versión mejorada permite inyectar simultáneamente zonas inferiores de nuevos pozos mientras se moviliza a la siguiente zona superior.</w:t>
      </w:r>
    </w:p>
    <w:p w14:paraId="042BD0BA" w14:textId="77777777" w:rsidR="00FF4FD4" w:rsidRDefault="00FF4FD4" w:rsidP="00FF4FD4">
      <w:pPr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8F0991">
        <w:rPr>
          <w:rFonts w:ascii="Times New Roman" w:hAnsi="Times New Roman" w:cs="Times New Roman"/>
          <w:noProof/>
          <w:lang w:val="es-PE"/>
        </w:rPr>
        <w:drawing>
          <wp:inline distT="0" distB="0" distL="0" distR="0" wp14:anchorId="4C1EA5D8" wp14:editId="4ECD2782">
            <wp:extent cx="771085" cy="1659619"/>
            <wp:effectExtent l="19050" t="19050" r="10160" b="17145"/>
            <wp:docPr id="888471167" name="Picture 1" descr="A diagram of a person standing on a p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1167" name="Picture 1" descr="A diagram of a person standing on a po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157" cy="1672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F0991">
        <w:rPr>
          <w:rFonts w:ascii="Times New Roman" w:hAnsi="Times New Roman" w:cs="Times New Roman"/>
          <w:noProof/>
          <w:lang w:val="es-PE"/>
        </w:rPr>
        <w:drawing>
          <wp:inline distT="0" distB="0" distL="0" distR="0" wp14:anchorId="2F71907A" wp14:editId="32C06187">
            <wp:extent cx="2455708" cy="1664079"/>
            <wp:effectExtent l="19050" t="19050" r="20955" b="12700"/>
            <wp:docPr id="1488039582" name="Picture 1" descr="Diagram of a diagram of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9582" name="Picture 1" descr="Diagram of a diagram of a construction si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68" cy="167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F0991">
        <w:rPr>
          <w:rFonts w:ascii="Times New Roman" w:hAnsi="Times New Roman" w:cs="Times New Roman"/>
          <w:noProof/>
          <w:lang w:val="es-PE"/>
        </w:rPr>
        <w:drawing>
          <wp:inline distT="0" distB="0" distL="0" distR="0" wp14:anchorId="196A3D48" wp14:editId="1BBDA057">
            <wp:extent cx="2457913" cy="1649908"/>
            <wp:effectExtent l="19050" t="19050" r="19050" b="26670"/>
            <wp:docPr id="908243932" name="Picture 1" descr="Diagram of a diagram of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3932" name="Picture 1" descr="Diagram of a diagram of a construction site&#10;&#10;AI-generated content may be incorrect."/>
                    <pic:cNvPicPr/>
                  </pic:nvPicPr>
                  <pic:blipFill rotWithShape="1">
                    <a:blip r:embed="rId12"/>
                    <a:srcRect l="1209"/>
                    <a:stretch/>
                  </pic:blipFill>
                  <pic:spPr bwMode="auto">
                    <a:xfrm>
                      <a:off x="0" y="0"/>
                      <a:ext cx="2476360" cy="16622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3194F" w14:textId="3A34B708" w:rsidR="00FF4FD4" w:rsidRDefault="00FF4FD4" w:rsidP="00FF4FD4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Figura</w:t>
      </w:r>
      <w:r w:rsidRPr="007D69B2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2</w:t>
      </w:r>
      <w:r w:rsidRPr="007D69B2">
        <w:rPr>
          <w:rFonts w:ascii="Arial" w:hAnsi="Arial" w:cs="Arial"/>
          <w:lang w:val="es-PE"/>
        </w:rPr>
        <w:t xml:space="preserve">. </w:t>
      </w:r>
      <w:r>
        <w:rPr>
          <w:rFonts w:ascii="Arial" w:hAnsi="Arial" w:cs="Arial"/>
          <w:lang w:val="es-PE"/>
        </w:rPr>
        <w:t>Sistema de inyección en avanzada y avanzada mejorada</w:t>
      </w:r>
    </w:p>
    <w:p w14:paraId="35F49CB0" w14:textId="77777777" w:rsidR="00FF4FD4" w:rsidRPr="00BC2291" w:rsidRDefault="00FF4FD4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</w:p>
    <w:p w14:paraId="0BAD2A91" w14:textId="77777777" w:rsidR="00BC2291" w:rsidRP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- Motobombas en espera (respaldo operativo): Se estableció una política de redundancia de una motobomba de respaldo por cada seis en operación, garantizando la continuidad operativa ante fallas o mantenimientos no planificados.</w:t>
      </w:r>
    </w:p>
    <w:p w14:paraId="0D46A7B0" w14:textId="77777777" w:rsid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- Estrategia de “Fórmula 1”: Se aplicó un enfoque de mantenimiento ágil, utilizando los tiempos muertos para realizar tareas de mantenimiento preventivo, reabastecimiento y reparaciones, sin afectar el ritmo operativo.</w:t>
      </w:r>
    </w:p>
    <w:p w14:paraId="4EBD4975" w14:textId="5647753E" w:rsidR="00BC2291" w:rsidRPr="00BC2291" w:rsidRDefault="00BC2291" w:rsidP="00FF4FD4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- </w:t>
      </w:r>
      <w:r w:rsidRPr="00BC2291">
        <w:rPr>
          <w:rFonts w:ascii="Arial" w:hAnsi="Arial" w:cs="Arial"/>
          <w:bCs/>
          <w:lang w:val="es-PE"/>
        </w:rPr>
        <w:t xml:space="preserve">Controles en línea y generación de </w:t>
      </w:r>
      <w:proofErr w:type="spellStart"/>
      <w:r w:rsidRPr="00BC2291">
        <w:rPr>
          <w:rFonts w:ascii="Arial" w:hAnsi="Arial" w:cs="Arial"/>
          <w:bCs/>
          <w:lang w:val="es-PE"/>
        </w:rPr>
        <w:t>KPIs</w:t>
      </w:r>
      <w:proofErr w:type="spellEnd"/>
      <w:r w:rsidRPr="00BC2291">
        <w:rPr>
          <w:rFonts w:ascii="Arial" w:hAnsi="Arial" w:cs="Arial"/>
          <w:bCs/>
          <w:lang w:val="es-PE"/>
        </w:rPr>
        <w:t>: Se desarrollaron e implementaron controles operativos en tiempo real para monitorear variables críticas como flujo, presión, caudal inyectado y horas efectivas por bomba. Además, se definieron indicadores clave de desempeño (KPI) que permiten evaluar la eficiencia operativa y tomar decisiones oportunas para asegurar la continuidad del proceso y la mejora continua.</w:t>
      </w:r>
    </w:p>
    <w:p w14:paraId="6A9BC874" w14:textId="02D8A2F9" w:rsidR="00BC2291" w:rsidRPr="00BC2291" w:rsidRDefault="00BC2291" w:rsidP="00BC22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lang w:val="es-PE"/>
        </w:rPr>
      </w:pPr>
      <w:r w:rsidRPr="00BC2291">
        <w:rPr>
          <w:rFonts w:ascii="Arial" w:hAnsi="Arial" w:cs="Arial"/>
          <w:b/>
          <w:lang w:val="es-PE"/>
        </w:rPr>
        <w:lastRenderedPageBreak/>
        <w:t>Resultados</w:t>
      </w:r>
    </w:p>
    <w:p w14:paraId="7565E8D9" w14:textId="77777777" w:rsid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 xml:space="preserve">La utilización efectiva del sistema se incrementó del 10% al 87%, mientras que la disponibilidad mecánica alcanzó el 99%. Estos resultados reflejan una mejora operativa significativa, reducción de tiempos improductivos y consolidación de un proceso seguro y eficiente, adaptable a condiciones dinámicas del </w:t>
      </w:r>
      <w:proofErr w:type="spellStart"/>
      <w:r w:rsidRPr="00BC2291">
        <w:rPr>
          <w:rFonts w:ascii="Arial" w:hAnsi="Arial" w:cs="Arial"/>
          <w:bCs/>
          <w:lang w:val="es-PE"/>
        </w:rPr>
        <w:t>pad</w:t>
      </w:r>
      <w:proofErr w:type="spellEnd"/>
      <w:r w:rsidRPr="00BC2291">
        <w:rPr>
          <w:rFonts w:ascii="Arial" w:hAnsi="Arial" w:cs="Arial"/>
          <w:bCs/>
          <w:lang w:val="es-PE"/>
        </w:rPr>
        <w:t>.</w:t>
      </w:r>
    </w:p>
    <w:p w14:paraId="2C0A7140" w14:textId="77777777" w:rsidR="00FF4FD4" w:rsidRPr="00034FC8" w:rsidRDefault="00FF4FD4" w:rsidP="00FF4FD4">
      <w:pPr>
        <w:spacing w:after="0" w:line="360" w:lineRule="auto"/>
        <w:jc w:val="center"/>
        <w:rPr>
          <w:rFonts w:ascii="Arial" w:hAnsi="Arial" w:cs="Arial"/>
          <w:lang w:val="es-PE"/>
        </w:rPr>
      </w:pPr>
      <w:r w:rsidRPr="008F0991">
        <w:rPr>
          <w:rFonts w:ascii="Times New Roman" w:hAnsi="Times New Roman" w:cs="Times New Roman"/>
          <w:noProof/>
          <w:lang w:val="es-PE"/>
        </w:rPr>
        <w:drawing>
          <wp:inline distT="0" distB="0" distL="0" distR="0" wp14:anchorId="5D1C06DE" wp14:editId="33A25004">
            <wp:extent cx="4838019" cy="2606040"/>
            <wp:effectExtent l="0" t="0" r="1270" b="3810"/>
            <wp:docPr id="2306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8247" name=""/>
                    <pic:cNvPicPr/>
                  </pic:nvPicPr>
                  <pic:blipFill rotWithShape="1">
                    <a:blip r:embed="rId13"/>
                    <a:srcRect t="4867"/>
                    <a:stretch/>
                  </pic:blipFill>
                  <pic:spPr bwMode="auto">
                    <a:xfrm>
                      <a:off x="0" y="0"/>
                      <a:ext cx="4861798" cy="261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34212" w14:textId="191C6938" w:rsidR="00FF4FD4" w:rsidRPr="00FF4FD4" w:rsidRDefault="00FF4FD4" w:rsidP="00FF4FD4">
      <w:pPr>
        <w:spacing w:after="0" w:line="360" w:lineRule="auto"/>
        <w:jc w:val="center"/>
        <w:rPr>
          <w:rFonts w:ascii="Arial" w:hAnsi="Arial" w:cs="Arial"/>
          <w:lang w:val="es-PE"/>
        </w:rPr>
      </w:pPr>
      <w:r w:rsidRPr="00034FC8">
        <w:rPr>
          <w:rFonts w:ascii="Arial" w:hAnsi="Arial" w:cs="Arial"/>
          <w:lang w:val="es-PE"/>
        </w:rPr>
        <w:t xml:space="preserve">Figura </w:t>
      </w:r>
      <w:r>
        <w:rPr>
          <w:rFonts w:ascii="Arial" w:hAnsi="Arial" w:cs="Arial"/>
          <w:lang w:val="es-PE"/>
        </w:rPr>
        <w:t>3</w:t>
      </w:r>
      <w:r w:rsidRPr="00034FC8">
        <w:rPr>
          <w:rFonts w:ascii="Arial" w:hAnsi="Arial" w:cs="Arial"/>
          <w:lang w:val="es-PE"/>
        </w:rPr>
        <w:t xml:space="preserve">. </w:t>
      </w:r>
      <w:r>
        <w:rPr>
          <w:rFonts w:ascii="Arial" w:hAnsi="Arial" w:cs="Arial"/>
          <w:lang w:val="es-PE"/>
        </w:rPr>
        <w:t>Utilización efectiva</w:t>
      </w:r>
    </w:p>
    <w:p w14:paraId="7FF0CF9D" w14:textId="77777777" w:rsidR="00BC2291" w:rsidRPr="00BC2291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</w:p>
    <w:p w14:paraId="61A2BD73" w14:textId="1FE2F3B3" w:rsidR="00BC2291" w:rsidRPr="000806F3" w:rsidRDefault="00BC2291" w:rsidP="00BC22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b/>
          <w:lang w:val="es-PE"/>
        </w:rPr>
      </w:pPr>
      <w:r w:rsidRPr="000806F3">
        <w:rPr>
          <w:rFonts w:ascii="Arial" w:hAnsi="Arial" w:cs="Arial"/>
          <w:b/>
          <w:lang w:val="es-PE"/>
        </w:rPr>
        <w:t>Conclusiones</w:t>
      </w:r>
    </w:p>
    <w:p w14:paraId="1AFD96F1" w14:textId="0CBD133A" w:rsidR="006366DF" w:rsidRDefault="00BC2291" w:rsidP="00BC2291">
      <w:pPr>
        <w:spacing w:after="0" w:line="360" w:lineRule="auto"/>
        <w:ind w:left="360"/>
        <w:jc w:val="both"/>
        <w:rPr>
          <w:rFonts w:ascii="Arial" w:hAnsi="Arial" w:cs="Arial"/>
          <w:bCs/>
          <w:lang w:val="es-PE"/>
        </w:rPr>
      </w:pPr>
      <w:r w:rsidRPr="00BC2291">
        <w:rPr>
          <w:rFonts w:ascii="Arial" w:hAnsi="Arial" w:cs="Arial"/>
          <w:bCs/>
          <w:lang w:val="es-PE"/>
        </w:rPr>
        <w:t>La combinación de rediseños técnicos, controles operativos y estrategias de mantenimiento ha transformado el Injection Leaching en una operación altamente eficiente. Se recomienda mantener la estructura operativa actual, continuar el desarrollo de modelos predictivos y fortalecer las capacidades del personal mediante capacitación continua</w:t>
      </w:r>
    </w:p>
    <w:p w14:paraId="52727B0C" w14:textId="77777777" w:rsidR="00BC2291" w:rsidRPr="000A238C" w:rsidRDefault="00BC2291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6DB26151" w14:textId="77777777" w:rsidR="00BC2291" w:rsidRPr="006B60EF" w:rsidRDefault="00BC2291" w:rsidP="00BC2291">
      <w:pPr>
        <w:spacing w:before="120" w:after="0" w:line="360" w:lineRule="auto"/>
        <w:jc w:val="both"/>
        <w:rPr>
          <w:rFonts w:ascii="Arial" w:hAnsi="Arial" w:cs="Arial"/>
          <w:b/>
          <w:bCs/>
          <w:lang w:val="es-419"/>
        </w:rPr>
      </w:pPr>
      <w:r w:rsidRPr="006B60EF">
        <w:rPr>
          <w:rFonts w:ascii="Arial" w:hAnsi="Arial" w:cs="Arial"/>
          <w:b/>
          <w:bCs/>
          <w:lang w:val="es-419"/>
        </w:rPr>
        <w:t xml:space="preserve">Dante Espinoza – Superintendente </w:t>
      </w:r>
      <w:r>
        <w:rPr>
          <w:rFonts w:ascii="Arial" w:hAnsi="Arial" w:cs="Arial"/>
          <w:b/>
          <w:bCs/>
          <w:lang w:val="es-419"/>
        </w:rPr>
        <w:t>de Planificación a Largo Plazo</w:t>
      </w:r>
      <w:r w:rsidRPr="006B60EF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b/>
          <w:bCs/>
          <w:lang w:val="es-419"/>
        </w:rPr>
        <w:t xml:space="preserve">(LTP) </w:t>
      </w:r>
      <w:r w:rsidRPr="006B60EF">
        <w:rPr>
          <w:rFonts w:ascii="Arial" w:hAnsi="Arial" w:cs="Arial"/>
          <w:b/>
          <w:bCs/>
          <w:lang w:val="es-419"/>
        </w:rPr>
        <w:t>- Newmont Yanacocha</w:t>
      </w:r>
    </w:p>
    <w:p w14:paraId="6009A957" w14:textId="71FD5026" w:rsidR="00BC2291" w:rsidRPr="000A238C" w:rsidRDefault="00BC2291" w:rsidP="00FF4FD4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6B60EF">
        <w:rPr>
          <w:rFonts w:ascii="Arial" w:hAnsi="Arial" w:cs="Arial"/>
          <w:lang w:val="es-PE"/>
        </w:rPr>
        <w:t>Ingeniero de Minas con más de 19 años de experiencia en planificación minera y operaciones a cielo abierto. Especialista en liderazgo de equipos multidisciplinarios, optimización operativa y gestión estratégica de proyectos. Actualmente Superintendente de Planificación a Largo Plazo (LTP) en Newmont Yanacocha, liderando con éxito el proyecto Injection Leaching.</w:t>
      </w:r>
    </w:p>
    <w:p w14:paraId="25CA2B30" w14:textId="7BCAB412" w:rsidR="00B65E26" w:rsidRPr="009A0DB2" w:rsidRDefault="00C52844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Edwin Briceño</w:t>
      </w:r>
      <w:r w:rsidR="00B65E26" w:rsidRPr="009A0DB2">
        <w:rPr>
          <w:rFonts w:ascii="Arial" w:hAnsi="Arial" w:cs="Arial"/>
          <w:b/>
          <w:bCs/>
          <w:lang w:val="en-US"/>
        </w:rPr>
        <w:t xml:space="preserve"> </w:t>
      </w:r>
      <w:r w:rsidR="004754E9" w:rsidRPr="009A0DB2">
        <w:rPr>
          <w:rFonts w:ascii="Arial" w:hAnsi="Arial" w:cs="Arial"/>
          <w:b/>
          <w:bCs/>
          <w:lang w:val="en-US"/>
        </w:rPr>
        <w:t>–</w:t>
      </w:r>
      <w:r w:rsidR="00B65E26" w:rsidRPr="009A0DB2"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Superintendente</w:t>
      </w:r>
      <w:proofErr w:type="spellEnd"/>
      <w:r>
        <w:rPr>
          <w:rFonts w:ascii="Arial" w:hAnsi="Arial" w:cs="Arial"/>
          <w:b/>
          <w:bCs/>
          <w:lang w:val="en-US"/>
        </w:rPr>
        <w:t xml:space="preserve"> Injection Leaching </w:t>
      </w:r>
      <w:r w:rsidR="00B65E26" w:rsidRPr="009A0DB2">
        <w:rPr>
          <w:rFonts w:ascii="Arial" w:hAnsi="Arial" w:cs="Arial"/>
          <w:b/>
          <w:bCs/>
          <w:lang w:val="en-US"/>
        </w:rPr>
        <w:t xml:space="preserve"> - Newmont </w:t>
      </w:r>
      <w:r w:rsidR="00E37590" w:rsidRPr="009A0DB2">
        <w:rPr>
          <w:rFonts w:ascii="Arial" w:hAnsi="Arial" w:cs="Arial"/>
          <w:b/>
          <w:bCs/>
          <w:lang w:val="en-US"/>
        </w:rPr>
        <w:t>Yanacocha</w:t>
      </w:r>
    </w:p>
    <w:p w14:paraId="0CFCFB53" w14:textId="4F240C31" w:rsidR="00B65E26" w:rsidRDefault="00211D59" w:rsidP="00211D59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211D59">
        <w:rPr>
          <w:rFonts w:ascii="Arial" w:hAnsi="Arial" w:cs="Arial"/>
          <w:lang w:val="es-PE"/>
        </w:rPr>
        <w:t>Ingeniero Industrial con 28 años de experiencia en diferentes áreas de Operaciones Mina (Perforación y Voladura, Manejo de Aguas, Drenaje Superficial y Subterráneo, Proyectos Mina y Carguío y Acarreo)</w:t>
      </w:r>
      <w:r>
        <w:rPr>
          <w:rFonts w:ascii="Arial" w:hAnsi="Arial" w:cs="Arial"/>
          <w:lang w:val="es-PE"/>
        </w:rPr>
        <w:t xml:space="preserve">. </w:t>
      </w:r>
      <w:r w:rsidRPr="00211D59">
        <w:rPr>
          <w:rFonts w:ascii="Arial" w:hAnsi="Arial" w:cs="Arial"/>
          <w:lang w:val="es-PE"/>
        </w:rPr>
        <w:t>Estudios de Maestría en Gestión Minera en UPC.</w:t>
      </w:r>
      <w:r>
        <w:rPr>
          <w:rFonts w:ascii="Arial" w:hAnsi="Arial" w:cs="Arial"/>
          <w:lang w:val="es-PE"/>
        </w:rPr>
        <w:t xml:space="preserve"> </w:t>
      </w:r>
      <w:r w:rsidRPr="00211D59">
        <w:rPr>
          <w:rFonts w:ascii="Arial" w:hAnsi="Arial" w:cs="Arial"/>
          <w:lang w:val="es-PE"/>
        </w:rPr>
        <w:t>Cursos en Gestión Estratégica de la Empresa Responsable y Sostenible, Manager Coach, Negociación y Evaluación de Proyectos por la Universidad Adolfo Ibáñez.</w:t>
      </w:r>
    </w:p>
    <w:sectPr w:rsid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16A57"/>
    <w:multiLevelType w:val="hybridMultilevel"/>
    <w:tmpl w:val="A3D0D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D1E50"/>
    <w:multiLevelType w:val="hybridMultilevel"/>
    <w:tmpl w:val="927E99EC"/>
    <w:lvl w:ilvl="0" w:tplc="9FCE17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F43016"/>
    <w:multiLevelType w:val="hybridMultilevel"/>
    <w:tmpl w:val="D17E5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C5445"/>
    <w:multiLevelType w:val="hybridMultilevel"/>
    <w:tmpl w:val="3AD44B58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A546B"/>
    <w:multiLevelType w:val="hybridMultilevel"/>
    <w:tmpl w:val="A04C284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562BC0"/>
    <w:multiLevelType w:val="hybridMultilevel"/>
    <w:tmpl w:val="1FC420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12"/>
  </w:num>
  <w:num w:numId="2" w16cid:durableId="1986203495">
    <w:abstractNumId w:val="15"/>
  </w:num>
  <w:num w:numId="3" w16cid:durableId="967315925">
    <w:abstractNumId w:val="11"/>
  </w:num>
  <w:num w:numId="4" w16cid:durableId="905846131">
    <w:abstractNumId w:val="10"/>
  </w:num>
  <w:num w:numId="5" w16cid:durableId="1690838353">
    <w:abstractNumId w:val="8"/>
  </w:num>
  <w:num w:numId="6" w16cid:durableId="954873902">
    <w:abstractNumId w:val="0"/>
  </w:num>
  <w:num w:numId="7" w16cid:durableId="127747534">
    <w:abstractNumId w:val="7"/>
  </w:num>
  <w:num w:numId="8" w16cid:durableId="48455140">
    <w:abstractNumId w:val="6"/>
  </w:num>
  <w:num w:numId="9" w16cid:durableId="539560103">
    <w:abstractNumId w:val="1"/>
  </w:num>
  <w:num w:numId="10" w16cid:durableId="2078938286">
    <w:abstractNumId w:val="13"/>
  </w:num>
  <w:num w:numId="11" w16cid:durableId="422147868">
    <w:abstractNumId w:val="3"/>
  </w:num>
  <w:num w:numId="12" w16cid:durableId="1905406728">
    <w:abstractNumId w:val="14"/>
  </w:num>
  <w:num w:numId="13" w16cid:durableId="1321882506">
    <w:abstractNumId w:val="5"/>
  </w:num>
  <w:num w:numId="14" w16cid:durableId="541207222">
    <w:abstractNumId w:val="9"/>
  </w:num>
  <w:num w:numId="15" w16cid:durableId="1952324846">
    <w:abstractNumId w:val="2"/>
  </w:num>
  <w:num w:numId="16" w16cid:durableId="656806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011E2"/>
    <w:rsid w:val="00002494"/>
    <w:rsid w:val="00021CDE"/>
    <w:rsid w:val="00022D65"/>
    <w:rsid w:val="00032718"/>
    <w:rsid w:val="00034FC8"/>
    <w:rsid w:val="0004210E"/>
    <w:rsid w:val="000478C2"/>
    <w:rsid w:val="000577E4"/>
    <w:rsid w:val="000624AB"/>
    <w:rsid w:val="00063693"/>
    <w:rsid w:val="00063FCB"/>
    <w:rsid w:val="00072691"/>
    <w:rsid w:val="000806F3"/>
    <w:rsid w:val="0008454D"/>
    <w:rsid w:val="00090461"/>
    <w:rsid w:val="000A05BF"/>
    <w:rsid w:val="000A238C"/>
    <w:rsid w:val="000A4087"/>
    <w:rsid w:val="000A45F5"/>
    <w:rsid w:val="000B53B7"/>
    <w:rsid w:val="000B6F46"/>
    <w:rsid w:val="000C464C"/>
    <w:rsid w:val="000D2AC1"/>
    <w:rsid w:val="000D2ED6"/>
    <w:rsid w:val="000D5240"/>
    <w:rsid w:val="000D67F1"/>
    <w:rsid w:val="000E1E14"/>
    <w:rsid w:val="000F277F"/>
    <w:rsid w:val="000F57D1"/>
    <w:rsid w:val="000F6791"/>
    <w:rsid w:val="00125162"/>
    <w:rsid w:val="00130065"/>
    <w:rsid w:val="00134B3C"/>
    <w:rsid w:val="00152801"/>
    <w:rsid w:val="00153799"/>
    <w:rsid w:val="0015571D"/>
    <w:rsid w:val="001559DF"/>
    <w:rsid w:val="001603A0"/>
    <w:rsid w:val="00162901"/>
    <w:rsid w:val="00164DF1"/>
    <w:rsid w:val="0017662A"/>
    <w:rsid w:val="0017725F"/>
    <w:rsid w:val="001809DF"/>
    <w:rsid w:val="00183B49"/>
    <w:rsid w:val="001908A3"/>
    <w:rsid w:val="00191F7B"/>
    <w:rsid w:val="00194516"/>
    <w:rsid w:val="001B1033"/>
    <w:rsid w:val="001C3446"/>
    <w:rsid w:val="001D3045"/>
    <w:rsid w:val="001D429F"/>
    <w:rsid w:val="001E3859"/>
    <w:rsid w:val="001E64BE"/>
    <w:rsid w:val="001F025E"/>
    <w:rsid w:val="001F3768"/>
    <w:rsid w:val="001F3EC1"/>
    <w:rsid w:val="001F5F10"/>
    <w:rsid w:val="00204932"/>
    <w:rsid w:val="0020793F"/>
    <w:rsid w:val="00211D59"/>
    <w:rsid w:val="00224F5D"/>
    <w:rsid w:val="00230573"/>
    <w:rsid w:val="00235C0B"/>
    <w:rsid w:val="00237440"/>
    <w:rsid w:val="00247462"/>
    <w:rsid w:val="002475D4"/>
    <w:rsid w:val="002624C8"/>
    <w:rsid w:val="00264438"/>
    <w:rsid w:val="00276006"/>
    <w:rsid w:val="002C21F6"/>
    <w:rsid w:val="002C4823"/>
    <w:rsid w:val="002D3924"/>
    <w:rsid w:val="002D4FB0"/>
    <w:rsid w:val="002E137D"/>
    <w:rsid w:val="00310553"/>
    <w:rsid w:val="00323E8D"/>
    <w:rsid w:val="0033226C"/>
    <w:rsid w:val="003330EC"/>
    <w:rsid w:val="0033485D"/>
    <w:rsid w:val="00346499"/>
    <w:rsid w:val="003505F2"/>
    <w:rsid w:val="00355409"/>
    <w:rsid w:val="00360759"/>
    <w:rsid w:val="00365351"/>
    <w:rsid w:val="00366149"/>
    <w:rsid w:val="003803C1"/>
    <w:rsid w:val="00393ED8"/>
    <w:rsid w:val="00397D05"/>
    <w:rsid w:val="003A3DA2"/>
    <w:rsid w:val="003A52A9"/>
    <w:rsid w:val="003B0B5D"/>
    <w:rsid w:val="003B1398"/>
    <w:rsid w:val="003B29BC"/>
    <w:rsid w:val="003B71C2"/>
    <w:rsid w:val="003C1F40"/>
    <w:rsid w:val="003C2B27"/>
    <w:rsid w:val="003C32F8"/>
    <w:rsid w:val="003C34C6"/>
    <w:rsid w:val="003D647E"/>
    <w:rsid w:val="003D7668"/>
    <w:rsid w:val="003E0177"/>
    <w:rsid w:val="003E06EE"/>
    <w:rsid w:val="003E16C6"/>
    <w:rsid w:val="003E1C6A"/>
    <w:rsid w:val="003E69C9"/>
    <w:rsid w:val="003F31DB"/>
    <w:rsid w:val="003F6BFE"/>
    <w:rsid w:val="003F7360"/>
    <w:rsid w:val="004027B6"/>
    <w:rsid w:val="00402808"/>
    <w:rsid w:val="004053B5"/>
    <w:rsid w:val="004103EA"/>
    <w:rsid w:val="00413492"/>
    <w:rsid w:val="004203A0"/>
    <w:rsid w:val="00434898"/>
    <w:rsid w:val="00443212"/>
    <w:rsid w:val="00443FB2"/>
    <w:rsid w:val="00445736"/>
    <w:rsid w:val="00461024"/>
    <w:rsid w:val="004741DE"/>
    <w:rsid w:val="004754E9"/>
    <w:rsid w:val="00477D46"/>
    <w:rsid w:val="0048534F"/>
    <w:rsid w:val="0049288A"/>
    <w:rsid w:val="004A5C7A"/>
    <w:rsid w:val="004B6E55"/>
    <w:rsid w:val="004C038E"/>
    <w:rsid w:val="004C20E3"/>
    <w:rsid w:val="004C3CF0"/>
    <w:rsid w:val="004C735C"/>
    <w:rsid w:val="004C7596"/>
    <w:rsid w:val="004D59AC"/>
    <w:rsid w:val="004E74D8"/>
    <w:rsid w:val="004F225C"/>
    <w:rsid w:val="004F46DC"/>
    <w:rsid w:val="004F789C"/>
    <w:rsid w:val="00501E63"/>
    <w:rsid w:val="005023E4"/>
    <w:rsid w:val="00507EB0"/>
    <w:rsid w:val="00510B80"/>
    <w:rsid w:val="005110E3"/>
    <w:rsid w:val="00513101"/>
    <w:rsid w:val="0052329A"/>
    <w:rsid w:val="005234FE"/>
    <w:rsid w:val="00526E60"/>
    <w:rsid w:val="00527C23"/>
    <w:rsid w:val="005312C9"/>
    <w:rsid w:val="00541765"/>
    <w:rsid w:val="0055015F"/>
    <w:rsid w:val="0055065D"/>
    <w:rsid w:val="0055307E"/>
    <w:rsid w:val="00555F91"/>
    <w:rsid w:val="0056533D"/>
    <w:rsid w:val="0057237E"/>
    <w:rsid w:val="00577960"/>
    <w:rsid w:val="00581539"/>
    <w:rsid w:val="005940B4"/>
    <w:rsid w:val="00595E69"/>
    <w:rsid w:val="00596635"/>
    <w:rsid w:val="00597225"/>
    <w:rsid w:val="005A529A"/>
    <w:rsid w:val="005F2B6E"/>
    <w:rsid w:val="00606935"/>
    <w:rsid w:val="00610075"/>
    <w:rsid w:val="00610913"/>
    <w:rsid w:val="00611C6E"/>
    <w:rsid w:val="00616A7A"/>
    <w:rsid w:val="00625303"/>
    <w:rsid w:val="00631AB2"/>
    <w:rsid w:val="00632B8D"/>
    <w:rsid w:val="006366DF"/>
    <w:rsid w:val="00637862"/>
    <w:rsid w:val="00642B3A"/>
    <w:rsid w:val="006448D2"/>
    <w:rsid w:val="0066067D"/>
    <w:rsid w:val="00660A18"/>
    <w:rsid w:val="00666B53"/>
    <w:rsid w:val="00684BAE"/>
    <w:rsid w:val="0068525D"/>
    <w:rsid w:val="0069457D"/>
    <w:rsid w:val="00694E75"/>
    <w:rsid w:val="006A5CD8"/>
    <w:rsid w:val="006B60EF"/>
    <w:rsid w:val="006C21ED"/>
    <w:rsid w:val="006C2620"/>
    <w:rsid w:val="006F0F38"/>
    <w:rsid w:val="006F1D06"/>
    <w:rsid w:val="006F1DD4"/>
    <w:rsid w:val="006F2C6A"/>
    <w:rsid w:val="00706531"/>
    <w:rsid w:val="00710AEA"/>
    <w:rsid w:val="00715783"/>
    <w:rsid w:val="00715C93"/>
    <w:rsid w:val="0071648C"/>
    <w:rsid w:val="0072194B"/>
    <w:rsid w:val="007342AF"/>
    <w:rsid w:val="00740209"/>
    <w:rsid w:val="00744720"/>
    <w:rsid w:val="00751072"/>
    <w:rsid w:val="00756128"/>
    <w:rsid w:val="0076244F"/>
    <w:rsid w:val="007631CF"/>
    <w:rsid w:val="00765D53"/>
    <w:rsid w:val="00766B51"/>
    <w:rsid w:val="00776E2B"/>
    <w:rsid w:val="0078065B"/>
    <w:rsid w:val="00787AF5"/>
    <w:rsid w:val="0079444C"/>
    <w:rsid w:val="00795492"/>
    <w:rsid w:val="007A0A7C"/>
    <w:rsid w:val="007B1FEE"/>
    <w:rsid w:val="007B5010"/>
    <w:rsid w:val="007C0DC2"/>
    <w:rsid w:val="007C34F7"/>
    <w:rsid w:val="007D69B2"/>
    <w:rsid w:val="007D79DD"/>
    <w:rsid w:val="007E001E"/>
    <w:rsid w:val="007E2BD9"/>
    <w:rsid w:val="007E6F16"/>
    <w:rsid w:val="007F0CC2"/>
    <w:rsid w:val="007F3E97"/>
    <w:rsid w:val="007F624A"/>
    <w:rsid w:val="007F64DB"/>
    <w:rsid w:val="008006AE"/>
    <w:rsid w:val="008052CB"/>
    <w:rsid w:val="008058F4"/>
    <w:rsid w:val="00823877"/>
    <w:rsid w:val="00823917"/>
    <w:rsid w:val="008327D5"/>
    <w:rsid w:val="00847F71"/>
    <w:rsid w:val="0085086D"/>
    <w:rsid w:val="008514B3"/>
    <w:rsid w:val="00855CBF"/>
    <w:rsid w:val="00857859"/>
    <w:rsid w:val="00867EF3"/>
    <w:rsid w:val="0087503B"/>
    <w:rsid w:val="008902DA"/>
    <w:rsid w:val="00891E4F"/>
    <w:rsid w:val="00893431"/>
    <w:rsid w:val="008960C6"/>
    <w:rsid w:val="008A2020"/>
    <w:rsid w:val="008A4C76"/>
    <w:rsid w:val="008A6BE4"/>
    <w:rsid w:val="008A7E37"/>
    <w:rsid w:val="008B6694"/>
    <w:rsid w:val="008E37C1"/>
    <w:rsid w:val="008F119C"/>
    <w:rsid w:val="008F6B95"/>
    <w:rsid w:val="00902446"/>
    <w:rsid w:val="009058DE"/>
    <w:rsid w:val="009107AA"/>
    <w:rsid w:val="00912CF4"/>
    <w:rsid w:val="00912E33"/>
    <w:rsid w:val="0091540B"/>
    <w:rsid w:val="009201EB"/>
    <w:rsid w:val="009255EB"/>
    <w:rsid w:val="009269D3"/>
    <w:rsid w:val="00947C0C"/>
    <w:rsid w:val="00947E6D"/>
    <w:rsid w:val="00965067"/>
    <w:rsid w:val="00967A20"/>
    <w:rsid w:val="00970E61"/>
    <w:rsid w:val="00975D20"/>
    <w:rsid w:val="00984DC5"/>
    <w:rsid w:val="00985E8D"/>
    <w:rsid w:val="0099305C"/>
    <w:rsid w:val="009A0DB2"/>
    <w:rsid w:val="009B3824"/>
    <w:rsid w:val="009B394C"/>
    <w:rsid w:val="009B6136"/>
    <w:rsid w:val="009C08CC"/>
    <w:rsid w:val="009C3D14"/>
    <w:rsid w:val="009E0462"/>
    <w:rsid w:val="009E6A1F"/>
    <w:rsid w:val="009F5BF5"/>
    <w:rsid w:val="00A06D12"/>
    <w:rsid w:val="00A11CD4"/>
    <w:rsid w:val="00A241D7"/>
    <w:rsid w:val="00A25EEF"/>
    <w:rsid w:val="00A27737"/>
    <w:rsid w:val="00A34A53"/>
    <w:rsid w:val="00A35791"/>
    <w:rsid w:val="00A4568B"/>
    <w:rsid w:val="00A5761F"/>
    <w:rsid w:val="00A576A1"/>
    <w:rsid w:val="00A61ADB"/>
    <w:rsid w:val="00A631FF"/>
    <w:rsid w:val="00A702A8"/>
    <w:rsid w:val="00A92CA5"/>
    <w:rsid w:val="00AA36AA"/>
    <w:rsid w:val="00AC6824"/>
    <w:rsid w:val="00AE7A78"/>
    <w:rsid w:val="00B01BFE"/>
    <w:rsid w:val="00B040C5"/>
    <w:rsid w:val="00B04F54"/>
    <w:rsid w:val="00B3473B"/>
    <w:rsid w:val="00B50F1C"/>
    <w:rsid w:val="00B50FA9"/>
    <w:rsid w:val="00B52442"/>
    <w:rsid w:val="00B53511"/>
    <w:rsid w:val="00B55152"/>
    <w:rsid w:val="00B63F35"/>
    <w:rsid w:val="00B65E26"/>
    <w:rsid w:val="00B660F7"/>
    <w:rsid w:val="00B66E5F"/>
    <w:rsid w:val="00B756FA"/>
    <w:rsid w:val="00B77A53"/>
    <w:rsid w:val="00B81E8B"/>
    <w:rsid w:val="00B83164"/>
    <w:rsid w:val="00B841C4"/>
    <w:rsid w:val="00BA786C"/>
    <w:rsid w:val="00BB32C8"/>
    <w:rsid w:val="00BC2291"/>
    <w:rsid w:val="00BC6060"/>
    <w:rsid w:val="00BC6C23"/>
    <w:rsid w:val="00BE0881"/>
    <w:rsid w:val="00C0049C"/>
    <w:rsid w:val="00C05D7B"/>
    <w:rsid w:val="00C10E47"/>
    <w:rsid w:val="00C1208A"/>
    <w:rsid w:val="00C1287E"/>
    <w:rsid w:val="00C20BBC"/>
    <w:rsid w:val="00C236B5"/>
    <w:rsid w:val="00C31A66"/>
    <w:rsid w:val="00C33535"/>
    <w:rsid w:val="00C426C8"/>
    <w:rsid w:val="00C42895"/>
    <w:rsid w:val="00C46EB4"/>
    <w:rsid w:val="00C52844"/>
    <w:rsid w:val="00C54DC6"/>
    <w:rsid w:val="00C54E53"/>
    <w:rsid w:val="00C558A5"/>
    <w:rsid w:val="00C716BD"/>
    <w:rsid w:val="00C7191D"/>
    <w:rsid w:val="00C73770"/>
    <w:rsid w:val="00C75C0C"/>
    <w:rsid w:val="00C76C12"/>
    <w:rsid w:val="00C772AE"/>
    <w:rsid w:val="00C81C39"/>
    <w:rsid w:val="00C822F9"/>
    <w:rsid w:val="00C84ECF"/>
    <w:rsid w:val="00C85D72"/>
    <w:rsid w:val="00C910ED"/>
    <w:rsid w:val="00C91F16"/>
    <w:rsid w:val="00CA25D0"/>
    <w:rsid w:val="00CA67CF"/>
    <w:rsid w:val="00CC1057"/>
    <w:rsid w:val="00CC1654"/>
    <w:rsid w:val="00CC5DE1"/>
    <w:rsid w:val="00CE0F0E"/>
    <w:rsid w:val="00CE4261"/>
    <w:rsid w:val="00CF05D0"/>
    <w:rsid w:val="00CF355E"/>
    <w:rsid w:val="00D04616"/>
    <w:rsid w:val="00D07AA5"/>
    <w:rsid w:val="00D1195F"/>
    <w:rsid w:val="00D13B04"/>
    <w:rsid w:val="00D13EF0"/>
    <w:rsid w:val="00D14107"/>
    <w:rsid w:val="00D20835"/>
    <w:rsid w:val="00D23118"/>
    <w:rsid w:val="00D23EEE"/>
    <w:rsid w:val="00D32A4D"/>
    <w:rsid w:val="00D33F8A"/>
    <w:rsid w:val="00D456D5"/>
    <w:rsid w:val="00D54112"/>
    <w:rsid w:val="00D57297"/>
    <w:rsid w:val="00D61092"/>
    <w:rsid w:val="00D61F0C"/>
    <w:rsid w:val="00D62E16"/>
    <w:rsid w:val="00D64617"/>
    <w:rsid w:val="00D76837"/>
    <w:rsid w:val="00D84BE3"/>
    <w:rsid w:val="00D96FBE"/>
    <w:rsid w:val="00DB1EFD"/>
    <w:rsid w:val="00DB2AC9"/>
    <w:rsid w:val="00DB73F0"/>
    <w:rsid w:val="00DC38DD"/>
    <w:rsid w:val="00DD488B"/>
    <w:rsid w:val="00DE0ED2"/>
    <w:rsid w:val="00DE10C2"/>
    <w:rsid w:val="00DF3F22"/>
    <w:rsid w:val="00DF4EDF"/>
    <w:rsid w:val="00E00AE4"/>
    <w:rsid w:val="00E044CD"/>
    <w:rsid w:val="00E10A9F"/>
    <w:rsid w:val="00E1256D"/>
    <w:rsid w:val="00E13607"/>
    <w:rsid w:val="00E16DF1"/>
    <w:rsid w:val="00E220EB"/>
    <w:rsid w:val="00E27FED"/>
    <w:rsid w:val="00E30F7E"/>
    <w:rsid w:val="00E37590"/>
    <w:rsid w:val="00E42A91"/>
    <w:rsid w:val="00E461D0"/>
    <w:rsid w:val="00E47ADD"/>
    <w:rsid w:val="00E521D8"/>
    <w:rsid w:val="00E52365"/>
    <w:rsid w:val="00E66A7A"/>
    <w:rsid w:val="00E66C49"/>
    <w:rsid w:val="00E67B77"/>
    <w:rsid w:val="00E718A9"/>
    <w:rsid w:val="00E91F6E"/>
    <w:rsid w:val="00E93869"/>
    <w:rsid w:val="00EA376F"/>
    <w:rsid w:val="00EB16C8"/>
    <w:rsid w:val="00EB7999"/>
    <w:rsid w:val="00EC00DB"/>
    <w:rsid w:val="00EC4EF3"/>
    <w:rsid w:val="00EC735F"/>
    <w:rsid w:val="00ED13EC"/>
    <w:rsid w:val="00ED279D"/>
    <w:rsid w:val="00ED41A5"/>
    <w:rsid w:val="00ED5CA8"/>
    <w:rsid w:val="00ED6269"/>
    <w:rsid w:val="00ED726D"/>
    <w:rsid w:val="00EE4B8E"/>
    <w:rsid w:val="00EF120F"/>
    <w:rsid w:val="00EF1AF7"/>
    <w:rsid w:val="00EF4ADC"/>
    <w:rsid w:val="00EF510E"/>
    <w:rsid w:val="00EF6654"/>
    <w:rsid w:val="00F06CAB"/>
    <w:rsid w:val="00F06FD4"/>
    <w:rsid w:val="00F23955"/>
    <w:rsid w:val="00F444FF"/>
    <w:rsid w:val="00F447A2"/>
    <w:rsid w:val="00F4541F"/>
    <w:rsid w:val="00F671EE"/>
    <w:rsid w:val="00F67889"/>
    <w:rsid w:val="00F72740"/>
    <w:rsid w:val="00F73B63"/>
    <w:rsid w:val="00F75DD6"/>
    <w:rsid w:val="00F778F3"/>
    <w:rsid w:val="00F84A77"/>
    <w:rsid w:val="00F86811"/>
    <w:rsid w:val="00F90C8D"/>
    <w:rsid w:val="00F9268E"/>
    <w:rsid w:val="00F9297A"/>
    <w:rsid w:val="00FC0F9A"/>
    <w:rsid w:val="00FC24AE"/>
    <w:rsid w:val="00FC35F8"/>
    <w:rsid w:val="00FC4331"/>
    <w:rsid w:val="00FD3D9F"/>
    <w:rsid w:val="00FE1396"/>
    <w:rsid w:val="00FE177A"/>
    <w:rsid w:val="00FE5FB5"/>
    <w:rsid w:val="00FE65D4"/>
    <w:rsid w:val="00F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E4261"/>
  </w:style>
  <w:style w:type="table" w:styleId="PlainTable2">
    <w:name w:val="Plain Table 2"/>
    <w:basedOn w:val="TableNormal"/>
    <w:uiPriority w:val="42"/>
    <w:rsid w:val="0079444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win.brice&#241;o@newmont.com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786</Words>
  <Characters>4483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Luis Llaque Quiroz</cp:lastModifiedBy>
  <cp:revision>2</cp:revision>
  <dcterms:created xsi:type="dcterms:W3CDTF">2025-05-06T13:20:00Z</dcterms:created>
  <dcterms:modified xsi:type="dcterms:W3CDTF">2025-05-06T13:20:00Z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