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E273" w14:textId="77777777" w:rsidR="00E91397" w:rsidRPr="00C84776" w:rsidRDefault="00E91397" w:rsidP="00A201D7">
      <w:pPr>
        <w:jc w:val="center"/>
        <w:rPr>
          <w:rFonts w:ascii="Arial" w:hAnsi="Arial" w:cs="Arial"/>
          <w:sz w:val="22"/>
          <w:szCs w:val="22"/>
          <w:lang w:val="es-PE"/>
        </w:rPr>
      </w:pPr>
      <w:r w:rsidRPr="00C84776">
        <w:rPr>
          <w:rFonts w:ascii="Arial" w:hAnsi="Arial" w:cs="Arial"/>
          <w:sz w:val="22"/>
          <w:szCs w:val="22"/>
          <w:lang w:val="es-PE"/>
        </w:rPr>
        <w:t>Cuidado del medio ambiente asociado a la mitigación de gases nitrosos</w:t>
      </w:r>
    </w:p>
    <w:p w14:paraId="58F281CA" w14:textId="00A7553E" w:rsidR="00E91397" w:rsidRPr="00C84776" w:rsidRDefault="00E91397" w:rsidP="00A201D7">
      <w:pPr>
        <w:jc w:val="center"/>
        <w:rPr>
          <w:rFonts w:ascii="Arial" w:hAnsi="Arial" w:cs="Arial"/>
          <w:sz w:val="22"/>
          <w:szCs w:val="22"/>
          <w:lang w:val="es-PE"/>
        </w:rPr>
      </w:pPr>
      <w:r w:rsidRPr="00C84776">
        <w:rPr>
          <w:rFonts w:ascii="Arial" w:hAnsi="Arial" w:cs="Arial"/>
          <w:sz w:val="22"/>
          <w:szCs w:val="22"/>
          <w:lang w:val="es-PE"/>
        </w:rPr>
        <w:t>post voladura en terreno reactivo</w:t>
      </w:r>
    </w:p>
    <w:p w14:paraId="18655DEC" w14:textId="31746279" w:rsidR="007373B8" w:rsidRPr="00BC1DFC" w:rsidRDefault="00A201D7" w:rsidP="00A201D7">
      <w:pPr>
        <w:jc w:val="center"/>
        <w:rPr>
          <w:rFonts w:ascii="Arial" w:hAnsi="Arial" w:cs="Arial"/>
          <w:sz w:val="22"/>
          <w:szCs w:val="22"/>
          <w:lang w:val="es-PE"/>
        </w:rPr>
      </w:pPr>
      <w:r w:rsidRPr="00BC1DFC">
        <w:rPr>
          <w:rFonts w:ascii="Arial" w:hAnsi="Arial" w:cs="Arial"/>
          <w:sz w:val="22"/>
          <w:szCs w:val="22"/>
          <w:lang w:val="es-PE"/>
        </w:rPr>
        <w:t>(</w:t>
      </w:r>
      <w:r w:rsidR="003C7EA2" w:rsidRPr="00BC1DFC">
        <w:rPr>
          <w:rFonts w:ascii="Arial" w:hAnsi="Arial" w:cs="Arial"/>
          <w:sz w:val="22"/>
          <w:szCs w:val="22"/>
          <w:lang w:val="es-PE"/>
        </w:rPr>
        <w:t>ESG</w:t>
      </w:r>
      <w:r w:rsidR="00493C85" w:rsidRPr="00BC1DFC">
        <w:rPr>
          <w:rFonts w:ascii="Arial" w:hAnsi="Arial" w:cs="Arial"/>
          <w:sz w:val="22"/>
          <w:szCs w:val="22"/>
          <w:lang w:val="es-PE"/>
        </w:rPr>
        <w:t xml:space="preserve"> - </w:t>
      </w:r>
      <w:r w:rsidR="008D7EFD" w:rsidRPr="00BC1DFC">
        <w:rPr>
          <w:rFonts w:ascii="Arial" w:hAnsi="Arial" w:cs="Arial"/>
          <w:sz w:val="22"/>
          <w:szCs w:val="22"/>
          <w:lang w:val="es-PE"/>
        </w:rPr>
        <w:t>Otros</w:t>
      </w:r>
      <w:r w:rsidRPr="00BC1DFC">
        <w:rPr>
          <w:rFonts w:ascii="Arial" w:hAnsi="Arial" w:cs="Arial"/>
          <w:sz w:val="22"/>
          <w:szCs w:val="22"/>
          <w:lang w:val="es-PE"/>
        </w:rPr>
        <w:t>)</w:t>
      </w:r>
    </w:p>
    <w:p w14:paraId="03D0F56A" w14:textId="77777777" w:rsidR="00A05DB9" w:rsidRPr="00BC1DFC" w:rsidRDefault="00A05DB9" w:rsidP="007373B8">
      <w:pPr>
        <w:rPr>
          <w:rFonts w:ascii="Arial" w:hAnsi="Arial" w:cs="Arial"/>
          <w:sz w:val="22"/>
          <w:szCs w:val="22"/>
          <w:lang w:val="es-PE"/>
        </w:rPr>
      </w:pPr>
    </w:p>
    <w:p w14:paraId="02638C59" w14:textId="54655C97" w:rsidR="0087565A" w:rsidRPr="00BC1DFC" w:rsidRDefault="00611803" w:rsidP="0087565A">
      <w:pPr>
        <w:jc w:val="center"/>
        <w:rPr>
          <w:rFonts w:ascii="Arial" w:hAnsi="Arial" w:cs="Arial"/>
          <w:b/>
          <w:bCs/>
          <w:sz w:val="22"/>
          <w:szCs w:val="22"/>
          <w:lang w:val="es-PE"/>
        </w:rPr>
      </w:pPr>
      <w:r w:rsidRPr="00BC1DFC">
        <w:rPr>
          <w:rFonts w:ascii="Arial" w:hAnsi="Arial" w:cs="Arial"/>
          <w:b/>
          <w:bCs/>
          <w:sz w:val="22"/>
          <w:szCs w:val="22"/>
          <w:lang w:val="es-PE"/>
        </w:rPr>
        <w:t>Jorge Luis Cardenas Miranda</w:t>
      </w:r>
      <w:r w:rsidR="0087565A" w:rsidRPr="00BC1DFC">
        <w:rPr>
          <w:rFonts w:ascii="Arial" w:hAnsi="Arial" w:cs="Arial"/>
          <w:b/>
          <w:bCs/>
          <w:sz w:val="22"/>
          <w:szCs w:val="22"/>
          <w:vertAlign w:val="superscript"/>
          <w:lang w:val="es-PE"/>
        </w:rPr>
        <w:t>1</w:t>
      </w:r>
      <w:r w:rsidR="0087565A" w:rsidRPr="00BC1DFC">
        <w:rPr>
          <w:rFonts w:ascii="Arial" w:hAnsi="Arial" w:cs="Arial"/>
          <w:b/>
          <w:bCs/>
          <w:sz w:val="22"/>
          <w:szCs w:val="22"/>
          <w:lang w:val="es-PE"/>
        </w:rPr>
        <w:t xml:space="preserve">, </w:t>
      </w:r>
      <w:r w:rsidR="001605BA">
        <w:rPr>
          <w:rFonts w:ascii="Arial" w:hAnsi="Arial" w:cs="Arial"/>
          <w:b/>
          <w:bCs/>
          <w:sz w:val="22"/>
          <w:szCs w:val="22"/>
          <w:lang w:val="es-PE"/>
        </w:rPr>
        <w:t xml:space="preserve">Anaani </w:t>
      </w:r>
      <w:r w:rsidR="009C4401">
        <w:rPr>
          <w:rFonts w:ascii="Arial" w:hAnsi="Arial" w:cs="Arial"/>
          <w:b/>
          <w:bCs/>
          <w:sz w:val="22"/>
          <w:szCs w:val="22"/>
          <w:lang w:val="es-PE"/>
        </w:rPr>
        <w:t xml:space="preserve">Jhucynd </w:t>
      </w:r>
      <w:r w:rsidR="001605BA">
        <w:rPr>
          <w:rFonts w:ascii="Arial" w:hAnsi="Arial" w:cs="Arial"/>
          <w:b/>
          <w:bCs/>
          <w:sz w:val="22"/>
          <w:szCs w:val="22"/>
          <w:lang w:val="es-PE"/>
        </w:rPr>
        <w:t>Huaman</w:t>
      </w:r>
      <w:r w:rsidR="009C4401">
        <w:rPr>
          <w:rFonts w:ascii="Arial" w:hAnsi="Arial" w:cs="Arial"/>
          <w:b/>
          <w:bCs/>
          <w:sz w:val="22"/>
          <w:szCs w:val="22"/>
          <w:lang w:val="es-PE"/>
        </w:rPr>
        <w:t xml:space="preserve"> Alcántara</w:t>
      </w:r>
      <w:r w:rsidR="00A61394" w:rsidRPr="00A61394">
        <w:rPr>
          <w:rFonts w:ascii="Arial" w:hAnsi="Arial" w:cs="Arial"/>
          <w:b/>
          <w:bCs/>
          <w:sz w:val="22"/>
          <w:szCs w:val="22"/>
          <w:vertAlign w:val="superscript"/>
          <w:lang w:val="es-PE"/>
        </w:rPr>
        <w:t>2</w:t>
      </w:r>
    </w:p>
    <w:p w14:paraId="400BE595" w14:textId="77777777" w:rsidR="0087565A" w:rsidRPr="00BC1DFC" w:rsidRDefault="0087565A" w:rsidP="0087565A">
      <w:pPr>
        <w:jc w:val="center"/>
        <w:rPr>
          <w:rFonts w:ascii="Arial" w:hAnsi="Arial" w:cs="Arial"/>
          <w:bCs/>
          <w:sz w:val="22"/>
          <w:szCs w:val="22"/>
          <w:lang w:val="es-PE"/>
        </w:rPr>
      </w:pPr>
    </w:p>
    <w:p w14:paraId="23736843" w14:textId="77777777" w:rsidR="007373B8" w:rsidRPr="00BC1DFC" w:rsidRDefault="007373B8" w:rsidP="007373B8">
      <w:pPr>
        <w:rPr>
          <w:rFonts w:ascii="Arial" w:hAnsi="Arial" w:cs="Arial"/>
          <w:sz w:val="22"/>
          <w:szCs w:val="22"/>
          <w:lang w:val="es-PE"/>
        </w:rPr>
      </w:pPr>
    </w:p>
    <w:p w14:paraId="01A64B6A" w14:textId="77777777" w:rsidR="009A0C75" w:rsidRDefault="001F7167" w:rsidP="009A0C75">
      <w:pPr>
        <w:ind w:left="142" w:hanging="142"/>
        <w:rPr>
          <w:rFonts w:ascii="Arial" w:hAnsi="Arial" w:cs="Arial"/>
          <w:sz w:val="22"/>
          <w:szCs w:val="22"/>
          <w:lang w:val="es-PE"/>
        </w:rPr>
      </w:pPr>
      <w:r w:rsidRPr="00BC1DFC">
        <w:rPr>
          <w:rFonts w:ascii="Arial" w:hAnsi="Arial" w:cs="Arial"/>
          <w:sz w:val="22"/>
          <w:szCs w:val="22"/>
          <w:vertAlign w:val="superscript"/>
          <w:lang w:val="es-PE"/>
        </w:rPr>
        <w:t>1</w:t>
      </w:r>
      <w:r w:rsidR="007373B8" w:rsidRPr="00BC1DFC">
        <w:rPr>
          <w:rFonts w:ascii="Arial" w:hAnsi="Arial" w:cs="Arial"/>
          <w:sz w:val="22"/>
          <w:szCs w:val="22"/>
          <w:lang w:val="es-PE"/>
        </w:rPr>
        <w:t xml:space="preserve"> </w:t>
      </w:r>
      <w:r w:rsidR="002D1C36" w:rsidRPr="00BC1DFC">
        <w:rPr>
          <w:rFonts w:ascii="Arial" w:hAnsi="Arial" w:cs="Arial"/>
          <w:sz w:val="22"/>
          <w:szCs w:val="22"/>
          <w:lang w:val="es-PE"/>
        </w:rPr>
        <w:t xml:space="preserve">Autor: </w:t>
      </w:r>
      <w:r w:rsidR="001F54F6" w:rsidRPr="00BC1DFC">
        <w:rPr>
          <w:rFonts w:ascii="Arial" w:hAnsi="Arial" w:cs="Arial"/>
          <w:sz w:val="22"/>
          <w:szCs w:val="22"/>
          <w:lang w:val="es-PE"/>
        </w:rPr>
        <w:t>Enaex, Calle Mariscal La Mar 991, Magdalena del Mar, Lima, Perú</w:t>
      </w:r>
    </w:p>
    <w:p w14:paraId="016F1883" w14:textId="58CB130A" w:rsidR="001F54F6" w:rsidRDefault="001F54F6" w:rsidP="009A0C75">
      <w:pPr>
        <w:ind w:left="142"/>
        <w:rPr>
          <w:rFonts w:ascii="Arial" w:hAnsi="Arial" w:cs="Arial"/>
          <w:sz w:val="22"/>
          <w:szCs w:val="22"/>
          <w:lang w:val="es-PE"/>
        </w:rPr>
      </w:pPr>
      <w:r w:rsidRPr="00BC1DFC">
        <w:rPr>
          <w:rFonts w:ascii="Arial" w:hAnsi="Arial" w:cs="Arial"/>
          <w:sz w:val="22"/>
          <w:szCs w:val="22"/>
          <w:lang w:val="es-PE"/>
        </w:rPr>
        <w:t>(jorge.cardenas@enaex.com - 920136815)</w:t>
      </w:r>
    </w:p>
    <w:p w14:paraId="676FAC05" w14:textId="3E9D44F7" w:rsidR="006D0F12" w:rsidRPr="00BC1DFC" w:rsidRDefault="001F7167" w:rsidP="009A0C75">
      <w:pPr>
        <w:ind w:left="142" w:hanging="142"/>
        <w:rPr>
          <w:rFonts w:ascii="Arial" w:hAnsi="Arial" w:cs="Arial"/>
          <w:sz w:val="22"/>
          <w:szCs w:val="22"/>
          <w:lang w:val="es-PE"/>
        </w:rPr>
      </w:pPr>
      <w:r w:rsidRPr="00BC1DFC">
        <w:rPr>
          <w:rFonts w:ascii="Arial" w:hAnsi="Arial" w:cs="Arial"/>
          <w:sz w:val="22"/>
          <w:szCs w:val="22"/>
          <w:vertAlign w:val="superscript"/>
          <w:lang w:val="es-PE"/>
        </w:rPr>
        <w:t>2</w:t>
      </w:r>
      <w:r w:rsidR="007373B8" w:rsidRPr="00BC1DFC">
        <w:rPr>
          <w:rFonts w:ascii="Arial" w:hAnsi="Arial" w:cs="Arial"/>
          <w:sz w:val="22"/>
          <w:szCs w:val="22"/>
          <w:lang w:val="es-PE"/>
        </w:rPr>
        <w:t xml:space="preserve"> </w:t>
      </w:r>
      <w:r w:rsidR="002D1C36" w:rsidRPr="00A61394">
        <w:rPr>
          <w:rFonts w:ascii="Arial" w:hAnsi="Arial" w:cs="Arial"/>
          <w:sz w:val="22"/>
          <w:szCs w:val="22"/>
          <w:lang w:val="es-PE"/>
        </w:rPr>
        <w:t xml:space="preserve">Coautor 1: </w:t>
      </w:r>
      <w:r w:rsidR="001F54F6" w:rsidRPr="00A61394">
        <w:rPr>
          <w:rFonts w:ascii="Arial" w:hAnsi="Arial" w:cs="Arial"/>
          <w:sz w:val="22"/>
          <w:szCs w:val="22"/>
          <w:lang w:val="es-PE"/>
        </w:rPr>
        <w:t>Enaex, Calle Mariscal La Mar 991, Magdalena del Mar, Lima, Perú (</w:t>
      </w:r>
      <w:hyperlink r:id="rId7" w:history="1">
        <w:r w:rsidR="00F33CE1" w:rsidRPr="00A61394">
          <w:rPr>
            <w:rStyle w:val="Hipervnculo"/>
            <w:rFonts w:ascii="Arial" w:hAnsi="Arial" w:cs="Arial"/>
            <w:color w:val="auto"/>
            <w:sz w:val="22"/>
            <w:szCs w:val="22"/>
            <w:u w:val="none"/>
            <w:lang w:val="es-PE"/>
          </w:rPr>
          <w:t>anaani.huaman@enaex.com</w:t>
        </w:r>
      </w:hyperlink>
      <w:r w:rsidR="00F33CE1" w:rsidRPr="00A61394">
        <w:rPr>
          <w:rFonts w:ascii="Arial" w:hAnsi="Arial" w:cs="Arial"/>
          <w:sz w:val="22"/>
          <w:szCs w:val="22"/>
          <w:lang w:val="es-PE"/>
        </w:rPr>
        <w:t xml:space="preserve"> </w:t>
      </w:r>
      <w:r w:rsidR="001F54F6" w:rsidRPr="00BC1DFC">
        <w:rPr>
          <w:rFonts w:ascii="Arial" w:hAnsi="Arial" w:cs="Arial"/>
          <w:sz w:val="22"/>
          <w:szCs w:val="22"/>
          <w:lang w:val="es-PE"/>
        </w:rPr>
        <w:t xml:space="preserve">- </w:t>
      </w:r>
      <w:r w:rsidR="009A0C75" w:rsidRPr="009A0C75">
        <w:rPr>
          <w:rFonts w:ascii="Arial" w:hAnsi="Arial" w:cs="Arial"/>
          <w:sz w:val="22"/>
          <w:szCs w:val="22"/>
          <w:lang w:val="es-PE"/>
        </w:rPr>
        <w:t>991 546 148</w:t>
      </w:r>
      <w:r w:rsidR="009A0C75">
        <w:rPr>
          <w:rFonts w:ascii="Arial" w:hAnsi="Arial" w:cs="Arial"/>
          <w:sz w:val="22"/>
          <w:szCs w:val="22"/>
          <w:lang w:val="es-PE"/>
        </w:rPr>
        <w:t>)</w:t>
      </w:r>
    </w:p>
    <w:p w14:paraId="42271F3F" w14:textId="1CC39909" w:rsidR="00C90525" w:rsidRPr="00BC1DFC" w:rsidRDefault="00C90525" w:rsidP="00C90525">
      <w:pPr>
        <w:rPr>
          <w:rFonts w:ascii="Arial" w:hAnsi="Arial" w:cs="Arial"/>
          <w:sz w:val="22"/>
          <w:szCs w:val="22"/>
          <w:lang w:val="es-PE"/>
        </w:rPr>
      </w:pPr>
      <w:r w:rsidRPr="00BC1DFC">
        <w:rPr>
          <w:rFonts w:ascii="Arial" w:hAnsi="Arial" w:cs="Arial"/>
          <w:sz w:val="22"/>
          <w:szCs w:val="22"/>
          <w:lang w:val="es-PE"/>
        </w:rPr>
        <w:t>____________________________________________________________________________________</w:t>
      </w:r>
    </w:p>
    <w:p w14:paraId="71E68F26" w14:textId="77777777" w:rsidR="00A63A13" w:rsidRPr="00BC1DFC" w:rsidRDefault="00A63A13" w:rsidP="00D5647F">
      <w:pPr>
        <w:jc w:val="both"/>
        <w:rPr>
          <w:rFonts w:ascii="Arial" w:hAnsi="Arial" w:cs="Arial"/>
          <w:b/>
          <w:sz w:val="22"/>
          <w:szCs w:val="22"/>
          <w:lang w:val="es-PE"/>
        </w:rPr>
      </w:pPr>
    </w:p>
    <w:p w14:paraId="350E87C9" w14:textId="77777777" w:rsidR="000A599E" w:rsidRPr="00BC1DFC" w:rsidRDefault="000A599E" w:rsidP="00650F70">
      <w:pPr>
        <w:jc w:val="both"/>
        <w:rPr>
          <w:rFonts w:ascii="Arial" w:hAnsi="Arial" w:cs="Arial"/>
          <w:b/>
          <w:sz w:val="22"/>
          <w:szCs w:val="22"/>
          <w:lang w:val="es-PE"/>
        </w:rPr>
        <w:sectPr w:rsidR="000A599E" w:rsidRPr="00BC1DFC">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BC1DFC" w:rsidRDefault="00D574EF" w:rsidP="00650F70">
      <w:pPr>
        <w:jc w:val="both"/>
        <w:rPr>
          <w:rFonts w:ascii="Arial" w:hAnsi="Arial" w:cs="Arial"/>
          <w:b/>
          <w:sz w:val="22"/>
          <w:szCs w:val="22"/>
          <w:lang w:val="es-PE"/>
        </w:rPr>
      </w:pPr>
      <w:r w:rsidRPr="00BC1DFC">
        <w:rPr>
          <w:rFonts w:ascii="Arial" w:hAnsi="Arial" w:cs="Arial"/>
          <w:b/>
          <w:sz w:val="22"/>
          <w:szCs w:val="22"/>
          <w:lang w:val="es-PE"/>
        </w:rPr>
        <w:t>RESUMEN</w:t>
      </w:r>
    </w:p>
    <w:p w14:paraId="10417E4D" w14:textId="22EA78A4" w:rsidR="004D10DA" w:rsidRPr="004D10DA" w:rsidRDefault="004D10DA" w:rsidP="004D10DA">
      <w:pPr>
        <w:jc w:val="both"/>
        <w:rPr>
          <w:rFonts w:ascii="Arial" w:hAnsi="Arial" w:cs="Arial"/>
          <w:bCs/>
          <w:sz w:val="22"/>
          <w:szCs w:val="22"/>
          <w:lang w:val="es-PE"/>
        </w:rPr>
      </w:pPr>
      <w:r w:rsidRPr="004D10DA">
        <w:rPr>
          <w:rFonts w:ascii="Arial" w:hAnsi="Arial" w:cs="Arial"/>
          <w:bCs/>
          <w:sz w:val="22"/>
          <w:szCs w:val="22"/>
          <w:lang w:val="es-PE"/>
        </w:rPr>
        <w:t>Este estudio tiene como objetivo desarrollar una guía metodológica para mitigar el nivel e intensidad de los gases nitrosos generados en voladuras con presencia de terreno reactivo. Esta metodología comienza con el estudio del terreno mediante la extracción de muestras de detrit</w:t>
      </w:r>
      <w:r w:rsidR="004A19A6">
        <w:rPr>
          <w:rFonts w:ascii="Arial" w:hAnsi="Arial" w:cs="Arial"/>
          <w:bCs/>
          <w:sz w:val="22"/>
          <w:szCs w:val="22"/>
          <w:lang w:val="es-PE"/>
        </w:rPr>
        <w:t>os</w:t>
      </w:r>
      <w:r w:rsidRPr="004D10DA">
        <w:rPr>
          <w:rFonts w:ascii="Arial" w:hAnsi="Arial" w:cs="Arial"/>
          <w:bCs/>
          <w:sz w:val="22"/>
          <w:szCs w:val="22"/>
          <w:lang w:val="es-PE"/>
        </w:rPr>
        <w:t xml:space="preserve"> formado en el cuello del taladro durante la perforación, las cuales se someten a pruebas de reactividad y de tiempo de reposo con el fin de evaluar su compatibilidad con diferentes mezclas explosivas.</w:t>
      </w:r>
    </w:p>
    <w:p w14:paraId="3B96FB6F" w14:textId="77777777" w:rsidR="004D10DA" w:rsidRPr="004D10DA" w:rsidRDefault="004D10DA" w:rsidP="00C542F2">
      <w:pPr>
        <w:jc w:val="both"/>
        <w:rPr>
          <w:rFonts w:ascii="Arial" w:hAnsi="Arial" w:cs="Arial"/>
          <w:bCs/>
          <w:sz w:val="22"/>
          <w:szCs w:val="22"/>
          <w:lang w:val="es-PE"/>
        </w:rPr>
      </w:pPr>
      <w:r w:rsidRPr="004D10DA">
        <w:rPr>
          <w:rFonts w:ascii="Arial" w:hAnsi="Arial" w:cs="Arial"/>
          <w:bCs/>
          <w:sz w:val="22"/>
          <w:szCs w:val="22"/>
          <w:lang w:val="es-PE"/>
        </w:rPr>
        <w:t>La primera etapa consiste en el análisis de la reactividad del terreno, para lo cual se deben extraer muestras de detrito del sector en evaluación, procurando cubrir la mayor área posible. Adicionalmente, se realiza un análisis cualitativo para verificar la alteración que sufre la mezcla explosiva al estar en contacto con el material reactivo obtenido.</w:t>
      </w:r>
    </w:p>
    <w:p w14:paraId="2A38924A" w14:textId="77777777" w:rsidR="004D10DA" w:rsidRPr="004D10DA" w:rsidRDefault="004D10DA" w:rsidP="00C542F2">
      <w:pPr>
        <w:jc w:val="both"/>
        <w:rPr>
          <w:rFonts w:ascii="Arial" w:hAnsi="Arial" w:cs="Arial"/>
          <w:bCs/>
          <w:sz w:val="22"/>
          <w:szCs w:val="22"/>
          <w:lang w:val="es-PE"/>
        </w:rPr>
      </w:pPr>
      <w:r w:rsidRPr="004D10DA">
        <w:rPr>
          <w:rFonts w:ascii="Arial" w:hAnsi="Arial" w:cs="Arial"/>
          <w:bCs/>
          <w:sz w:val="22"/>
          <w:szCs w:val="22"/>
          <w:lang w:val="es-PE"/>
        </w:rPr>
        <w:t>Para el análisis de la reactividad del terreno, se trabaja con información geológica con el fin de identificar su relación con el grado de reactividad, permitiendo así identificar y sectorizar zonas potencialmente reactivas. En consecuencia, se evalúa la aplicación de diversas mezclas explosivas con menor capacidad de generar gases nitrosos, sin afectar el grado de fragmentación requerido por la planta metalúrgica.</w:t>
      </w:r>
    </w:p>
    <w:p w14:paraId="5750E6DD" w14:textId="77777777" w:rsidR="004D10DA" w:rsidRPr="004D10DA" w:rsidRDefault="004D10DA" w:rsidP="00C542F2">
      <w:pPr>
        <w:jc w:val="both"/>
        <w:rPr>
          <w:rFonts w:ascii="Arial" w:hAnsi="Arial" w:cs="Arial"/>
          <w:bCs/>
          <w:sz w:val="22"/>
          <w:szCs w:val="22"/>
          <w:lang w:val="es-PE"/>
        </w:rPr>
      </w:pPr>
      <w:r w:rsidRPr="004D10DA">
        <w:rPr>
          <w:rFonts w:ascii="Arial" w:hAnsi="Arial" w:cs="Arial"/>
          <w:bCs/>
          <w:sz w:val="22"/>
          <w:szCs w:val="22"/>
          <w:lang w:val="es-PE"/>
        </w:rPr>
        <w:t>En empresas mineras donde el uso de mezclas tipo Heavy ANFO gasificado en taladros de producción es estándar, se recomienda la aplicación de emulsión pura gasificada o mezclas explosivas con menor porcentaje de nitrato de amonio. De este modo, se logrará una reducción en el nivel e intensidad de los gases nitrosos, sin afectar la granulometría ni la productividad de los equipos mineros en sectores con rocas de competencia media a baja.</w:t>
      </w:r>
    </w:p>
    <w:p w14:paraId="55B59F26" w14:textId="77777777" w:rsidR="004D10DA" w:rsidRPr="004D10DA" w:rsidRDefault="004D10DA" w:rsidP="00C542F2">
      <w:pPr>
        <w:jc w:val="both"/>
        <w:rPr>
          <w:rFonts w:ascii="Arial" w:hAnsi="Arial" w:cs="Arial"/>
          <w:bCs/>
          <w:sz w:val="22"/>
          <w:szCs w:val="22"/>
          <w:lang w:val="es-PE"/>
        </w:rPr>
      </w:pPr>
      <w:r w:rsidRPr="004D10DA">
        <w:rPr>
          <w:rFonts w:ascii="Arial" w:hAnsi="Arial" w:cs="Arial"/>
          <w:bCs/>
          <w:sz w:val="22"/>
          <w:szCs w:val="22"/>
          <w:lang w:val="es-PE"/>
        </w:rPr>
        <w:t>Finalmente, una mezcla explosiva con menor porcentaje de nitrato de amonio grado ANFO posee la propiedad de reducir la reacción química asociada a la degradación de la mezcla explosiva en terrenos reactivos.</w:t>
      </w:r>
    </w:p>
    <w:p w14:paraId="33A7601A" w14:textId="77777777" w:rsidR="004D10DA" w:rsidRPr="004D10DA" w:rsidRDefault="004D10DA" w:rsidP="00C542F2">
      <w:pPr>
        <w:jc w:val="both"/>
        <w:rPr>
          <w:rFonts w:ascii="Arial" w:hAnsi="Arial" w:cs="Arial"/>
          <w:bCs/>
          <w:sz w:val="22"/>
          <w:szCs w:val="22"/>
          <w:lang w:val="es-PE"/>
        </w:rPr>
      </w:pPr>
      <w:r w:rsidRPr="004D10DA">
        <w:rPr>
          <w:rFonts w:ascii="Arial" w:hAnsi="Arial" w:cs="Arial"/>
          <w:bCs/>
          <w:sz w:val="22"/>
          <w:szCs w:val="22"/>
          <w:lang w:val="es-PE"/>
        </w:rPr>
        <w:t xml:space="preserve">Como alternativa adicional para mitigar los GNOx, se propone el desarrollo de una emulsión </w:t>
      </w:r>
      <w:r w:rsidRPr="004D10DA">
        <w:rPr>
          <w:rFonts w:ascii="Arial" w:hAnsi="Arial" w:cs="Arial"/>
          <w:bCs/>
          <w:sz w:val="22"/>
          <w:szCs w:val="22"/>
          <w:lang w:val="es-PE"/>
        </w:rPr>
        <w:t>retardante personalizada para diferentes grados de reactividad del terreno, lo cual permite postergar la alteración y degradación de la mezcla explosiva confinada en el taladro.</w:t>
      </w:r>
    </w:p>
    <w:p w14:paraId="510A3F73" w14:textId="77777777" w:rsidR="00BC4D43" w:rsidRPr="00BC1DFC" w:rsidRDefault="00BC4D43" w:rsidP="00650F70">
      <w:pPr>
        <w:jc w:val="both"/>
        <w:rPr>
          <w:rFonts w:ascii="Arial" w:hAnsi="Arial" w:cs="Arial"/>
          <w:b/>
          <w:sz w:val="22"/>
          <w:szCs w:val="22"/>
          <w:lang w:val="es-PE"/>
        </w:rPr>
      </w:pPr>
    </w:p>
    <w:p w14:paraId="113109B4" w14:textId="77777777" w:rsidR="00441B34" w:rsidRPr="00BC1DFC" w:rsidRDefault="00F7409F" w:rsidP="00650F70">
      <w:pPr>
        <w:jc w:val="both"/>
        <w:rPr>
          <w:rFonts w:ascii="Arial" w:hAnsi="Arial" w:cs="Arial"/>
          <w:b/>
          <w:sz w:val="22"/>
          <w:szCs w:val="22"/>
          <w:lang w:val="es-PE"/>
        </w:rPr>
      </w:pPr>
      <w:r w:rsidRPr="00BC1DFC">
        <w:rPr>
          <w:rFonts w:ascii="Arial" w:hAnsi="Arial" w:cs="Arial"/>
          <w:b/>
          <w:sz w:val="22"/>
          <w:szCs w:val="22"/>
          <w:lang w:val="es-PE"/>
        </w:rPr>
        <w:t xml:space="preserve">1. </w:t>
      </w:r>
      <w:r w:rsidR="002C3EBB" w:rsidRPr="00BC1DFC">
        <w:rPr>
          <w:rFonts w:ascii="Arial" w:hAnsi="Arial" w:cs="Arial"/>
          <w:b/>
          <w:sz w:val="22"/>
          <w:szCs w:val="22"/>
          <w:lang w:val="es-PE"/>
        </w:rPr>
        <w:t>I</w:t>
      </w:r>
      <w:r w:rsidR="00314F9E" w:rsidRPr="00BC1DFC">
        <w:rPr>
          <w:rFonts w:ascii="Arial" w:hAnsi="Arial" w:cs="Arial"/>
          <w:b/>
          <w:sz w:val="22"/>
          <w:szCs w:val="22"/>
          <w:lang w:val="es-PE"/>
        </w:rPr>
        <w:t xml:space="preserve">ntroducción </w:t>
      </w:r>
    </w:p>
    <w:p w14:paraId="214DF996" w14:textId="77777777" w:rsidR="00D5647F" w:rsidRPr="00BC1DFC" w:rsidRDefault="00D5647F" w:rsidP="00650F70">
      <w:pPr>
        <w:jc w:val="both"/>
        <w:rPr>
          <w:rFonts w:ascii="Arial" w:hAnsi="Arial" w:cs="Arial"/>
          <w:sz w:val="22"/>
          <w:szCs w:val="22"/>
          <w:lang w:val="es-PE"/>
        </w:rPr>
      </w:pPr>
    </w:p>
    <w:p w14:paraId="60FC51B0" w14:textId="77777777" w:rsidR="00480894" w:rsidRPr="00480894" w:rsidRDefault="00480894" w:rsidP="00480894">
      <w:pPr>
        <w:jc w:val="both"/>
        <w:rPr>
          <w:rFonts w:ascii="Arial" w:hAnsi="Arial" w:cs="Arial"/>
          <w:sz w:val="22"/>
          <w:szCs w:val="22"/>
          <w:lang w:val="es-PE"/>
        </w:rPr>
      </w:pPr>
      <w:r w:rsidRPr="00480894">
        <w:rPr>
          <w:rFonts w:ascii="Arial" w:hAnsi="Arial" w:cs="Arial"/>
          <w:sz w:val="22"/>
          <w:szCs w:val="22"/>
          <w:lang w:val="es-PE"/>
        </w:rPr>
        <w:t>Actualmente, uno de los mayores desafíos en el sector minero es desarrollar sus operaciones de manera sostenible con el medio ambiente y las comunidades circundantes. Una de las actividades unitarias en minería con mayor potencial de generar disturbios al entorno es la voladura de rocas. En consecuencia, las empresas mineras trabajan de forma constante para minimizar los impactos generados en términos de vibraciones, gases, polvo y ruido.</w:t>
      </w:r>
    </w:p>
    <w:p w14:paraId="4AD6C0ED" w14:textId="445A7C08" w:rsidR="00480894" w:rsidRPr="00480894" w:rsidRDefault="00480894" w:rsidP="00C542F2">
      <w:pPr>
        <w:jc w:val="both"/>
        <w:rPr>
          <w:rFonts w:ascii="Arial" w:hAnsi="Arial" w:cs="Arial"/>
          <w:sz w:val="22"/>
          <w:szCs w:val="22"/>
          <w:lang w:val="es-PE"/>
        </w:rPr>
      </w:pPr>
      <w:r w:rsidRPr="00480894">
        <w:rPr>
          <w:rFonts w:ascii="Arial" w:hAnsi="Arial" w:cs="Arial"/>
          <w:sz w:val="22"/>
          <w:szCs w:val="22"/>
          <w:lang w:val="es-PE"/>
        </w:rPr>
        <w:t>Los terrenos reactivos se refieren a la reacción no deseada entre los explosivos y la roca, fenómeno que se atribuye a la oxidación de sulfuros, principalmente pirita, por el nitrato de amonio contenido en el explosivo, donde el calor liberado por la reacción puede provocar la detonación prematura del taladro. Debido a su composición, los terrenos reactivos pueden interactuar peligrosamente con el nitrato de amonio, principal componente de las mezclas explosivas. Estas interacciones se basan en características geológicas específicas que pueden provocar reacciones exotérmicas que representan riesgos para la seguridad ambiental (gases nitrosos post</w:t>
      </w:r>
      <w:r w:rsidR="00737A8F" w:rsidRPr="00BC1DFC">
        <w:rPr>
          <w:rFonts w:ascii="Arial" w:hAnsi="Arial" w:cs="Arial"/>
          <w:sz w:val="22"/>
          <w:szCs w:val="22"/>
          <w:lang w:val="es-PE"/>
        </w:rPr>
        <w:t xml:space="preserve"> </w:t>
      </w:r>
      <w:r w:rsidRPr="00480894">
        <w:rPr>
          <w:rFonts w:ascii="Arial" w:hAnsi="Arial" w:cs="Arial"/>
          <w:sz w:val="22"/>
          <w:szCs w:val="22"/>
          <w:lang w:val="es-PE"/>
        </w:rPr>
        <w:t>voladura). En este sentido, la siguiente guía metodológica describe distintas soluciones alternativas para minimizar los gases nitrosos y, con ello, reducir los impactos ambientales perjudiciales.</w:t>
      </w:r>
    </w:p>
    <w:p w14:paraId="56A91693" w14:textId="77777777" w:rsidR="00441B34" w:rsidRPr="00BC1DFC" w:rsidRDefault="00441B34" w:rsidP="00650F70">
      <w:pPr>
        <w:jc w:val="both"/>
        <w:rPr>
          <w:rFonts w:ascii="Arial" w:hAnsi="Arial" w:cs="Arial"/>
          <w:sz w:val="22"/>
          <w:szCs w:val="22"/>
          <w:lang w:val="es-PE"/>
        </w:rPr>
      </w:pPr>
    </w:p>
    <w:p w14:paraId="2FD3ED7B" w14:textId="2E3C4891" w:rsidR="00441B34" w:rsidRPr="00BC1DFC" w:rsidRDefault="00F7409F" w:rsidP="00650F70">
      <w:pPr>
        <w:jc w:val="both"/>
        <w:rPr>
          <w:rFonts w:ascii="Arial" w:hAnsi="Arial" w:cs="Arial"/>
          <w:b/>
          <w:bCs/>
          <w:sz w:val="22"/>
          <w:szCs w:val="22"/>
          <w:lang w:val="es-PE"/>
        </w:rPr>
      </w:pPr>
      <w:r w:rsidRPr="00BC1DFC">
        <w:rPr>
          <w:rFonts w:ascii="Arial" w:hAnsi="Arial" w:cs="Arial"/>
          <w:b/>
          <w:bCs/>
          <w:sz w:val="22"/>
          <w:szCs w:val="22"/>
          <w:lang w:val="es-PE"/>
        </w:rPr>
        <w:t xml:space="preserve">2. </w:t>
      </w:r>
      <w:r w:rsidR="002A4C2A" w:rsidRPr="00BC1DFC">
        <w:rPr>
          <w:rFonts w:ascii="Arial" w:hAnsi="Arial" w:cs="Arial"/>
          <w:b/>
          <w:bCs/>
          <w:sz w:val="22"/>
          <w:szCs w:val="22"/>
          <w:lang w:val="es-PE"/>
        </w:rPr>
        <w:t>Metodología</w:t>
      </w:r>
    </w:p>
    <w:p w14:paraId="704A469F" w14:textId="77777777" w:rsidR="00441B34" w:rsidRPr="00BC1DFC" w:rsidRDefault="00441B34" w:rsidP="00650F70">
      <w:pPr>
        <w:jc w:val="both"/>
        <w:rPr>
          <w:rFonts w:ascii="Arial" w:hAnsi="Arial" w:cs="Arial"/>
          <w:b/>
          <w:bCs/>
          <w:sz w:val="22"/>
          <w:szCs w:val="22"/>
          <w:lang w:val="es-PE"/>
        </w:rPr>
      </w:pPr>
    </w:p>
    <w:p w14:paraId="6C4DB34B" w14:textId="77777777" w:rsidR="00AF0749" w:rsidRPr="00AF0749" w:rsidRDefault="00AF0749" w:rsidP="00AF0749">
      <w:pPr>
        <w:jc w:val="both"/>
        <w:rPr>
          <w:rFonts w:ascii="Arial" w:hAnsi="Arial" w:cs="Arial"/>
          <w:bCs/>
          <w:sz w:val="22"/>
          <w:szCs w:val="22"/>
          <w:lang w:val="es-PE"/>
        </w:rPr>
      </w:pPr>
      <w:r w:rsidRPr="00AF0749">
        <w:rPr>
          <w:rFonts w:ascii="Arial" w:hAnsi="Arial" w:cs="Arial"/>
          <w:bCs/>
          <w:sz w:val="22"/>
          <w:szCs w:val="22"/>
          <w:lang w:val="es-PE"/>
        </w:rPr>
        <w:t xml:space="preserve">El presente trabajo es un estudio experimental que tiene como objetivo desarrollar una guía metodológica para mitigar el nivel e intensidad de los gases nitrosos generados en voladuras con presencia de terreno reactivo. Se consideran terrenos reactivos aquellos materiales rocosos que, </w:t>
      </w:r>
      <w:r w:rsidRPr="00AF0749">
        <w:rPr>
          <w:rFonts w:ascii="Arial" w:hAnsi="Arial" w:cs="Arial"/>
          <w:bCs/>
          <w:sz w:val="22"/>
          <w:szCs w:val="22"/>
          <w:lang w:val="es-PE"/>
        </w:rPr>
        <w:lastRenderedPageBreak/>
        <w:t>bajo ciertas condiciones, tienen la capacidad de reaccionar con el nitrato de amonio, lo cual genera una degradación de la mezcla explosiva y/o una reacción exotérmica que conduce a la generación de gases nitrosos.</w:t>
      </w:r>
    </w:p>
    <w:p w14:paraId="6943E420" w14:textId="1EF2EB67" w:rsidR="00602F50" w:rsidRPr="00BC1DFC" w:rsidRDefault="00AF0749" w:rsidP="00C542F2">
      <w:pPr>
        <w:jc w:val="both"/>
        <w:rPr>
          <w:rFonts w:ascii="Arial" w:hAnsi="Arial" w:cs="Arial"/>
          <w:bCs/>
          <w:sz w:val="22"/>
          <w:szCs w:val="22"/>
          <w:lang w:val="es-PE"/>
        </w:rPr>
      </w:pPr>
      <w:r w:rsidRPr="00AF0749">
        <w:rPr>
          <w:rFonts w:ascii="Arial" w:hAnsi="Arial" w:cs="Arial"/>
          <w:bCs/>
          <w:sz w:val="22"/>
          <w:szCs w:val="22"/>
          <w:lang w:val="es-PE"/>
        </w:rPr>
        <w:t>Se propone entonces la siguiente guía:</w:t>
      </w:r>
    </w:p>
    <w:p w14:paraId="0D82DB55" w14:textId="77777777" w:rsidR="004F5524" w:rsidRPr="00BC1DFC" w:rsidRDefault="004F5524" w:rsidP="004C5331">
      <w:pPr>
        <w:ind w:firstLine="142"/>
        <w:jc w:val="both"/>
        <w:rPr>
          <w:rFonts w:ascii="Arial" w:hAnsi="Arial" w:cs="Arial"/>
          <w:sz w:val="22"/>
          <w:szCs w:val="22"/>
          <w:lang w:val="es-PE"/>
        </w:rPr>
      </w:pPr>
    </w:p>
    <w:p w14:paraId="61A529BA" w14:textId="1AD0B30B" w:rsidR="00F27372" w:rsidRDefault="004C5331" w:rsidP="00F27372">
      <w:pPr>
        <w:jc w:val="both"/>
        <w:rPr>
          <w:rFonts w:ascii="Arial" w:hAnsi="Arial" w:cs="Arial"/>
          <w:b/>
          <w:bCs/>
          <w:sz w:val="22"/>
          <w:szCs w:val="22"/>
          <w:lang w:val="es-PE"/>
        </w:rPr>
      </w:pPr>
      <w:r w:rsidRPr="00BC1DFC">
        <w:rPr>
          <w:rFonts w:ascii="Arial" w:hAnsi="Arial" w:cs="Arial"/>
          <w:b/>
          <w:bCs/>
          <w:sz w:val="22"/>
          <w:szCs w:val="22"/>
          <w:lang w:val="es-PE"/>
        </w:rPr>
        <w:t>2.1</w:t>
      </w:r>
      <w:r w:rsidR="00F27372" w:rsidRPr="00F27372">
        <w:rPr>
          <w:rFonts w:ascii="Arial" w:hAnsi="Arial" w:cs="Arial"/>
          <w:b/>
          <w:bCs/>
          <w:sz w:val="22"/>
          <w:szCs w:val="22"/>
          <w:lang w:val="es-PE"/>
        </w:rPr>
        <w:t>. Identificación de Terreno Reactivo</w:t>
      </w:r>
    </w:p>
    <w:p w14:paraId="764A96CD" w14:textId="77777777" w:rsidR="00DF452E" w:rsidRPr="00F27372" w:rsidRDefault="00DF452E" w:rsidP="00F27372">
      <w:pPr>
        <w:jc w:val="both"/>
        <w:rPr>
          <w:rFonts w:ascii="Arial" w:hAnsi="Arial" w:cs="Arial"/>
          <w:b/>
          <w:bCs/>
          <w:sz w:val="22"/>
          <w:szCs w:val="22"/>
          <w:lang w:val="es-PE"/>
        </w:rPr>
      </w:pPr>
    </w:p>
    <w:p w14:paraId="093615C4" w14:textId="2B258ACC" w:rsidR="004F5524" w:rsidRPr="00BC1DFC" w:rsidRDefault="000973F9" w:rsidP="00F27372">
      <w:pPr>
        <w:jc w:val="both"/>
        <w:rPr>
          <w:rFonts w:ascii="Arial" w:hAnsi="Arial" w:cs="Arial"/>
          <w:bCs/>
          <w:sz w:val="22"/>
          <w:szCs w:val="22"/>
          <w:lang w:val="es-PE"/>
        </w:rPr>
      </w:pPr>
      <w:r w:rsidRPr="00BC1DFC">
        <w:rPr>
          <w:rFonts w:ascii="Arial" w:hAnsi="Arial" w:cs="Arial"/>
          <w:bCs/>
          <w:sz w:val="22"/>
          <w:szCs w:val="22"/>
          <w:lang w:val="es-PE"/>
        </w:rPr>
        <w:t>El análisis comienza con la identificación de sectores con potencial de reactividad en el tajo y su clasificación por niveles de reactividad (bajo, medio y alto). La identificación de la presencia de terrenos reactivos se realiza relacionando ciertas anomalías del terreno, como cambios significativos de temperatura (mayores a 35 °C), cambios mineralógicos y la ejecución de pruebas de reactividad y tiempo de reposo basadas en el muestreo de detrito.</w:t>
      </w:r>
    </w:p>
    <w:p w14:paraId="1435C43F" w14:textId="77777777" w:rsidR="000973F9" w:rsidRPr="00F27372" w:rsidRDefault="000973F9" w:rsidP="00F27372">
      <w:pPr>
        <w:jc w:val="both"/>
        <w:rPr>
          <w:rFonts w:ascii="Arial" w:hAnsi="Arial" w:cs="Arial"/>
          <w:bCs/>
          <w:sz w:val="22"/>
          <w:szCs w:val="22"/>
          <w:lang w:val="es-PE"/>
        </w:rPr>
      </w:pPr>
    </w:p>
    <w:p w14:paraId="39F03E89" w14:textId="2689D86B" w:rsidR="00F27372" w:rsidRDefault="00603BC6" w:rsidP="00F27372">
      <w:pPr>
        <w:jc w:val="both"/>
        <w:rPr>
          <w:rFonts w:ascii="Arial" w:hAnsi="Arial" w:cs="Arial"/>
          <w:b/>
          <w:bCs/>
          <w:sz w:val="22"/>
          <w:szCs w:val="22"/>
          <w:lang w:val="es-PE"/>
        </w:rPr>
      </w:pPr>
      <w:r w:rsidRPr="00BC1DFC">
        <w:rPr>
          <w:rFonts w:ascii="Arial" w:hAnsi="Arial" w:cs="Arial"/>
          <w:b/>
          <w:bCs/>
          <w:sz w:val="22"/>
          <w:szCs w:val="22"/>
          <w:lang w:val="es-PE"/>
        </w:rPr>
        <w:t>2.1.1</w:t>
      </w:r>
      <w:r w:rsidR="00F27372" w:rsidRPr="00F27372">
        <w:rPr>
          <w:rFonts w:ascii="Arial" w:hAnsi="Arial" w:cs="Arial"/>
          <w:b/>
          <w:bCs/>
          <w:sz w:val="22"/>
          <w:szCs w:val="22"/>
          <w:lang w:val="es-PE"/>
        </w:rPr>
        <w:t>. Medición de Temperatura</w:t>
      </w:r>
    </w:p>
    <w:p w14:paraId="538F320B" w14:textId="77777777" w:rsidR="00DF452E" w:rsidRPr="00F27372" w:rsidRDefault="00DF452E" w:rsidP="00F27372">
      <w:pPr>
        <w:jc w:val="both"/>
        <w:rPr>
          <w:rFonts w:ascii="Arial" w:hAnsi="Arial" w:cs="Arial"/>
          <w:b/>
          <w:bCs/>
          <w:sz w:val="22"/>
          <w:szCs w:val="22"/>
          <w:lang w:val="es-PE"/>
        </w:rPr>
      </w:pPr>
    </w:p>
    <w:p w14:paraId="6A5C935C" w14:textId="684B9344" w:rsidR="008866D5" w:rsidRPr="00BC1DFC" w:rsidRDefault="003F27FE" w:rsidP="00F27372">
      <w:pPr>
        <w:jc w:val="both"/>
        <w:rPr>
          <w:rFonts w:ascii="Arial" w:hAnsi="Arial" w:cs="Arial"/>
          <w:bCs/>
          <w:sz w:val="22"/>
          <w:szCs w:val="22"/>
          <w:lang w:val="es-PE"/>
        </w:rPr>
      </w:pPr>
      <w:r w:rsidRPr="00BC1DFC">
        <w:rPr>
          <w:rFonts w:ascii="Arial" w:hAnsi="Arial" w:cs="Arial"/>
          <w:bCs/>
          <w:sz w:val="22"/>
          <w:szCs w:val="22"/>
          <w:lang w:val="es-PE"/>
        </w:rPr>
        <w:t>La medición de la temperatura de los taladros es un control preventivo para identificar temperaturas superiores a 35 °C, lo cual permite reconocer y controlar una posible reacción exotérmica resultante del contacto entre el terreno reactivo y la mezcla explosiva.</w:t>
      </w:r>
    </w:p>
    <w:p w14:paraId="6571F0A4" w14:textId="77777777" w:rsidR="003F27FE" w:rsidRPr="00BC1DFC" w:rsidRDefault="003F27FE" w:rsidP="00F27372">
      <w:pPr>
        <w:jc w:val="both"/>
        <w:rPr>
          <w:rFonts w:ascii="Arial" w:hAnsi="Arial" w:cs="Arial"/>
          <w:bCs/>
          <w:sz w:val="22"/>
          <w:szCs w:val="22"/>
          <w:lang w:val="es-PE"/>
        </w:rPr>
      </w:pPr>
    </w:p>
    <w:p w14:paraId="01002E00" w14:textId="4EBA7376" w:rsidR="00540DB5" w:rsidRPr="00BC1DFC" w:rsidRDefault="00540DB5" w:rsidP="00F27372">
      <w:pPr>
        <w:jc w:val="both"/>
        <w:rPr>
          <w:rFonts w:ascii="Arial" w:hAnsi="Arial" w:cs="Arial"/>
          <w:bCs/>
          <w:sz w:val="22"/>
          <w:szCs w:val="22"/>
          <w:lang w:val="es-PE"/>
        </w:rPr>
      </w:pPr>
      <w:r w:rsidRPr="00BC1DFC">
        <w:rPr>
          <w:rFonts w:ascii="Arial" w:hAnsi="Arial" w:cs="Arial"/>
          <w:bCs/>
          <w:noProof/>
          <w:sz w:val="22"/>
          <w:szCs w:val="22"/>
          <w:lang w:val="es-PE"/>
        </w:rPr>
        <w:drawing>
          <wp:inline distT="0" distB="0" distL="0" distR="0" wp14:anchorId="61EC436B" wp14:editId="386B8E1C">
            <wp:extent cx="3166110" cy="1613535"/>
            <wp:effectExtent l="19050" t="19050" r="15240" b="24765"/>
            <wp:docPr id="654662879"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2879" name="Imagen 1" descr="Imagen que contiene Patrón de fondo&#10;&#10;El contenido generado por IA puede ser incorrecto."/>
                    <pic:cNvPicPr/>
                  </pic:nvPicPr>
                  <pic:blipFill>
                    <a:blip r:embed="rId12"/>
                    <a:stretch>
                      <a:fillRect/>
                    </a:stretch>
                  </pic:blipFill>
                  <pic:spPr>
                    <a:xfrm>
                      <a:off x="0" y="0"/>
                      <a:ext cx="3166110" cy="1613535"/>
                    </a:xfrm>
                    <a:prstGeom prst="rect">
                      <a:avLst/>
                    </a:prstGeom>
                    <a:ln w="6350">
                      <a:solidFill>
                        <a:schemeClr val="tx1"/>
                      </a:solidFill>
                    </a:ln>
                  </pic:spPr>
                </pic:pic>
              </a:graphicData>
            </a:graphic>
          </wp:inline>
        </w:drawing>
      </w:r>
    </w:p>
    <w:p w14:paraId="1D5DA9A1" w14:textId="0E72893C" w:rsidR="00540DB5" w:rsidRPr="009831B8" w:rsidRDefault="005449A2" w:rsidP="00F27372">
      <w:pPr>
        <w:jc w:val="both"/>
        <w:rPr>
          <w:rFonts w:ascii="Arial" w:hAnsi="Arial" w:cs="Arial"/>
          <w:bCs/>
          <w:sz w:val="20"/>
          <w:szCs w:val="20"/>
          <w:lang w:val="es-PE"/>
        </w:rPr>
      </w:pPr>
      <w:r w:rsidRPr="009831B8">
        <w:rPr>
          <w:rFonts w:ascii="Arial" w:hAnsi="Arial" w:cs="Arial"/>
          <w:bCs/>
          <w:sz w:val="20"/>
          <w:szCs w:val="20"/>
          <w:lang w:val="es-PE"/>
        </w:rPr>
        <w:t>Figura 1. Mapa de calor de temperaturas de la malla de voladura en °C.</w:t>
      </w:r>
    </w:p>
    <w:p w14:paraId="05665901" w14:textId="77777777" w:rsidR="004F5524" w:rsidRPr="00BC1DFC" w:rsidRDefault="004F5524" w:rsidP="00F27372">
      <w:pPr>
        <w:jc w:val="both"/>
        <w:rPr>
          <w:rFonts w:ascii="Arial" w:hAnsi="Arial" w:cs="Arial"/>
          <w:bCs/>
          <w:sz w:val="22"/>
          <w:szCs w:val="22"/>
          <w:lang w:val="es-PE"/>
        </w:rPr>
      </w:pPr>
    </w:p>
    <w:p w14:paraId="6BAA349F" w14:textId="629FFD75" w:rsidR="00A26ADA" w:rsidRPr="00BC1DFC" w:rsidRDefault="00A26ADA" w:rsidP="00F27372">
      <w:pPr>
        <w:jc w:val="both"/>
        <w:rPr>
          <w:rFonts w:ascii="Arial" w:hAnsi="Arial" w:cs="Arial"/>
          <w:bCs/>
          <w:sz w:val="22"/>
          <w:szCs w:val="22"/>
          <w:lang w:val="es-PE"/>
        </w:rPr>
      </w:pPr>
      <w:r w:rsidRPr="00BC1DFC">
        <w:rPr>
          <w:rFonts w:ascii="Arial" w:hAnsi="Arial" w:cs="Arial"/>
          <w:bCs/>
          <w:sz w:val="22"/>
          <w:szCs w:val="22"/>
          <w:lang w:val="es-PE"/>
        </w:rPr>
        <w:t>Un mapa de calor permite reconocer los sectores donde existe una mayor variación de temperatura y asociarlos a zonas con mayor potencial de reactividad. Estas mediciones se realizan con instrumentos como pirómetros, termocuplas, cámaras termográficas, entre otros.</w:t>
      </w:r>
    </w:p>
    <w:p w14:paraId="6A86E083" w14:textId="77777777" w:rsidR="00A26ADA" w:rsidRPr="00F27372" w:rsidRDefault="00A26ADA" w:rsidP="00F27372">
      <w:pPr>
        <w:jc w:val="both"/>
        <w:rPr>
          <w:rFonts w:ascii="Arial" w:hAnsi="Arial" w:cs="Arial"/>
          <w:bCs/>
          <w:sz w:val="22"/>
          <w:szCs w:val="22"/>
          <w:lang w:val="es-PE"/>
        </w:rPr>
      </w:pPr>
    </w:p>
    <w:p w14:paraId="06846F32" w14:textId="766DF56F" w:rsidR="00F27372" w:rsidRDefault="00603BC6" w:rsidP="00F27372">
      <w:pPr>
        <w:jc w:val="both"/>
        <w:rPr>
          <w:rFonts w:ascii="Arial" w:hAnsi="Arial" w:cs="Arial"/>
          <w:b/>
          <w:bCs/>
          <w:sz w:val="22"/>
          <w:szCs w:val="22"/>
          <w:lang w:val="es-PE"/>
        </w:rPr>
      </w:pPr>
      <w:r w:rsidRPr="00BC1DFC">
        <w:rPr>
          <w:rFonts w:ascii="Arial" w:hAnsi="Arial" w:cs="Arial"/>
          <w:b/>
          <w:bCs/>
          <w:sz w:val="22"/>
          <w:szCs w:val="22"/>
          <w:lang w:val="es-PE"/>
        </w:rPr>
        <w:t>2.1.2</w:t>
      </w:r>
      <w:r w:rsidR="00F27372" w:rsidRPr="00F27372">
        <w:rPr>
          <w:rFonts w:ascii="Arial" w:hAnsi="Arial" w:cs="Arial"/>
          <w:b/>
          <w:bCs/>
          <w:sz w:val="22"/>
          <w:szCs w:val="22"/>
          <w:lang w:val="es-PE"/>
        </w:rPr>
        <w:t>. Muestreo de Detrito</w:t>
      </w:r>
    </w:p>
    <w:p w14:paraId="3949D567" w14:textId="77777777" w:rsidR="00DF452E" w:rsidRPr="00F27372" w:rsidRDefault="00DF452E" w:rsidP="00F27372">
      <w:pPr>
        <w:jc w:val="both"/>
        <w:rPr>
          <w:rFonts w:ascii="Arial" w:hAnsi="Arial" w:cs="Arial"/>
          <w:b/>
          <w:bCs/>
          <w:sz w:val="22"/>
          <w:szCs w:val="22"/>
          <w:lang w:val="es-PE"/>
        </w:rPr>
      </w:pPr>
    </w:p>
    <w:p w14:paraId="21AA7D73" w14:textId="77777777" w:rsidR="00F27372" w:rsidRDefault="00F27372" w:rsidP="00F27372">
      <w:pPr>
        <w:jc w:val="both"/>
        <w:rPr>
          <w:rFonts w:ascii="Arial" w:hAnsi="Arial" w:cs="Arial"/>
          <w:bCs/>
          <w:sz w:val="22"/>
          <w:szCs w:val="22"/>
          <w:lang w:val="es-PE"/>
        </w:rPr>
      </w:pPr>
      <w:r w:rsidRPr="00F27372">
        <w:rPr>
          <w:rFonts w:ascii="Arial" w:hAnsi="Arial" w:cs="Arial"/>
          <w:bCs/>
          <w:sz w:val="22"/>
          <w:szCs w:val="22"/>
          <w:lang w:val="es-PE"/>
        </w:rPr>
        <w:t>Para confirmar la existencia de terreno reactivo, se extraen muestras del cuello del taladro para someterlas a pruebas de reactividad y tiempo de reposo. Es importante colocar las muestras de forma aleatoria, cubriendo la mayor área posible para una mejor representatividad.</w:t>
      </w:r>
    </w:p>
    <w:p w14:paraId="76A57BA2" w14:textId="77777777" w:rsidR="009831B8" w:rsidRDefault="009831B8" w:rsidP="00F27372">
      <w:pPr>
        <w:jc w:val="both"/>
        <w:rPr>
          <w:rFonts w:ascii="Arial" w:hAnsi="Arial" w:cs="Arial"/>
          <w:bCs/>
          <w:sz w:val="22"/>
          <w:szCs w:val="22"/>
          <w:lang w:val="es-PE"/>
        </w:rPr>
      </w:pPr>
    </w:p>
    <w:p w14:paraId="249B65AB" w14:textId="4A5B93B3" w:rsidR="00F27372" w:rsidRDefault="00603BC6" w:rsidP="00F27372">
      <w:pPr>
        <w:jc w:val="both"/>
        <w:rPr>
          <w:rFonts w:ascii="Arial" w:hAnsi="Arial" w:cs="Arial"/>
          <w:b/>
          <w:bCs/>
          <w:sz w:val="22"/>
          <w:szCs w:val="22"/>
          <w:lang w:val="es-PE"/>
        </w:rPr>
      </w:pPr>
      <w:r w:rsidRPr="00BC1DFC">
        <w:rPr>
          <w:rFonts w:ascii="Arial" w:hAnsi="Arial" w:cs="Arial"/>
          <w:b/>
          <w:bCs/>
          <w:sz w:val="22"/>
          <w:szCs w:val="22"/>
          <w:lang w:val="es-PE"/>
        </w:rPr>
        <w:t>2.1.3</w:t>
      </w:r>
      <w:r w:rsidR="00F27372" w:rsidRPr="00F27372">
        <w:rPr>
          <w:rFonts w:ascii="Arial" w:hAnsi="Arial" w:cs="Arial"/>
          <w:b/>
          <w:bCs/>
          <w:sz w:val="22"/>
          <w:szCs w:val="22"/>
          <w:lang w:val="es-PE"/>
        </w:rPr>
        <w:t>. Prueba de Reactividad</w:t>
      </w:r>
    </w:p>
    <w:p w14:paraId="5771C35E" w14:textId="77777777" w:rsidR="00DF452E" w:rsidRPr="00F27372" w:rsidRDefault="00DF452E" w:rsidP="00F27372">
      <w:pPr>
        <w:jc w:val="both"/>
        <w:rPr>
          <w:rFonts w:ascii="Arial" w:hAnsi="Arial" w:cs="Arial"/>
          <w:b/>
          <w:bCs/>
          <w:sz w:val="22"/>
          <w:szCs w:val="22"/>
          <w:lang w:val="es-PE"/>
        </w:rPr>
      </w:pPr>
    </w:p>
    <w:p w14:paraId="138149A2" w14:textId="66D544DE" w:rsidR="0027617F" w:rsidRPr="007739C1" w:rsidRDefault="007739C1" w:rsidP="007739C1">
      <w:pPr>
        <w:jc w:val="both"/>
        <w:rPr>
          <w:rFonts w:ascii="Arial" w:hAnsi="Arial" w:cs="Arial"/>
          <w:bCs/>
          <w:sz w:val="22"/>
          <w:szCs w:val="22"/>
          <w:lang w:val="es-PE"/>
        </w:rPr>
      </w:pPr>
      <w:r w:rsidRPr="007739C1">
        <w:rPr>
          <w:rFonts w:ascii="Arial" w:hAnsi="Arial" w:cs="Arial"/>
          <w:bCs/>
          <w:sz w:val="22"/>
          <w:szCs w:val="22"/>
          <w:lang w:val="es-PE"/>
        </w:rPr>
        <w:t>La prueba de reactividad consiste en poner porciones de una muestra de detrito mineral en contacto con nitrato de amonio y evaluar si se produce una reacción química exotérmica entre ambos, y si esta es autosostenida en el tiempo (es decir, si la reacción genera calor adicional) o no (la reacción solo mantiene la temperatura externa).</w:t>
      </w:r>
      <w:r w:rsidRPr="007739C1">
        <w:rPr>
          <w:rFonts w:ascii="Arial" w:hAnsi="Arial" w:cs="Arial"/>
          <w:bCs/>
          <w:sz w:val="22"/>
          <w:szCs w:val="22"/>
          <w:lang w:val="es-PE"/>
        </w:rPr>
        <w:br/>
        <w:t>Para estudiar los cambios de temperatura que experimentan las muestras durante la prueba de reactividad, se introduce el parámetro (T°max/T°iRX), denominado intensidad de reacción, el cual es un indicador indirecto de la exotermicidad de la reacción química entre la muestra del terreno y el nitrato de amonio.</w:t>
      </w:r>
    </w:p>
    <w:p w14:paraId="2C9B18A5" w14:textId="77777777" w:rsidR="007739C1" w:rsidRPr="007739C1" w:rsidRDefault="007739C1" w:rsidP="007739C1">
      <w:pPr>
        <w:numPr>
          <w:ilvl w:val="0"/>
          <w:numId w:val="3"/>
        </w:numPr>
        <w:tabs>
          <w:tab w:val="num" w:pos="720"/>
        </w:tabs>
        <w:ind w:left="284" w:hanging="284"/>
        <w:jc w:val="both"/>
        <w:rPr>
          <w:rFonts w:ascii="Arial" w:hAnsi="Arial" w:cs="Arial"/>
          <w:bCs/>
          <w:sz w:val="22"/>
          <w:szCs w:val="22"/>
          <w:lang w:val="es-PE"/>
        </w:rPr>
      </w:pPr>
      <w:r w:rsidRPr="007739C1">
        <w:rPr>
          <w:rFonts w:ascii="Arial" w:hAnsi="Arial" w:cs="Arial"/>
          <w:b/>
          <w:bCs/>
          <w:sz w:val="22"/>
          <w:szCs w:val="22"/>
          <w:lang w:val="es-PE"/>
        </w:rPr>
        <w:t>T°i Rx min (ºC):</w:t>
      </w:r>
      <w:r w:rsidRPr="007739C1">
        <w:rPr>
          <w:rFonts w:ascii="Arial" w:hAnsi="Arial" w:cs="Arial"/>
          <w:bCs/>
          <w:sz w:val="22"/>
          <w:szCs w:val="22"/>
          <w:lang w:val="es-PE"/>
        </w:rPr>
        <w:t xml:space="preserve"> Temperatura mínima registrada al inicio de la reacción.</w:t>
      </w:r>
    </w:p>
    <w:p w14:paraId="550D4A22" w14:textId="77777777" w:rsidR="007739C1" w:rsidRPr="007739C1" w:rsidRDefault="007739C1" w:rsidP="007739C1">
      <w:pPr>
        <w:numPr>
          <w:ilvl w:val="0"/>
          <w:numId w:val="3"/>
        </w:numPr>
        <w:tabs>
          <w:tab w:val="num" w:pos="720"/>
        </w:tabs>
        <w:ind w:left="284" w:hanging="284"/>
        <w:jc w:val="both"/>
        <w:rPr>
          <w:rFonts w:ascii="Arial" w:hAnsi="Arial" w:cs="Arial"/>
          <w:bCs/>
          <w:sz w:val="22"/>
          <w:szCs w:val="22"/>
          <w:lang w:val="es-PE"/>
        </w:rPr>
      </w:pPr>
      <w:r w:rsidRPr="007739C1">
        <w:rPr>
          <w:rFonts w:ascii="Arial" w:hAnsi="Arial" w:cs="Arial"/>
          <w:b/>
          <w:bCs/>
          <w:sz w:val="22"/>
          <w:szCs w:val="22"/>
          <w:lang w:val="es-PE"/>
        </w:rPr>
        <w:t>T°max (ºC):</w:t>
      </w:r>
      <w:r w:rsidRPr="007739C1">
        <w:rPr>
          <w:rFonts w:ascii="Arial" w:hAnsi="Arial" w:cs="Arial"/>
          <w:bCs/>
          <w:sz w:val="22"/>
          <w:szCs w:val="22"/>
          <w:lang w:val="es-PE"/>
        </w:rPr>
        <w:t xml:space="preserve"> Temperatura máxima alcanzada por la reacción.</w:t>
      </w:r>
    </w:p>
    <w:p w14:paraId="56CE62B6" w14:textId="430ABD5B" w:rsidR="0027617F" w:rsidRPr="007739C1" w:rsidRDefault="007739C1" w:rsidP="0027617F">
      <w:pPr>
        <w:numPr>
          <w:ilvl w:val="0"/>
          <w:numId w:val="3"/>
        </w:numPr>
        <w:tabs>
          <w:tab w:val="num" w:pos="720"/>
        </w:tabs>
        <w:ind w:left="284" w:hanging="284"/>
        <w:jc w:val="both"/>
        <w:rPr>
          <w:rFonts w:ascii="Arial" w:hAnsi="Arial" w:cs="Arial"/>
          <w:bCs/>
          <w:sz w:val="22"/>
          <w:szCs w:val="22"/>
          <w:lang w:val="es-PE"/>
        </w:rPr>
      </w:pPr>
      <w:r w:rsidRPr="007739C1">
        <w:rPr>
          <w:rFonts w:ascii="Arial" w:hAnsi="Arial" w:cs="Arial"/>
          <w:b/>
          <w:bCs/>
          <w:sz w:val="22"/>
          <w:szCs w:val="22"/>
          <w:lang w:val="es-PE"/>
        </w:rPr>
        <w:t>(T°max/T°i Rx) máx:</w:t>
      </w:r>
      <w:r w:rsidRPr="007739C1">
        <w:rPr>
          <w:rFonts w:ascii="Arial" w:hAnsi="Arial" w:cs="Arial"/>
          <w:bCs/>
          <w:sz w:val="22"/>
          <w:szCs w:val="22"/>
          <w:lang w:val="es-PE"/>
        </w:rPr>
        <w:t xml:space="preserve"> Parámetro máximo registrado de intensidad de la reacción.</w:t>
      </w:r>
    </w:p>
    <w:p w14:paraId="13421019" w14:textId="77777777" w:rsidR="00157B84" w:rsidRDefault="00157B84" w:rsidP="00157B84">
      <w:pPr>
        <w:jc w:val="both"/>
        <w:rPr>
          <w:rFonts w:ascii="Arial" w:hAnsi="Arial" w:cs="Arial"/>
          <w:bCs/>
          <w:sz w:val="22"/>
          <w:szCs w:val="22"/>
          <w:lang w:val="es-PE"/>
        </w:rPr>
      </w:pPr>
    </w:p>
    <w:p w14:paraId="72AE0D4E" w14:textId="5463C9D0" w:rsidR="00F27372" w:rsidRPr="00BC1DFC" w:rsidRDefault="007739C1" w:rsidP="00157B84">
      <w:pPr>
        <w:jc w:val="both"/>
        <w:rPr>
          <w:rFonts w:ascii="Arial" w:hAnsi="Arial" w:cs="Arial"/>
          <w:bCs/>
          <w:sz w:val="22"/>
          <w:szCs w:val="22"/>
          <w:lang w:val="es-PE"/>
        </w:rPr>
      </w:pPr>
      <w:r w:rsidRPr="007739C1">
        <w:rPr>
          <w:rFonts w:ascii="Arial" w:hAnsi="Arial" w:cs="Arial"/>
          <w:bCs/>
          <w:sz w:val="22"/>
          <w:szCs w:val="22"/>
          <w:lang w:val="es-PE"/>
        </w:rPr>
        <w:t>Experimentalmente, se han determinado reacciones químicas con valores de este parámetro entre 1 ≤ (T°max/T°i RX) ≤ 11.1, donde valores cercanos a 1 corresponden a reacciones ligeramente exotérmicas, y aquellos cercanos a 11.1, a reacciones extremadamente exotérmicas, es decir, violentas. Esta clasificación permite calificar el terreno según su nivel de criticidad.</w:t>
      </w:r>
    </w:p>
    <w:p w14:paraId="42530F27" w14:textId="77777777" w:rsidR="00F27372" w:rsidRPr="00BC1DFC" w:rsidRDefault="00F27372" w:rsidP="00F27372">
      <w:pPr>
        <w:jc w:val="both"/>
        <w:rPr>
          <w:rFonts w:ascii="Arial" w:hAnsi="Arial" w:cs="Arial"/>
          <w:bCs/>
          <w:sz w:val="22"/>
          <w:szCs w:val="22"/>
          <w:lang w:val="es-PE"/>
        </w:rPr>
      </w:pPr>
    </w:p>
    <w:p w14:paraId="4328D24C" w14:textId="49CCE104" w:rsidR="00957CBE" w:rsidRPr="00BC1DFC" w:rsidRDefault="00957CBE" w:rsidP="00F67DD6">
      <w:pPr>
        <w:jc w:val="center"/>
        <w:rPr>
          <w:rFonts w:ascii="Arial" w:hAnsi="Arial" w:cs="Arial"/>
          <w:bCs/>
          <w:sz w:val="22"/>
          <w:szCs w:val="22"/>
          <w:lang w:val="es-PE"/>
        </w:rPr>
      </w:pPr>
      <w:r w:rsidRPr="00BC1DFC">
        <w:rPr>
          <w:noProof/>
          <w:lang w:val="es-PE"/>
        </w:rPr>
        <w:drawing>
          <wp:inline distT="0" distB="0" distL="0" distR="0" wp14:anchorId="53E1317D" wp14:editId="3F9951CF">
            <wp:extent cx="1868845" cy="2215606"/>
            <wp:effectExtent l="19050" t="19050" r="17145" b="133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1206" cy="2265827"/>
                    </a:xfrm>
                    <a:prstGeom prst="rect">
                      <a:avLst/>
                    </a:prstGeom>
                    <a:ln w="6350">
                      <a:solidFill>
                        <a:schemeClr val="tx1"/>
                      </a:solidFill>
                    </a:ln>
                  </pic:spPr>
                </pic:pic>
              </a:graphicData>
            </a:graphic>
          </wp:inline>
        </w:drawing>
      </w:r>
    </w:p>
    <w:p w14:paraId="2C532826" w14:textId="76181E71" w:rsidR="00957CBE" w:rsidRPr="009831B8" w:rsidRDefault="00F67DD6" w:rsidP="00F27372">
      <w:pPr>
        <w:jc w:val="both"/>
        <w:rPr>
          <w:rFonts w:ascii="Arial" w:hAnsi="Arial" w:cs="Arial"/>
          <w:bCs/>
          <w:sz w:val="20"/>
          <w:szCs w:val="20"/>
          <w:lang w:val="es-PE"/>
        </w:rPr>
      </w:pPr>
      <w:r w:rsidRPr="009831B8">
        <w:rPr>
          <w:rFonts w:ascii="Arial" w:hAnsi="Arial" w:cs="Arial"/>
          <w:bCs/>
          <w:sz w:val="20"/>
          <w:szCs w:val="20"/>
          <w:lang w:val="es-PE"/>
        </w:rPr>
        <w:t>Figura 2. Prueba de reactividad en laboratorio.</w:t>
      </w:r>
    </w:p>
    <w:p w14:paraId="15005BC2" w14:textId="77777777" w:rsidR="00957CBE" w:rsidRPr="00F27372" w:rsidRDefault="00957CBE" w:rsidP="00F27372">
      <w:pPr>
        <w:jc w:val="both"/>
        <w:rPr>
          <w:rFonts w:ascii="Arial" w:hAnsi="Arial" w:cs="Arial"/>
          <w:bCs/>
          <w:sz w:val="22"/>
          <w:szCs w:val="22"/>
          <w:lang w:val="es-PE"/>
        </w:rPr>
      </w:pPr>
    </w:p>
    <w:p w14:paraId="1A415323" w14:textId="3E47E67B" w:rsidR="00F27372" w:rsidRDefault="00946EE8" w:rsidP="00F27372">
      <w:pPr>
        <w:jc w:val="both"/>
        <w:rPr>
          <w:rFonts w:ascii="Arial" w:hAnsi="Arial" w:cs="Arial"/>
          <w:b/>
          <w:bCs/>
          <w:sz w:val="22"/>
          <w:szCs w:val="22"/>
          <w:lang w:val="es-PE"/>
        </w:rPr>
      </w:pPr>
      <w:r w:rsidRPr="00BC1DFC">
        <w:rPr>
          <w:rFonts w:ascii="Arial" w:hAnsi="Arial" w:cs="Arial"/>
          <w:b/>
          <w:bCs/>
          <w:sz w:val="22"/>
          <w:szCs w:val="22"/>
          <w:lang w:val="es-PE"/>
        </w:rPr>
        <w:t>2.1.4</w:t>
      </w:r>
      <w:r w:rsidR="00F27372" w:rsidRPr="00F27372">
        <w:rPr>
          <w:rFonts w:ascii="Arial" w:hAnsi="Arial" w:cs="Arial"/>
          <w:b/>
          <w:bCs/>
          <w:sz w:val="22"/>
          <w:szCs w:val="22"/>
          <w:lang w:val="es-PE"/>
        </w:rPr>
        <w:t xml:space="preserve">. Prueba de </w:t>
      </w:r>
      <w:r w:rsidR="00E43779">
        <w:rPr>
          <w:rFonts w:ascii="Arial" w:hAnsi="Arial" w:cs="Arial"/>
          <w:b/>
          <w:bCs/>
          <w:sz w:val="22"/>
          <w:szCs w:val="22"/>
          <w:lang w:val="es-PE"/>
        </w:rPr>
        <w:t>sleep time</w:t>
      </w:r>
    </w:p>
    <w:p w14:paraId="17D271A9" w14:textId="77777777" w:rsidR="00DF452E" w:rsidRPr="00F27372" w:rsidRDefault="00DF452E" w:rsidP="00F27372">
      <w:pPr>
        <w:jc w:val="both"/>
        <w:rPr>
          <w:rFonts w:ascii="Arial" w:hAnsi="Arial" w:cs="Arial"/>
          <w:b/>
          <w:bCs/>
          <w:sz w:val="22"/>
          <w:szCs w:val="22"/>
          <w:lang w:val="es-PE"/>
        </w:rPr>
      </w:pPr>
    </w:p>
    <w:p w14:paraId="682B458F" w14:textId="087368EF" w:rsidR="00210B88" w:rsidRPr="00210B88" w:rsidRDefault="00210B88" w:rsidP="00407BC2">
      <w:pPr>
        <w:jc w:val="both"/>
        <w:rPr>
          <w:rFonts w:ascii="Arial" w:hAnsi="Arial" w:cs="Arial"/>
          <w:bCs/>
          <w:sz w:val="22"/>
          <w:szCs w:val="22"/>
          <w:lang w:val="es-PE"/>
        </w:rPr>
      </w:pPr>
      <w:r w:rsidRPr="00210B88">
        <w:rPr>
          <w:rFonts w:ascii="Arial" w:hAnsi="Arial" w:cs="Arial"/>
          <w:bCs/>
          <w:sz w:val="22"/>
          <w:szCs w:val="22"/>
          <w:lang w:val="es-PE"/>
        </w:rPr>
        <w:t xml:space="preserve">El propósito de la prueba de </w:t>
      </w:r>
      <w:r w:rsidR="00E43779">
        <w:rPr>
          <w:rFonts w:ascii="Arial" w:hAnsi="Arial" w:cs="Arial"/>
          <w:bCs/>
          <w:sz w:val="22"/>
          <w:szCs w:val="22"/>
          <w:lang w:val="es-PE"/>
        </w:rPr>
        <w:t xml:space="preserve">sleep time </w:t>
      </w:r>
      <w:r w:rsidRPr="00210B88">
        <w:rPr>
          <w:rFonts w:ascii="Arial" w:hAnsi="Arial" w:cs="Arial"/>
          <w:bCs/>
          <w:sz w:val="22"/>
          <w:szCs w:val="22"/>
          <w:lang w:val="es-PE"/>
        </w:rPr>
        <w:t>es determinar el tiempo de contacto que se mantiene entre un terreno reactivo y un determinado producto explosivo a la mayor temperatura registrada en un taladro de mina. Esta prueba se realiza únicamente sobre muestras que hayan mostrado un comportamiento reactivo autosostenido en la prueba de reactividad.</w:t>
      </w:r>
    </w:p>
    <w:p w14:paraId="5F186959" w14:textId="07433E72" w:rsidR="00210B88" w:rsidRPr="00210B88" w:rsidRDefault="00210B88" w:rsidP="00C542F2">
      <w:pPr>
        <w:jc w:val="both"/>
        <w:rPr>
          <w:rFonts w:ascii="Arial" w:hAnsi="Arial" w:cs="Arial"/>
          <w:bCs/>
          <w:sz w:val="22"/>
          <w:szCs w:val="22"/>
          <w:lang w:val="es-PE"/>
        </w:rPr>
      </w:pPr>
      <w:r w:rsidRPr="00210B88">
        <w:rPr>
          <w:rFonts w:ascii="Arial" w:hAnsi="Arial" w:cs="Arial"/>
          <w:bCs/>
          <w:sz w:val="22"/>
          <w:szCs w:val="22"/>
          <w:lang w:val="es-PE"/>
        </w:rPr>
        <w:lastRenderedPageBreak/>
        <w:t xml:space="preserve">En términos numéricos, el </w:t>
      </w:r>
      <w:r w:rsidR="00DF452E">
        <w:rPr>
          <w:rFonts w:ascii="Arial" w:hAnsi="Arial" w:cs="Arial"/>
          <w:bCs/>
          <w:sz w:val="22"/>
          <w:szCs w:val="22"/>
          <w:lang w:val="es-PE"/>
        </w:rPr>
        <w:t xml:space="preserve">sleep time </w:t>
      </w:r>
      <w:r w:rsidRPr="00210B88">
        <w:rPr>
          <w:rFonts w:ascii="Arial" w:hAnsi="Arial" w:cs="Arial"/>
          <w:bCs/>
          <w:sz w:val="22"/>
          <w:szCs w:val="22"/>
          <w:lang w:val="es-PE"/>
        </w:rPr>
        <w:t>corresponde a la cuarta parte del tiempo (25% del tiempo total de prueba) durante el cual la muestra mineral y el producto explosivo a base de nitrato de amonio se mantienen en contacto en una prueba de laboratorio, la cual tiene una duración máxima de 30 días.</w:t>
      </w:r>
    </w:p>
    <w:p w14:paraId="468E5279" w14:textId="77777777" w:rsidR="00210B88" w:rsidRPr="00210B88" w:rsidRDefault="00210B88" w:rsidP="00C542F2">
      <w:pPr>
        <w:jc w:val="both"/>
        <w:rPr>
          <w:rFonts w:ascii="Arial" w:hAnsi="Arial" w:cs="Arial"/>
          <w:bCs/>
          <w:sz w:val="22"/>
          <w:szCs w:val="22"/>
          <w:lang w:val="es-PE"/>
        </w:rPr>
      </w:pPr>
      <w:r w:rsidRPr="00210B88">
        <w:rPr>
          <w:rFonts w:ascii="Arial" w:hAnsi="Arial" w:cs="Arial"/>
          <w:bCs/>
          <w:sz w:val="22"/>
          <w:szCs w:val="22"/>
          <w:lang w:val="es-PE"/>
        </w:rPr>
        <w:t>Para entender mejor los resultados del tiempo de reposo con un determinado producto explosivo, se han establecido rangos de criticidad que permiten orientar el avance en la carga de un terreno reactivo específico. La Tabla 1 resume estos criterios.</w:t>
      </w:r>
    </w:p>
    <w:p w14:paraId="74C51E73" w14:textId="3D0D8ACE" w:rsidR="00CE075D" w:rsidRPr="00BC1DFC" w:rsidRDefault="00CE075D" w:rsidP="00F27372">
      <w:pPr>
        <w:jc w:val="both"/>
        <w:rPr>
          <w:rFonts w:ascii="Arial" w:hAnsi="Arial" w:cs="Arial"/>
          <w:bCs/>
          <w:sz w:val="22"/>
          <w:szCs w:val="22"/>
          <w:lang w:val="es-PE"/>
        </w:rPr>
      </w:pPr>
    </w:p>
    <w:p w14:paraId="046A6653" w14:textId="6AF4E449" w:rsidR="00D5735B" w:rsidRPr="009831B8" w:rsidRDefault="00D5735B" w:rsidP="00F27372">
      <w:pPr>
        <w:jc w:val="both"/>
        <w:rPr>
          <w:rFonts w:ascii="Arial" w:hAnsi="Arial" w:cs="Arial"/>
          <w:bCs/>
          <w:sz w:val="20"/>
          <w:szCs w:val="20"/>
          <w:lang w:val="es-PE"/>
        </w:rPr>
      </w:pPr>
      <w:r w:rsidRPr="009831B8">
        <w:rPr>
          <w:rFonts w:ascii="Arial" w:hAnsi="Arial" w:cs="Arial"/>
          <w:bCs/>
          <w:sz w:val="20"/>
          <w:szCs w:val="20"/>
          <w:lang w:val="es-PE"/>
        </w:rPr>
        <w:t xml:space="preserve">Tabla 1. </w:t>
      </w:r>
      <w:r w:rsidR="00F42294" w:rsidRPr="009831B8">
        <w:rPr>
          <w:rFonts w:ascii="Arial" w:hAnsi="Arial" w:cs="Arial"/>
          <w:bCs/>
          <w:sz w:val="20"/>
          <w:szCs w:val="20"/>
          <w:lang w:val="es-PE"/>
        </w:rPr>
        <w:t>Rangos de criticidad.</w:t>
      </w:r>
    </w:p>
    <w:tbl>
      <w:tblPr>
        <w:tblStyle w:val="Tablanormal1"/>
        <w:tblW w:w="0" w:type="auto"/>
        <w:tblLook w:val="04A0" w:firstRow="1" w:lastRow="0" w:firstColumn="1" w:lastColumn="0" w:noHBand="0" w:noVBand="1"/>
      </w:tblPr>
      <w:tblGrid>
        <w:gridCol w:w="2222"/>
        <w:gridCol w:w="2754"/>
      </w:tblGrid>
      <w:tr w:rsidR="00814400" w:rsidRPr="00BC1DFC" w14:paraId="7354E820" w14:textId="77777777" w:rsidTr="00447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000000" w:themeFill="text1"/>
          </w:tcPr>
          <w:p w14:paraId="3C4886A8" w14:textId="6BD5DEEF" w:rsidR="00814400" w:rsidRPr="0044782C" w:rsidRDefault="005F0FB0" w:rsidP="0044782C">
            <w:pPr>
              <w:spacing w:line="300" w:lineRule="exact"/>
              <w:jc w:val="center"/>
              <w:rPr>
                <w:rFonts w:ascii="Arial" w:hAnsi="Arial" w:cs="Arial"/>
                <w:color w:val="FFFFFF" w:themeColor="background1"/>
                <w:sz w:val="22"/>
                <w:szCs w:val="22"/>
                <w:lang w:val="es-PE"/>
              </w:rPr>
            </w:pPr>
            <w:r>
              <w:rPr>
                <w:rFonts w:ascii="Arial" w:hAnsi="Arial" w:cs="Arial"/>
                <w:color w:val="FFFFFF" w:themeColor="background1"/>
                <w:sz w:val="22"/>
                <w:szCs w:val="22"/>
                <w:lang w:val="es-PE"/>
              </w:rPr>
              <w:t>Criticidad</w:t>
            </w:r>
          </w:p>
        </w:tc>
        <w:tc>
          <w:tcPr>
            <w:tcW w:w="2835" w:type="dxa"/>
            <w:shd w:val="clear" w:color="auto" w:fill="000000" w:themeFill="text1"/>
          </w:tcPr>
          <w:p w14:paraId="45629E04" w14:textId="696C9DFC" w:rsidR="00814400" w:rsidRPr="0044782C" w:rsidRDefault="005F0FB0" w:rsidP="0044782C">
            <w:pPr>
              <w:spacing w:line="30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2"/>
                <w:szCs w:val="22"/>
                <w:lang w:val="es-PE"/>
              </w:rPr>
            </w:pPr>
            <w:r>
              <w:rPr>
                <w:rFonts w:ascii="Arial" w:hAnsi="Arial" w:cs="Arial"/>
                <w:color w:val="FFFFFF" w:themeColor="background1"/>
                <w:sz w:val="22"/>
                <w:szCs w:val="22"/>
                <w:lang w:val="es-PE"/>
              </w:rPr>
              <w:t>Criterio</w:t>
            </w:r>
            <w:r w:rsidR="00814400" w:rsidRPr="0044782C">
              <w:rPr>
                <w:rFonts w:ascii="Arial" w:hAnsi="Arial" w:cs="Arial"/>
                <w:color w:val="FFFFFF" w:themeColor="background1"/>
                <w:sz w:val="22"/>
                <w:szCs w:val="22"/>
                <w:lang w:val="es-PE"/>
              </w:rPr>
              <w:t xml:space="preserve"> (d</w:t>
            </w:r>
            <w:r>
              <w:rPr>
                <w:rFonts w:ascii="Arial" w:hAnsi="Arial" w:cs="Arial"/>
                <w:color w:val="FFFFFF" w:themeColor="background1"/>
                <w:sz w:val="22"/>
                <w:szCs w:val="22"/>
                <w:lang w:val="es-PE"/>
              </w:rPr>
              <w:t>ía</w:t>
            </w:r>
            <w:r w:rsidR="00814400" w:rsidRPr="0044782C">
              <w:rPr>
                <w:rFonts w:ascii="Arial" w:hAnsi="Arial" w:cs="Arial"/>
                <w:color w:val="FFFFFF" w:themeColor="background1"/>
                <w:sz w:val="22"/>
                <w:szCs w:val="22"/>
                <w:lang w:val="es-PE"/>
              </w:rPr>
              <w:t>s)</w:t>
            </w:r>
          </w:p>
        </w:tc>
      </w:tr>
      <w:tr w:rsidR="00814400" w:rsidRPr="00BC1DFC" w14:paraId="0A6F1A37" w14:textId="77777777" w:rsidTr="00164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5A0A50" w14:textId="1B0BF13C" w:rsidR="00814400" w:rsidRPr="00BC1DFC" w:rsidRDefault="005F0FB0" w:rsidP="00B77D36">
            <w:pPr>
              <w:spacing w:line="300" w:lineRule="exact"/>
              <w:rPr>
                <w:rFonts w:ascii="Arial" w:hAnsi="Arial" w:cs="Arial"/>
                <w:b w:val="0"/>
                <w:bCs w:val="0"/>
                <w:sz w:val="22"/>
                <w:szCs w:val="22"/>
                <w:lang w:val="es-PE"/>
              </w:rPr>
            </w:pPr>
            <w:r>
              <w:rPr>
                <w:rFonts w:ascii="Arial" w:hAnsi="Arial" w:cs="Arial"/>
                <w:b w:val="0"/>
                <w:bCs w:val="0"/>
                <w:sz w:val="22"/>
                <w:szCs w:val="22"/>
                <w:lang w:val="es-PE"/>
              </w:rPr>
              <w:t>Alta</w:t>
            </w:r>
          </w:p>
        </w:tc>
        <w:tc>
          <w:tcPr>
            <w:tcW w:w="2835" w:type="dxa"/>
          </w:tcPr>
          <w:p w14:paraId="684A6E1C" w14:textId="77777777" w:rsidR="00814400" w:rsidRPr="00BC1DFC" w:rsidRDefault="00814400" w:rsidP="00B77D36">
            <w:pPr>
              <w:spacing w:line="300" w:lineRule="ex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BC1DFC">
              <w:rPr>
                <w:rFonts w:ascii="Arial" w:hAnsi="Arial" w:cs="Arial"/>
                <w:sz w:val="22"/>
                <w:szCs w:val="22"/>
                <w:lang w:val="es-PE"/>
              </w:rPr>
              <w:t>0 &lt; sleep time &lt; 2.5</w:t>
            </w:r>
          </w:p>
        </w:tc>
      </w:tr>
      <w:tr w:rsidR="00814400" w:rsidRPr="00BC1DFC" w14:paraId="39ACCF27" w14:textId="77777777" w:rsidTr="001640AE">
        <w:tc>
          <w:tcPr>
            <w:cnfStyle w:val="001000000000" w:firstRow="0" w:lastRow="0" w:firstColumn="1" w:lastColumn="0" w:oddVBand="0" w:evenVBand="0" w:oddHBand="0" w:evenHBand="0" w:firstRowFirstColumn="0" w:firstRowLastColumn="0" w:lastRowFirstColumn="0" w:lastRowLastColumn="0"/>
            <w:tcW w:w="2268" w:type="dxa"/>
          </w:tcPr>
          <w:p w14:paraId="634D74FD" w14:textId="40AD566E" w:rsidR="00814400" w:rsidRPr="00BC1DFC" w:rsidRDefault="00814400" w:rsidP="00B77D36">
            <w:pPr>
              <w:spacing w:line="300" w:lineRule="exact"/>
              <w:rPr>
                <w:rFonts w:ascii="Arial" w:hAnsi="Arial" w:cs="Arial"/>
                <w:b w:val="0"/>
                <w:bCs w:val="0"/>
                <w:sz w:val="22"/>
                <w:szCs w:val="22"/>
                <w:lang w:val="es-PE"/>
              </w:rPr>
            </w:pPr>
            <w:r w:rsidRPr="00BC1DFC">
              <w:rPr>
                <w:rFonts w:ascii="Arial" w:hAnsi="Arial" w:cs="Arial"/>
                <w:b w:val="0"/>
                <w:bCs w:val="0"/>
                <w:sz w:val="22"/>
                <w:szCs w:val="22"/>
                <w:lang w:val="es-PE"/>
              </w:rPr>
              <w:t>Medi</w:t>
            </w:r>
            <w:r w:rsidR="005F0FB0">
              <w:rPr>
                <w:rFonts w:ascii="Arial" w:hAnsi="Arial" w:cs="Arial"/>
                <w:b w:val="0"/>
                <w:bCs w:val="0"/>
                <w:sz w:val="22"/>
                <w:szCs w:val="22"/>
                <w:lang w:val="es-PE"/>
              </w:rPr>
              <w:t>a</w:t>
            </w:r>
            <w:r w:rsidRPr="00BC1DFC">
              <w:rPr>
                <w:rFonts w:ascii="Arial" w:hAnsi="Arial" w:cs="Arial"/>
                <w:b w:val="0"/>
                <w:bCs w:val="0"/>
                <w:sz w:val="22"/>
                <w:szCs w:val="22"/>
                <w:lang w:val="es-PE"/>
              </w:rPr>
              <w:t xml:space="preserve"> </w:t>
            </w:r>
          </w:p>
        </w:tc>
        <w:tc>
          <w:tcPr>
            <w:tcW w:w="2835" w:type="dxa"/>
          </w:tcPr>
          <w:p w14:paraId="2D8DF2EA" w14:textId="77777777" w:rsidR="00814400" w:rsidRPr="00BC1DFC" w:rsidRDefault="00814400" w:rsidP="00B77D36">
            <w:pPr>
              <w:spacing w:line="300" w:lineRule="exac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BC1DFC">
              <w:rPr>
                <w:rFonts w:ascii="Arial" w:hAnsi="Arial" w:cs="Arial"/>
                <w:sz w:val="22"/>
                <w:szCs w:val="22"/>
                <w:lang w:val="es-PE"/>
              </w:rPr>
              <w:t>2.5 ≤ sleep time &lt; 5.0</w:t>
            </w:r>
          </w:p>
        </w:tc>
      </w:tr>
      <w:tr w:rsidR="00814400" w:rsidRPr="00BC1DFC" w14:paraId="1D0A1C6E" w14:textId="77777777" w:rsidTr="00164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593E455" w14:textId="6F8B395F" w:rsidR="00814400" w:rsidRPr="00BC1DFC" w:rsidRDefault="005F0FB0" w:rsidP="00B77D36">
            <w:pPr>
              <w:spacing w:line="300" w:lineRule="exact"/>
              <w:rPr>
                <w:rFonts w:ascii="Arial" w:hAnsi="Arial" w:cs="Arial"/>
                <w:b w:val="0"/>
                <w:bCs w:val="0"/>
                <w:sz w:val="22"/>
                <w:szCs w:val="22"/>
                <w:lang w:val="es-PE"/>
              </w:rPr>
            </w:pPr>
            <w:r>
              <w:rPr>
                <w:rFonts w:ascii="Arial" w:hAnsi="Arial" w:cs="Arial"/>
                <w:b w:val="0"/>
                <w:bCs w:val="0"/>
                <w:sz w:val="22"/>
                <w:szCs w:val="22"/>
                <w:lang w:val="es-PE"/>
              </w:rPr>
              <w:t>Baja</w:t>
            </w:r>
          </w:p>
        </w:tc>
        <w:tc>
          <w:tcPr>
            <w:tcW w:w="2835" w:type="dxa"/>
          </w:tcPr>
          <w:p w14:paraId="05AB7091" w14:textId="77777777" w:rsidR="00814400" w:rsidRPr="00BC1DFC" w:rsidRDefault="00814400" w:rsidP="00B77D36">
            <w:pPr>
              <w:spacing w:line="300" w:lineRule="exac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BC1DFC">
              <w:rPr>
                <w:rFonts w:ascii="Arial" w:hAnsi="Arial" w:cs="Arial"/>
                <w:sz w:val="22"/>
                <w:szCs w:val="22"/>
                <w:lang w:val="es-PE"/>
              </w:rPr>
              <w:t>5.0 ≥ sleep time</w:t>
            </w:r>
          </w:p>
        </w:tc>
      </w:tr>
    </w:tbl>
    <w:p w14:paraId="63075FAC" w14:textId="77777777" w:rsidR="00F42294" w:rsidRPr="00BC1DFC" w:rsidRDefault="00F42294" w:rsidP="00F27372">
      <w:pPr>
        <w:jc w:val="both"/>
        <w:rPr>
          <w:rFonts w:ascii="Arial" w:hAnsi="Arial" w:cs="Arial"/>
          <w:bCs/>
          <w:sz w:val="22"/>
          <w:szCs w:val="22"/>
          <w:lang w:val="es-PE"/>
        </w:rPr>
      </w:pPr>
    </w:p>
    <w:p w14:paraId="64DBFB39" w14:textId="77777777" w:rsidR="00EA4DE5" w:rsidRPr="00EA4DE5" w:rsidRDefault="00EA4DE5" w:rsidP="00EA4DE5">
      <w:pPr>
        <w:jc w:val="both"/>
        <w:rPr>
          <w:rFonts w:ascii="Arial" w:hAnsi="Arial" w:cs="Arial"/>
          <w:bCs/>
          <w:sz w:val="22"/>
          <w:szCs w:val="22"/>
          <w:lang w:val="es-PE"/>
        </w:rPr>
      </w:pPr>
      <w:r w:rsidRPr="00EA4DE5">
        <w:rPr>
          <w:rFonts w:ascii="Arial" w:hAnsi="Arial" w:cs="Arial"/>
          <w:bCs/>
          <w:sz w:val="22"/>
          <w:szCs w:val="22"/>
          <w:lang w:val="es-PE"/>
        </w:rPr>
        <w:t>Una vez confirmada la reactividad del terreno, es necesario sectorizar las zonas con mayor potencial de generación de reactividad, con el fin de identificar las variables que condicionan dicha reactividad en el terreno. Para ello, es importante contar con información geológica (litología, alteración, mineralización y contenido de sulfuros, relación con modelos estructurales e hidrogeológicos), así como con otras observaciones que evidencien un comportamiento irregular del producto explosivo en contacto con el terreno.</w:t>
      </w:r>
    </w:p>
    <w:p w14:paraId="66419F02" w14:textId="77777777" w:rsidR="00EA4DE5" w:rsidRPr="00EA4DE5" w:rsidRDefault="00EA4DE5" w:rsidP="00C542F2">
      <w:pPr>
        <w:jc w:val="both"/>
        <w:rPr>
          <w:rFonts w:ascii="Arial" w:hAnsi="Arial" w:cs="Arial"/>
          <w:bCs/>
          <w:sz w:val="22"/>
          <w:szCs w:val="22"/>
          <w:lang w:val="es-PE"/>
        </w:rPr>
      </w:pPr>
      <w:r w:rsidRPr="00EA4DE5">
        <w:rPr>
          <w:rFonts w:ascii="Arial" w:hAnsi="Arial" w:cs="Arial"/>
          <w:bCs/>
          <w:sz w:val="22"/>
          <w:szCs w:val="22"/>
          <w:lang w:val="es-PE"/>
        </w:rPr>
        <w:t>Es importante señalar que entre las variables geológicas que catalizan reacciones exotérmicas se encuentran los sulfuros metálicos, sulfatos de cobre, óxidos de hierro, sulfatos, arcillas, entre otros.</w:t>
      </w:r>
    </w:p>
    <w:p w14:paraId="7E7DFFBE" w14:textId="77777777" w:rsidR="00EA4DE5" w:rsidRPr="00EA4DE5" w:rsidRDefault="00EA4DE5" w:rsidP="00C542F2">
      <w:pPr>
        <w:jc w:val="both"/>
        <w:rPr>
          <w:rFonts w:ascii="Arial" w:hAnsi="Arial" w:cs="Arial"/>
          <w:bCs/>
          <w:sz w:val="22"/>
          <w:szCs w:val="22"/>
          <w:lang w:val="es-PE"/>
        </w:rPr>
      </w:pPr>
      <w:r w:rsidRPr="00EA4DE5">
        <w:rPr>
          <w:rFonts w:ascii="Arial" w:hAnsi="Arial" w:cs="Arial"/>
          <w:bCs/>
          <w:sz w:val="22"/>
          <w:szCs w:val="22"/>
          <w:lang w:val="es-PE"/>
        </w:rPr>
        <w:t>Como resultado del análisis de la información geológica, la reactividad y la presencia de gases nitrosos, es posible identificar algunas correlaciones entre estos sectores (Enaex Mining Technical Solutions, 2023), como se muestra en la Figura 3.</w:t>
      </w:r>
    </w:p>
    <w:p w14:paraId="7567E300" w14:textId="0AC78B91" w:rsidR="00AF19C7" w:rsidRPr="00BC1DFC" w:rsidRDefault="00AF19C7" w:rsidP="00F27372">
      <w:pPr>
        <w:jc w:val="both"/>
        <w:rPr>
          <w:rFonts w:ascii="Arial" w:hAnsi="Arial" w:cs="Arial"/>
          <w:bCs/>
          <w:sz w:val="22"/>
          <w:szCs w:val="22"/>
          <w:lang w:val="es-PE"/>
        </w:rPr>
      </w:pPr>
    </w:p>
    <w:p w14:paraId="056EF72D" w14:textId="418CA298" w:rsidR="007A6CA6" w:rsidRPr="007A6CA6" w:rsidRDefault="007A6CA6" w:rsidP="007A6CA6">
      <w:pPr>
        <w:jc w:val="center"/>
        <w:rPr>
          <w:rFonts w:ascii="Arial" w:hAnsi="Arial" w:cs="Arial"/>
          <w:bCs/>
          <w:sz w:val="22"/>
          <w:szCs w:val="22"/>
          <w:lang w:val="es-PE"/>
        </w:rPr>
      </w:pPr>
      <w:r w:rsidRPr="007A6CA6">
        <w:rPr>
          <w:rFonts w:ascii="Arial" w:hAnsi="Arial" w:cs="Arial"/>
          <w:bCs/>
          <w:noProof/>
          <w:sz w:val="22"/>
          <w:szCs w:val="22"/>
          <w:lang w:val="es-PE"/>
        </w:rPr>
        <w:drawing>
          <wp:inline distT="0" distB="0" distL="0" distR="0" wp14:anchorId="14C5DAFE" wp14:editId="01B90B7C">
            <wp:extent cx="3037762" cy="1816145"/>
            <wp:effectExtent l="19050" t="19050" r="10795" b="12700"/>
            <wp:docPr id="1552531075" name="Imagen 6"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31075" name="Imagen 6" descr="Mapa&#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295"/>
                    <a:stretch>
                      <a:fillRect/>
                    </a:stretch>
                  </pic:blipFill>
                  <pic:spPr bwMode="auto">
                    <a:xfrm>
                      <a:off x="0" y="0"/>
                      <a:ext cx="3071995" cy="1836612"/>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0ACABD" w14:textId="429A9736" w:rsidR="00814400" w:rsidRPr="009831B8" w:rsidRDefault="005C4915" w:rsidP="00F27372">
      <w:pPr>
        <w:jc w:val="both"/>
        <w:rPr>
          <w:rFonts w:ascii="Arial" w:hAnsi="Arial" w:cs="Arial"/>
          <w:bCs/>
          <w:sz w:val="20"/>
          <w:szCs w:val="20"/>
          <w:lang w:val="es-PE"/>
        </w:rPr>
      </w:pPr>
      <w:r w:rsidRPr="009831B8">
        <w:rPr>
          <w:rFonts w:ascii="Arial" w:hAnsi="Arial" w:cs="Arial"/>
          <w:bCs/>
          <w:sz w:val="20"/>
          <w:szCs w:val="20"/>
          <w:lang w:val="es-PE"/>
        </w:rPr>
        <w:t>Figura 3. Zona con el mayor índice de terreno reactivo: (a) Nivel de reactividad, (b) Porcentaje de taladros con emanación de gases, y (c) Porcentaje de cobre.</w:t>
      </w:r>
    </w:p>
    <w:p w14:paraId="5A42083C" w14:textId="72B1A1CC" w:rsidR="00252EB0" w:rsidRDefault="00502313" w:rsidP="00252EB0">
      <w:pPr>
        <w:jc w:val="both"/>
        <w:rPr>
          <w:rFonts w:ascii="Arial" w:hAnsi="Arial" w:cs="Arial"/>
          <w:b/>
          <w:bCs/>
          <w:sz w:val="22"/>
          <w:szCs w:val="22"/>
          <w:lang w:val="es-PE"/>
        </w:rPr>
      </w:pPr>
      <w:r w:rsidRPr="00BC1DFC">
        <w:rPr>
          <w:rFonts w:ascii="Arial" w:hAnsi="Arial" w:cs="Arial"/>
          <w:b/>
          <w:bCs/>
          <w:sz w:val="22"/>
          <w:szCs w:val="22"/>
          <w:lang w:val="es-PE"/>
        </w:rPr>
        <w:t>2.2</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Prueba de laboratorio para la evaluación de la reacción química entre terreno reactivo y mezcla</w:t>
      </w:r>
      <w:r w:rsidR="00252EB0" w:rsidRPr="00BC1DFC">
        <w:rPr>
          <w:rFonts w:ascii="Arial" w:hAnsi="Arial" w:cs="Arial"/>
          <w:b/>
          <w:bCs/>
          <w:sz w:val="22"/>
          <w:szCs w:val="22"/>
          <w:lang w:val="es-PE"/>
        </w:rPr>
        <w:t xml:space="preserve"> </w:t>
      </w:r>
      <w:r w:rsidRPr="00BC1DFC">
        <w:rPr>
          <w:rFonts w:ascii="Arial" w:hAnsi="Arial" w:cs="Arial"/>
          <w:b/>
          <w:bCs/>
          <w:sz w:val="22"/>
          <w:szCs w:val="22"/>
          <w:lang w:val="es-PE"/>
        </w:rPr>
        <w:t>explosiva</w:t>
      </w:r>
    </w:p>
    <w:p w14:paraId="6D360887" w14:textId="77777777" w:rsidR="00DF452E" w:rsidRPr="00BC1DFC" w:rsidRDefault="00DF452E" w:rsidP="00252EB0">
      <w:pPr>
        <w:jc w:val="both"/>
        <w:rPr>
          <w:rFonts w:ascii="Arial" w:hAnsi="Arial" w:cs="Arial"/>
          <w:b/>
          <w:bCs/>
          <w:sz w:val="22"/>
          <w:szCs w:val="22"/>
          <w:lang w:val="es-PE"/>
        </w:rPr>
      </w:pPr>
    </w:p>
    <w:p w14:paraId="4C9C5BF1" w14:textId="66D4FE27" w:rsidR="00E70586" w:rsidRPr="00BC1DFC" w:rsidRDefault="00502313" w:rsidP="00252EB0">
      <w:pPr>
        <w:jc w:val="both"/>
        <w:rPr>
          <w:rFonts w:ascii="Arial" w:hAnsi="Arial" w:cs="Arial"/>
          <w:bCs/>
          <w:sz w:val="22"/>
          <w:szCs w:val="22"/>
          <w:lang w:val="es-PE"/>
        </w:rPr>
      </w:pPr>
      <w:r w:rsidRPr="00BC1DFC">
        <w:rPr>
          <w:rFonts w:ascii="Arial" w:hAnsi="Arial" w:cs="Arial"/>
          <w:bCs/>
          <w:sz w:val="22"/>
          <w:szCs w:val="22"/>
          <w:lang w:val="es-PE"/>
        </w:rPr>
        <w:t>Aquellas unidades mineras donde se ha declarado la reactividad del macizo rocoso presentan desafíos específicos, debido al potencial de alterar y degradar las mezclas explosivas aplicadas en sus procesos de voladura, afectando directamente los resultados en términos de granulometría y generación de gases nitrosos.</w:t>
      </w:r>
    </w:p>
    <w:p w14:paraId="5E42864F" w14:textId="77777777" w:rsidR="00695939" w:rsidRPr="00BC1DFC" w:rsidRDefault="00695939" w:rsidP="00252EB0">
      <w:pPr>
        <w:jc w:val="both"/>
        <w:rPr>
          <w:rFonts w:ascii="Arial" w:hAnsi="Arial" w:cs="Arial"/>
          <w:bCs/>
          <w:sz w:val="22"/>
          <w:szCs w:val="22"/>
          <w:lang w:val="es-PE"/>
        </w:rPr>
      </w:pPr>
    </w:p>
    <w:p w14:paraId="76860E74" w14:textId="1336E2A0" w:rsidR="00DF452E" w:rsidRPr="00BC1DFC" w:rsidRDefault="00695939" w:rsidP="00252EB0">
      <w:pPr>
        <w:jc w:val="both"/>
        <w:rPr>
          <w:rFonts w:ascii="Arial" w:hAnsi="Arial" w:cs="Arial"/>
          <w:b/>
          <w:bCs/>
          <w:sz w:val="22"/>
          <w:szCs w:val="22"/>
          <w:lang w:val="es-PE"/>
        </w:rPr>
      </w:pPr>
      <w:r w:rsidRPr="00BC1DFC">
        <w:rPr>
          <w:rFonts w:ascii="Arial" w:hAnsi="Arial" w:cs="Arial"/>
          <w:b/>
          <w:bCs/>
          <w:sz w:val="22"/>
          <w:szCs w:val="22"/>
          <w:lang w:val="es-PE"/>
        </w:rPr>
        <w:t>2.2.1</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Procedimiento Experimental</w:t>
      </w:r>
    </w:p>
    <w:p w14:paraId="370C3E2D" w14:textId="3CD3EF47" w:rsidR="00695939" w:rsidRPr="00BC1DFC" w:rsidRDefault="00695939" w:rsidP="00252EB0">
      <w:pPr>
        <w:jc w:val="both"/>
        <w:rPr>
          <w:rFonts w:ascii="Arial" w:hAnsi="Arial" w:cs="Arial"/>
          <w:bCs/>
          <w:sz w:val="22"/>
          <w:szCs w:val="22"/>
          <w:lang w:val="es-PE"/>
        </w:rPr>
      </w:pPr>
      <w:r w:rsidRPr="00BC1DFC">
        <w:rPr>
          <w:rFonts w:ascii="Arial" w:hAnsi="Arial" w:cs="Arial"/>
          <w:bCs/>
          <w:sz w:val="22"/>
          <w:szCs w:val="22"/>
          <w:lang w:val="es-PE"/>
        </w:rPr>
        <w:t>Se realiza una prueba experimental en laboratorio, que consiste en poner en contacto la mezcla explosiva con el detrito del terreno reactivo y observar su comportamiento químico durante un período de tiempo.</w:t>
      </w:r>
    </w:p>
    <w:p w14:paraId="3113DAEA" w14:textId="77777777" w:rsidR="00C5716B" w:rsidRPr="00BC1DFC" w:rsidRDefault="00C5716B" w:rsidP="00252EB0">
      <w:pPr>
        <w:jc w:val="both"/>
        <w:rPr>
          <w:rFonts w:ascii="Arial" w:hAnsi="Arial" w:cs="Arial"/>
          <w:bCs/>
          <w:sz w:val="22"/>
          <w:szCs w:val="22"/>
          <w:lang w:val="es-PE"/>
        </w:rPr>
      </w:pPr>
    </w:p>
    <w:p w14:paraId="5AFE38D2" w14:textId="7AEEB500" w:rsidR="00DF452E" w:rsidRPr="006500D2" w:rsidRDefault="00C5716B" w:rsidP="00C5716B">
      <w:pPr>
        <w:jc w:val="both"/>
        <w:rPr>
          <w:rFonts w:ascii="Arial" w:hAnsi="Arial" w:cs="Arial"/>
          <w:b/>
          <w:bCs/>
          <w:sz w:val="22"/>
          <w:szCs w:val="22"/>
          <w:lang w:val="es-PE"/>
        </w:rPr>
      </w:pPr>
      <w:r w:rsidRPr="00C5716B">
        <w:rPr>
          <w:rFonts w:ascii="Arial" w:hAnsi="Arial" w:cs="Arial"/>
          <w:b/>
          <w:bCs/>
          <w:sz w:val="22"/>
          <w:szCs w:val="22"/>
          <w:lang w:val="es-PE"/>
        </w:rPr>
        <w:t>2.2.2</w:t>
      </w:r>
      <w:r w:rsidR="00946EE8" w:rsidRPr="00BC1DFC">
        <w:rPr>
          <w:rFonts w:ascii="Arial" w:hAnsi="Arial" w:cs="Arial"/>
          <w:b/>
          <w:bCs/>
          <w:sz w:val="22"/>
          <w:szCs w:val="22"/>
          <w:lang w:val="es-PE"/>
        </w:rPr>
        <w:t>.</w:t>
      </w:r>
      <w:r w:rsidRPr="00C5716B">
        <w:rPr>
          <w:rFonts w:ascii="Arial" w:hAnsi="Arial" w:cs="Arial"/>
          <w:b/>
          <w:bCs/>
          <w:sz w:val="22"/>
          <w:szCs w:val="22"/>
          <w:lang w:val="es-PE"/>
        </w:rPr>
        <w:t xml:space="preserve"> Hallazgos</w:t>
      </w:r>
    </w:p>
    <w:p w14:paraId="1B126FE0" w14:textId="5F53089D" w:rsidR="00C5716B" w:rsidRPr="00C5716B" w:rsidRDefault="00C5716B" w:rsidP="00C5716B">
      <w:pPr>
        <w:jc w:val="both"/>
        <w:rPr>
          <w:rFonts w:ascii="Arial" w:hAnsi="Arial" w:cs="Arial"/>
          <w:bCs/>
          <w:sz w:val="22"/>
          <w:szCs w:val="22"/>
          <w:lang w:val="es-PE"/>
        </w:rPr>
      </w:pPr>
      <w:r w:rsidRPr="00C5716B">
        <w:rPr>
          <w:rFonts w:ascii="Arial" w:hAnsi="Arial" w:cs="Arial"/>
          <w:bCs/>
          <w:sz w:val="22"/>
          <w:szCs w:val="22"/>
          <w:lang w:val="es-PE"/>
        </w:rPr>
        <w:t>El contacto entre el nitrato de amonio y las muestras de terreno reactivo genera reacciones químicas adicionales a las normales (Enaex Mining Technical Solutions, 2024a), a partir de lo cual se puede concluir que:</w:t>
      </w:r>
    </w:p>
    <w:p w14:paraId="2D5AA078" w14:textId="77777777" w:rsidR="00C5716B" w:rsidRPr="00C5716B" w:rsidRDefault="00C5716B" w:rsidP="00C5716B">
      <w:pPr>
        <w:numPr>
          <w:ilvl w:val="0"/>
          <w:numId w:val="4"/>
        </w:numPr>
        <w:tabs>
          <w:tab w:val="num" w:pos="720"/>
        </w:tabs>
        <w:ind w:left="284" w:hanging="284"/>
        <w:jc w:val="both"/>
        <w:rPr>
          <w:rFonts w:ascii="Arial" w:hAnsi="Arial" w:cs="Arial"/>
          <w:bCs/>
          <w:sz w:val="22"/>
          <w:szCs w:val="22"/>
          <w:lang w:val="es-PE"/>
        </w:rPr>
      </w:pPr>
      <w:r w:rsidRPr="00C5716B">
        <w:rPr>
          <w:rFonts w:ascii="Arial" w:hAnsi="Arial" w:cs="Arial"/>
          <w:bCs/>
          <w:sz w:val="22"/>
          <w:szCs w:val="22"/>
          <w:lang w:val="es-PE"/>
        </w:rPr>
        <w:t>A mayor concentración de nitrato de amonio en la mezcla explosiva, mayor es su sensibilidad a la cristalización.</w:t>
      </w:r>
    </w:p>
    <w:p w14:paraId="08CAE900" w14:textId="77777777" w:rsidR="00C5716B" w:rsidRPr="00C5716B" w:rsidRDefault="00C5716B" w:rsidP="00C5716B">
      <w:pPr>
        <w:numPr>
          <w:ilvl w:val="0"/>
          <w:numId w:val="4"/>
        </w:numPr>
        <w:tabs>
          <w:tab w:val="num" w:pos="720"/>
        </w:tabs>
        <w:ind w:left="284" w:hanging="284"/>
        <w:jc w:val="both"/>
        <w:rPr>
          <w:rFonts w:ascii="Arial" w:hAnsi="Arial" w:cs="Arial"/>
          <w:bCs/>
          <w:sz w:val="22"/>
          <w:szCs w:val="22"/>
          <w:lang w:val="es-PE"/>
        </w:rPr>
      </w:pPr>
      <w:r w:rsidRPr="00C5716B">
        <w:rPr>
          <w:rFonts w:ascii="Arial" w:hAnsi="Arial" w:cs="Arial"/>
          <w:bCs/>
          <w:sz w:val="22"/>
          <w:szCs w:val="22"/>
          <w:lang w:val="es-PE"/>
        </w:rPr>
        <w:t>Las mezclas explosivas gasificadas contienen burbujas de gas, las cuales tienen el potencial de retardar la cristalización.</w:t>
      </w:r>
    </w:p>
    <w:p w14:paraId="6B594A76" w14:textId="77777777" w:rsidR="00C5716B" w:rsidRPr="00C5716B" w:rsidRDefault="00C5716B" w:rsidP="00C5716B">
      <w:pPr>
        <w:numPr>
          <w:ilvl w:val="0"/>
          <w:numId w:val="4"/>
        </w:numPr>
        <w:tabs>
          <w:tab w:val="num" w:pos="720"/>
        </w:tabs>
        <w:ind w:left="284" w:hanging="284"/>
        <w:jc w:val="both"/>
        <w:rPr>
          <w:rFonts w:ascii="Arial" w:hAnsi="Arial" w:cs="Arial"/>
          <w:bCs/>
          <w:sz w:val="22"/>
          <w:szCs w:val="22"/>
          <w:lang w:val="es-PE"/>
        </w:rPr>
      </w:pPr>
      <w:r w:rsidRPr="00C5716B">
        <w:rPr>
          <w:rFonts w:ascii="Arial" w:hAnsi="Arial" w:cs="Arial"/>
          <w:bCs/>
          <w:sz w:val="22"/>
          <w:szCs w:val="22"/>
          <w:lang w:val="es-PE"/>
        </w:rPr>
        <w:t>La emulsión 100% gasificada muestra un menor grado de descomposición en comparación con otras mezclas explosivas con mayor porcentaje de nitrato de amonio.</w:t>
      </w:r>
    </w:p>
    <w:p w14:paraId="6CBD1AD1" w14:textId="082BBF7D" w:rsidR="00C5716B" w:rsidRPr="00BC1DFC" w:rsidRDefault="00C5716B" w:rsidP="00252EB0">
      <w:pPr>
        <w:numPr>
          <w:ilvl w:val="0"/>
          <w:numId w:val="4"/>
        </w:numPr>
        <w:tabs>
          <w:tab w:val="num" w:pos="720"/>
        </w:tabs>
        <w:ind w:left="284" w:hanging="284"/>
        <w:jc w:val="both"/>
        <w:rPr>
          <w:rFonts w:ascii="Arial" w:hAnsi="Arial" w:cs="Arial"/>
          <w:bCs/>
          <w:sz w:val="22"/>
          <w:szCs w:val="22"/>
          <w:lang w:val="es-PE"/>
        </w:rPr>
      </w:pPr>
      <w:r w:rsidRPr="00C5716B">
        <w:rPr>
          <w:rFonts w:ascii="Arial" w:hAnsi="Arial" w:cs="Arial"/>
          <w:bCs/>
          <w:sz w:val="22"/>
          <w:szCs w:val="22"/>
          <w:lang w:val="es-PE"/>
        </w:rPr>
        <w:t>Aquellos explosivos que no fueron sensibilizados con nitrito de sodio presentan hinchamiento debido a la generación de óxido nítrico, un componente de los gases nitrosos.</w:t>
      </w:r>
    </w:p>
    <w:p w14:paraId="06F34E13" w14:textId="77777777" w:rsidR="000720D0" w:rsidRPr="00BC1DFC" w:rsidRDefault="000720D0" w:rsidP="000720D0">
      <w:pPr>
        <w:jc w:val="both"/>
        <w:rPr>
          <w:rFonts w:ascii="Arial" w:hAnsi="Arial" w:cs="Arial"/>
          <w:bCs/>
          <w:sz w:val="22"/>
          <w:szCs w:val="22"/>
          <w:lang w:val="es-PE"/>
        </w:rPr>
      </w:pPr>
    </w:p>
    <w:p w14:paraId="6F008BCD" w14:textId="2441EBCE" w:rsidR="00937A65" w:rsidRPr="00BC1DFC" w:rsidRDefault="000720D0" w:rsidP="000720D0">
      <w:pPr>
        <w:jc w:val="center"/>
        <w:rPr>
          <w:rFonts w:ascii="Arial" w:hAnsi="Arial" w:cs="Arial"/>
          <w:bCs/>
          <w:sz w:val="22"/>
          <w:szCs w:val="22"/>
          <w:lang w:val="es-PE"/>
        </w:rPr>
      </w:pPr>
      <w:r w:rsidRPr="00BC1DFC">
        <w:rPr>
          <w:noProof/>
          <w:lang w:val="es-PE"/>
        </w:rPr>
        <w:drawing>
          <wp:inline distT="0" distB="0" distL="0" distR="0" wp14:anchorId="00E08DA3" wp14:editId="1466081A">
            <wp:extent cx="2562785" cy="2582540"/>
            <wp:effectExtent l="19050" t="19050" r="9525" b="27940"/>
            <wp:docPr id="1" name="Imagen 1" descr="Imagen que contiene montón, tren, grupo, for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montón, tren, grupo, forrado&#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7684" cy="2658016"/>
                    </a:xfrm>
                    <a:prstGeom prst="rect">
                      <a:avLst/>
                    </a:prstGeom>
                    <a:ln w="6350">
                      <a:solidFill>
                        <a:schemeClr val="tx1"/>
                      </a:solidFill>
                    </a:ln>
                  </pic:spPr>
                </pic:pic>
              </a:graphicData>
            </a:graphic>
          </wp:inline>
        </w:drawing>
      </w:r>
    </w:p>
    <w:p w14:paraId="391468CD" w14:textId="5FCC3C58" w:rsidR="00937A65" w:rsidRDefault="000720D0" w:rsidP="00502313">
      <w:pPr>
        <w:jc w:val="both"/>
        <w:rPr>
          <w:rFonts w:ascii="Arial" w:hAnsi="Arial" w:cs="Arial"/>
          <w:bCs/>
          <w:sz w:val="20"/>
          <w:szCs w:val="20"/>
          <w:lang w:val="es-PE"/>
        </w:rPr>
      </w:pPr>
      <w:r w:rsidRPr="009831B8">
        <w:rPr>
          <w:rFonts w:ascii="Arial" w:hAnsi="Arial" w:cs="Arial"/>
          <w:bCs/>
          <w:sz w:val="20"/>
          <w:szCs w:val="20"/>
          <w:lang w:val="es-PE"/>
        </w:rPr>
        <w:t>Figura 4. Tubos de ensayo con detrito y mezcla explosiva.</w:t>
      </w:r>
    </w:p>
    <w:p w14:paraId="6D4AB24C" w14:textId="1709C0B9" w:rsidR="00D24BB2" w:rsidRDefault="00D24BB2" w:rsidP="00D24BB2">
      <w:pPr>
        <w:jc w:val="both"/>
        <w:rPr>
          <w:rFonts w:ascii="Arial" w:hAnsi="Arial" w:cs="Arial"/>
          <w:b/>
          <w:bCs/>
          <w:sz w:val="22"/>
          <w:szCs w:val="22"/>
          <w:lang w:val="es-PE"/>
        </w:rPr>
      </w:pPr>
      <w:r w:rsidRPr="00BC1DFC">
        <w:rPr>
          <w:rFonts w:ascii="Arial" w:hAnsi="Arial" w:cs="Arial"/>
          <w:b/>
          <w:bCs/>
          <w:sz w:val="22"/>
          <w:szCs w:val="22"/>
          <w:lang w:val="es-PE"/>
        </w:rPr>
        <w:lastRenderedPageBreak/>
        <w:t>2.3</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Uso de emulsión 100% gasificada</w:t>
      </w:r>
    </w:p>
    <w:p w14:paraId="5FC14E05" w14:textId="36B7270F" w:rsidR="00937A65" w:rsidRPr="00BC1DFC" w:rsidRDefault="00D24BB2" w:rsidP="007D2A73">
      <w:pPr>
        <w:jc w:val="both"/>
        <w:rPr>
          <w:rFonts w:ascii="Arial" w:hAnsi="Arial" w:cs="Arial"/>
          <w:sz w:val="22"/>
          <w:szCs w:val="22"/>
          <w:lang w:val="es-PE"/>
        </w:rPr>
      </w:pPr>
      <w:r w:rsidRPr="00BC1DFC">
        <w:rPr>
          <w:rFonts w:ascii="Arial" w:hAnsi="Arial" w:cs="Arial"/>
          <w:sz w:val="22"/>
          <w:szCs w:val="22"/>
          <w:lang w:val="es-PE"/>
        </w:rPr>
        <w:t>Dados los resultados obtenidos en la prueba experimental detallada en el punto 2.2, se recomienda el uso de emulsión 100% gasificada en taladros de corona, contorno y producción.</w:t>
      </w:r>
    </w:p>
    <w:p w14:paraId="6FEECA13" w14:textId="77777777" w:rsidR="007B5A3A" w:rsidRPr="00BC1DFC" w:rsidRDefault="007B5A3A" w:rsidP="007D2A73">
      <w:pPr>
        <w:jc w:val="both"/>
        <w:rPr>
          <w:rFonts w:ascii="Arial" w:hAnsi="Arial" w:cs="Arial"/>
          <w:sz w:val="22"/>
          <w:szCs w:val="22"/>
          <w:lang w:val="es-PE"/>
        </w:rPr>
      </w:pPr>
    </w:p>
    <w:p w14:paraId="13B16780" w14:textId="77777777" w:rsidR="006500D2" w:rsidRDefault="007B5A3A" w:rsidP="007B5A3A">
      <w:pPr>
        <w:jc w:val="both"/>
        <w:rPr>
          <w:rFonts w:ascii="Arial" w:hAnsi="Arial" w:cs="Arial"/>
          <w:b/>
          <w:bCs/>
          <w:sz w:val="22"/>
          <w:szCs w:val="22"/>
          <w:lang w:val="es-PE"/>
        </w:rPr>
      </w:pPr>
      <w:r w:rsidRPr="007B5A3A">
        <w:rPr>
          <w:rFonts w:ascii="Arial" w:hAnsi="Arial" w:cs="Arial"/>
          <w:b/>
          <w:bCs/>
          <w:sz w:val="22"/>
          <w:szCs w:val="22"/>
          <w:lang w:val="es-PE"/>
        </w:rPr>
        <w:t>2.3.1</w:t>
      </w:r>
      <w:r w:rsidR="00946EE8" w:rsidRPr="00BC1DFC">
        <w:rPr>
          <w:rFonts w:ascii="Arial" w:hAnsi="Arial" w:cs="Arial"/>
          <w:b/>
          <w:bCs/>
          <w:sz w:val="22"/>
          <w:szCs w:val="22"/>
          <w:lang w:val="es-PE"/>
        </w:rPr>
        <w:t>.</w:t>
      </w:r>
      <w:r w:rsidRPr="007B5A3A">
        <w:rPr>
          <w:rFonts w:ascii="Arial" w:hAnsi="Arial" w:cs="Arial"/>
          <w:b/>
          <w:bCs/>
          <w:sz w:val="22"/>
          <w:szCs w:val="22"/>
          <w:lang w:val="es-PE"/>
        </w:rPr>
        <w:t xml:space="preserve"> Uso de emulsión 100% gasificada en taladros de corona y contorno</w:t>
      </w:r>
    </w:p>
    <w:p w14:paraId="1FBD142C" w14:textId="17DC530C" w:rsidR="007B5A3A" w:rsidRPr="007B5A3A" w:rsidRDefault="007B5A3A" w:rsidP="007B5A3A">
      <w:pPr>
        <w:jc w:val="both"/>
        <w:rPr>
          <w:rFonts w:ascii="Arial" w:hAnsi="Arial" w:cs="Arial"/>
          <w:b/>
          <w:bCs/>
          <w:sz w:val="22"/>
          <w:szCs w:val="22"/>
          <w:lang w:val="es-PE"/>
        </w:rPr>
      </w:pPr>
      <w:r w:rsidRPr="007B5A3A">
        <w:rPr>
          <w:rFonts w:ascii="Arial" w:hAnsi="Arial" w:cs="Arial"/>
          <w:sz w:val="22"/>
          <w:szCs w:val="22"/>
          <w:lang w:val="es-PE"/>
        </w:rPr>
        <w:t>Luego del análisis estadístico sobre la generación de gases nitrosos, se identifica que las zonas más críticas corresponden a los taladros de corona y contorno, los cuales presentan prefracturamiento en las paredes del taladro.</w:t>
      </w:r>
    </w:p>
    <w:p w14:paraId="33BB95E8" w14:textId="77777777" w:rsidR="007B5A3A" w:rsidRPr="007B5A3A" w:rsidRDefault="007B5A3A" w:rsidP="000A4FB0">
      <w:pPr>
        <w:jc w:val="both"/>
        <w:rPr>
          <w:rFonts w:ascii="Arial" w:hAnsi="Arial" w:cs="Arial"/>
          <w:sz w:val="22"/>
          <w:szCs w:val="22"/>
          <w:lang w:val="es-PE"/>
        </w:rPr>
      </w:pPr>
      <w:r w:rsidRPr="007B5A3A">
        <w:rPr>
          <w:rFonts w:ascii="Arial" w:hAnsi="Arial" w:cs="Arial"/>
          <w:sz w:val="22"/>
          <w:szCs w:val="22"/>
          <w:lang w:val="es-PE"/>
        </w:rPr>
        <w:t>Este prefracturamiento da lugar a una invasión de la mezcla explosiva hacia las grietas con tamaños menores al diámetro crítico, lo que provoca su deflagración. Sumado a la presencia de terreno reactivo, se incrementa el potencial de generación de gases nitrosos.</w:t>
      </w:r>
    </w:p>
    <w:p w14:paraId="3E72A86B" w14:textId="77777777" w:rsidR="007B5A3A" w:rsidRPr="007B5A3A" w:rsidRDefault="007B5A3A" w:rsidP="000A4FB0">
      <w:pPr>
        <w:jc w:val="both"/>
        <w:rPr>
          <w:rFonts w:ascii="Arial" w:hAnsi="Arial" w:cs="Arial"/>
          <w:sz w:val="22"/>
          <w:szCs w:val="22"/>
          <w:lang w:val="es-PE"/>
        </w:rPr>
      </w:pPr>
      <w:r w:rsidRPr="007B5A3A">
        <w:rPr>
          <w:rFonts w:ascii="Arial" w:hAnsi="Arial" w:cs="Arial"/>
          <w:sz w:val="22"/>
          <w:szCs w:val="22"/>
          <w:lang w:val="es-PE"/>
        </w:rPr>
        <w:t>Por esta razón, se recomienda la aplicación de emulsión 100% gasificada en los sectores mencionados, ya que no contiene nitrato de amonio en forma de prill entre sus componentes, lo que le confiere una menor sensibilidad a la descomposición en comparación con la serie ANFO pesado gasificado.</w:t>
      </w:r>
    </w:p>
    <w:p w14:paraId="2C8219C0" w14:textId="77777777" w:rsidR="007B5A3A" w:rsidRPr="00BC1DFC" w:rsidRDefault="007B5A3A" w:rsidP="007D2A73">
      <w:pPr>
        <w:jc w:val="both"/>
        <w:rPr>
          <w:rFonts w:ascii="Arial" w:hAnsi="Arial" w:cs="Arial"/>
          <w:sz w:val="22"/>
          <w:szCs w:val="22"/>
          <w:lang w:val="es-PE"/>
        </w:rPr>
      </w:pPr>
    </w:p>
    <w:p w14:paraId="0BEF3FC9" w14:textId="166BEDFB" w:rsidR="00937A65" w:rsidRPr="00BC1DFC" w:rsidRDefault="003C1502" w:rsidP="007D2A73">
      <w:pPr>
        <w:jc w:val="both"/>
        <w:rPr>
          <w:rFonts w:ascii="Arial" w:hAnsi="Arial" w:cs="Arial"/>
          <w:b/>
          <w:bCs/>
          <w:sz w:val="22"/>
          <w:szCs w:val="22"/>
          <w:lang w:val="es-PE"/>
        </w:rPr>
      </w:pPr>
      <w:r w:rsidRPr="00BC1DFC">
        <w:rPr>
          <w:rFonts w:ascii="Arial" w:hAnsi="Arial" w:cs="Arial"/>
          <w:b/>
          <w:bCs/>
          <w:noProof/>
          <w:sz w:val="22"/>
          <w:szCs w:val="22"/>
          <w:lang w:val="es-PE"/>
        </w:rPr>
        <w:drawing>
          <wp:inline distT="0" distB="0" distL="0" distR="0" wp14:anchorId="459569BC" wp14:editId="6FFA60DF">
            <wp:extent cx="3166110" cy="2175510"/>
            <wp:effectExtent l="19050" t="19050" r="15240" b="15240"/>
            <wp:docPr id="2052842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42702" name=""/>
                    <pic:cNvPicPr/>
                  </pic:nvPicPr>
                  <pic:blipFill>
                    <a:blip r:embed="rId16"/>
                    <a:stretch>
                      <a:fillRect/>
                    </a:stretch>
                  </pic:blipFill>
                  <pic:spPr>
                    <a:xfrm>
                      <a:off x="0" y="0"/>
                      <a:ext cx="3166110" cy="2175510"/>
                    </a:xfrm>
                    <a:prstGeom prst="rect">
                      <a:avLst/>
                    </a:prstGeom>
                    <a:ln w="6350">
                      <a:solidFill>
                        <a:schemeClr val="tx1"/>
                      </a:solidFill>
                    </a:ln>
                  </pic:spPr>
                </pic:pic>
              </a:graphicData>
            </a:graphic>
          </wp:inline>
        </w:drawing>
      </w:r>
    </w:p>
    <w:p w14:paraId="5829C44E" w14:textId="33FE6D91" w:rsidR="00937A65" w:rsidRPr="009831B8" w:rsidRDefault="00A100E4" w:rsidP="007D2A73">
      <w:pPr>
        <w:jc w:val="both"/>
        <w:rPr>
          <w:rFonts w:ascii="Arial" w:hAnsi="Arial" w:cs="Arial"/>
          <w:sz w:val="20"/>
          <w:szCs w:val="20"/>
          <w:lang w:val="es-PE"/>
        </w:rPr>
      </w:pPr>
      <w:r w:rsidRPr="009831B8">
        <w:rPr>
          <w:rFonts w:ascii="Arial" w:hAnsi="Arial" w:cs="Arial"/>
          <w:sz w:val="20"/>
          <w:szCs w:val="20"/>
          <w:lang w:val="es-PE"/>
        </w:rPr>
        <w:t>Figura 5. Aplicación de emulsión 100% gasificada en taladros de corona y contorno.</w:t>
      </w:r>
    </w:p>
    <w:p w14:paraId="63AD825C" w14:textId="77777777" w:rsidR="00937A65" w:rsidRPr="00BC1DFC" w:rsidRDefault="00937A65" w:rsidP="007D2A73">
      <w:pPr>
        <w:jc w:val="both"/>
        <w:rPr>
          <w:rFonts w:ascii="Arial" w:hAnsi="Arial" w:cs="Arial"/>
          <w:b/>
          <w:bCs/>
          <w:sz w:val="22"/>
          <w:szCs w:val="22"/>
          <w:lang w:val="es-PE"/>
        </w:rPr>
      </w:pPr>
    </w:p>
    <w:p w14:paraId="737F9A87" w14:textId="1ED16D0F" w:rsidR="00BE5C0D" w:rsidRPr="00BC1DFC" w:rsidRDefault="001E5A6E" w:rsidP="001E5A6E">
      <w:pPr>
        <w:jc w:val="both"/>
        <w:rPr>
          <w:rFonts w:ascii="Arial" w:hAnsi="Arial" w:cs="Arial"/>
          <w:b/>
          <w:bCs/>
          <w:sz w:val="22"/>
          <w:szCs w:val="22"/>
          <w:lang w:val="es-PE"/>
        </w:rPr>
      </w:pPr>
      <w:r w:rsidRPr="001E5A6E">
        <w:rPr>
          <w:rFonts w:ascii="Arial" w:hAnsi="Arial" w:cs="Arial"/>
          <w:b/>
          <w:bCs/>
          <w:sz w:val="22"/>
          <w:szCs w:val="22"/>
          <w:lang w:val="es-PE"/>
        </w:rPr>
        <w:t>2.3.2</w:t>
      </w:r>
      <w:r w:rsidR="00946EE8" w:rsidRPr="00BC1DFC">
        <w:rPr>
          <w:rFonts w:ascii="Arial" w:hAnsi="Arial" w:cs="Arial"/>
          <w:b/>
          <w:bCs/>
          <w:sz w:val="22"/>
          <w:szCs w:val="22"/>
          <w:lang w:val="es-PE"/>
        </w:rPr>
        <w:t>.</w:t>
      </w:r>
      <w:r w:rsidRPr="001E5A6E">
        <w:rPr>
          <w:rFonts w:ascii="Arial" w:hAnsi="Arial" w:cs="Arial"/>
          <w:b/>
          <w:bCs/>
          <w:sz w:val="22"/>
          <w:szCs w:val="22"/>
          <w:lang w:val="es-PE"/>
        </w:rPr>
        <w:t xml:space="preserve"> Uso de emulsión 100% gasificada en zonas de producción</w:t>
      </w:r>
    </w:p>
    <w:p w14:paraId="4E362805" w14:textId="24D12C00" w:rsidR="001E5A6E" w:rsidRPr="001E5A6E" w:rsidRDefault="001E5A6E" w:rsidP="001E5A6E">
      <w:pPr>
        <w:jc w:val="both"/>
        <w:rPr>
          <w:rFonts w:ascii="Arial" w:hAnsi="Arial" w:cs="Arial"/>
          <w:sz w:val="22"/>
          <w:szCs w:val="22"/>
          <w:lang w:val="es-PE"/>
        </w:rPr>
      </w:pPr>
      <w:r w:rsidRPr="001E5A6E">
        <w:rPr>
          <w:rFonts w:ascii="Arial" w:hAnsi="Arial" w:cs="Arial"/>
          <w:sz w:val="22"/>
          <w:szCs w:val="22"/>
          <w:lang w:val="es-PE"/>
        </w:rPr>
        <w:t>Al cubrir una mayor área de carga con emulsión 100% gasificada en zonas de producción con presencia de terrenos reactivos, se reduce el nivel e intensidad de los gases nitrosos en aproximadamente un 90% en comparación con las mezclas explosivas tipo ANFO pesado, las cuales tienen un mayor porcentaje de nitrato de amonio en su composición.</w:t>
      </w:r>
    </w:p>
    <w:p w14:paraId="0EAA3092" w14:textId="77777777" w:rsidR="001E5A6E" w:rsidRPr="001E5A6E" w:rsidRDefault="001E5A6E" w:rsidP="000A4FB0">
      <w:pPr>
        <w:jc w:val="both"/>
        <w:rPr>
          <w:rFonts w:ascii="Arial" w:hAnsi="Arial" w:cs="Arial"/>
          <w:sz w:val="22"/>
          <w:szCs w:val="22"/>
          <w:lang w:val="es-PE"/>
        </w:rPr>
      </w:pPr>
      <w:r w:rsidRPr="001E5A6E">
        <w:rPr>
          <w:rFonts w:ascii="Arial" w:hAnsi="Arial" w:cs="Arial"/>
          <w:sz w:val="22"/>
          <w:szCs w:val="22"/>
          <w:lang w:val="es-PE"/>
        </w:rPr>
        <w:t xml:space="preserve">La emulsión gasificada presenta un balance de oxígeno estable y ofrece la ventaja de tener una mayor permanencia en los taladros, así como una </w:t>
      </w:r>
      <w:r w:rsidRPr="001E5A6E">
        <w:rPr>
          <w:rFonts w:ascii="Arial" w:hAnsi="Arial" w:cs="Arial"/>
          <w:sz w:val="22"/>
          <w:szCs w:val="22"/>
          <w:lang w:val="es-PE"/>
        </w:rPr>
        <w:t>menor degradación al estar en contacto con terrenos reactivos.</w:t>
      </w:r>
    </w:p>
    <w:p w14:paraId="321601F8" w14:textId="77777777" w:rsidR="001E5A6E" w:rsidRPr="001E5A6E" w:rsidRDefault="001E5A6E" w:rsidP="000A4FB0">
      <w:pPr>
        <w:jc w:val="both"/>
        <w:rPr>
          <w:rFonts w:ascii="Arial" w:hAnsi="Arial" w:cs="Arial"/>
          <w:sz w:val="22"/>
          <w:szCs w:val="22"/>
          <w:lang w:val="es-PE"/>
        </w:rPr>
      </w:pPr>
      <w:r w:rsidRPr="001E5A6E">
        <w:rPr>
          <w:rFonts w:ascii="Arial" w:hAnsi="Arial" w:cs="Arial"/>
          <w:sz w:val="22"/>
          <w:szCs w:val="22"/>
          <w:lang w:val="es-PE"/>
        </w:rPr>
        <w:t>Para el uso de emulsión 100% gasificada, se recomienda su aplicación en macizos rocosos de baja a media competencia, considerando el diseño de malla y carga.</w:t>
      </w:r>
    </w:p>
    <w:p w14:paraId="45F6B94D" w14:textId="77777777" w:rsidR="00937A65" w:rsidRPr="00BC1DFC" w:rsidRDefault="00937A65" w:rsidP="007D2A73">
      <w:pPr>
        <w:jc w:val="both"/>
        <w:rPr>
          <w:rFonts w:ascii="Arial" w:hAnsi="Arial" w:cs="Arial"/>
          <w:b/>
          <w:bCs/>
          <w:sz w:val="22"/>
          <w:szCs w:val="22"/>
          <w:lang w:val="es-PE"/>
        </w:rPr>
      </w:pPr>
    </w:p>
    <w:p w14:paraId="170F605A" w14:textId="365D8FC7" w:rsidR="00A72F02" w:rsidRPr="00A72F02" w:rsidRDefault="00A72F02" w:rsidP="00A72F02">
      <w:pPr>
        <w:jc w:val="both"/>
        <w:rPr>
          <w:rFonts w:ascii="Arial" w:hAnsi="Arial" w:cs="Arial"/>
          <w:b/>
          <w:bCs/>
          <w:sz w:val="22"/>
          <w:szCs w:val="22"/>
          <w:lang w:val="es-PE"/>
        </w:rPr>
      </w:pPr>
      <w:r w:rsidRPr="00A72F02">
        <w:rPr>
          <w:rFonts w:ascii="Arial" w:hAnsi="Arial" w:cs="Arial"/>
          <w:b/>
          <w:bCs/>
          <w:noProof/>
          <w:sz w:val="22"/>
          <w:szCs w:val="22"/>
          <w:lang w:val="es-PE"/>
        </w:rPr>
        <w:drawing>
          <wp:inline distT="0" distB="0" distL="0" distR="0" wp14:anchorId="2C5369D2" wp14:editId="1F609066">
            <wp:extent cx="3166110" cy="2157730"/>
            <wp:effectExtent l="19050" t="19050" r="15240" b="13970"/>
            <wp:docPr id="465575218" name="Imagen 8" descr="Humo saliendo de la nie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5218" name="Imagen 8" descr="Humo saliendo de la nieve&#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2157730"/>
                    </a:xfrm>
                    <a:prstGeom prst="rect">
                      <a:avLst/>
                    </a:prstGeom>
                    <a:ln w="6350">
                      <a:solidFill>
                        <a:schemeClr val="tx1"/>
                      </a:solidFill>
                    </a:ln>
                  </pic:spPr>
                </pic:pic>
              </a:graphicData>
            </a:graphic>
          </wp:inline>
        </w:drawing>
      </w:r>
    </w:p>
    <w:p w14:paraId="2C2ECA72" w14:textId="3CB30C93" w:rsidR="00937A65" w:rsidRPr="009831B8" w:rsidRDefault="006D560E" w:rsidP="007D2A73">
      <w:pPr>
        <w:jc w:val="both"/>
        <w:rPr>
          <w:rFonts w:ascii="Arial" w:hAnsi="Arial" w:cs="Arial"/>
          <w:sz w:val="20"/>
          <w:szCs w:val="20"/>
          <w:lang w:val="es-PE"/>
        </w:rPr>
      </w:pPr>
      <w:r w:rsidRPr="009831B8">
        <w:rPr>
          <w:rFonts w:ascii="Arial" w:hAnsi="Arial" w:cs="Arial"/>
          <w:sz w:val="20"/>
          <w:szCs w:val="20"/>
          <w:lang w:val="es-PE"/>
        </w:rPr>
        <w:t>Figura 6. (a) Uso de emulsión 100% gasificada en taladros de producción, y (b) Uso de emulsión gasificada HA73G en taladros de producción.</w:t>
      </w:r>
    </w:p>
    <w:p w14:paraId="2CE6D191" w14:textId="77777777" w:rsidR="00BE5C0D" w:rsidRPr="00BC1DFC" w:rsidRDefault="00BE5C0D" w:rsidP="007D2A73">
      <w:pPr>
        <w:jc w:val="both"/>
        <w:rPr>
          <w:rFonts w:ascii="Arial" w:hAnsi="Arial" w:cs="Arial"/>
          <w:sz w:val="22"/>
          <w:szCs w:val="22"/>
          <w:lang w:val="es-PE"/>
        </w:rPr>
      </w:pPr>
    </w:p>
    <w:p w14:paraId="3C9DA8A3" w14:textId="5B6A9FBE" w:rsidR="0085544B" w:rsidRDefault="0085544B" w:rsidP="007D2A73">
      <w:pPr>
        <w:jc w:val="both"/>
        <w:rPr>
          <w:rFonts w:ascii="Arial" w:hAnsi="Arial" w:cs="Arial"/>
          <w:b/>
          <w:bCs/>
          <w:sz w:val="22"/>
          <w:szCs w:val="22"/>
          <w:lang w:val="es-PE"/>
        </w:rPr>
      </w:pPr>
      <w:r w:rsidRPr="00BC1DFC">
        <w:rPr>
          <w:rFonts w:ascii="Arial" w:hAnsi="Arial" w:cs="Arial"/>
          <w:b/>
          <w:bCs/>
          <w:sz w:val="22"/>
          <w:szCs w:val="22"/>
          <w:lang w:val="es-PE"/>
        </w:rPr>
        <w:t>2.4</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Aislamiento de la mezcla explosiva en terreno reactivo</w:t>
      </w:r>
    </w:p>
    <w:p w14:paraId="7E10F22A" w14:textId="77777777" w:rsidR="00DF452E" w:rsidRPr="00BC1DFC" w:rsidRDefault="00DF452E" w:rsidP="007D2A73">
      <w:pPr>
        <w:jc w:val="both"/>
        <w:rPr>
          <w:rFonts w:ascii="Arial" w:hAnsi="Arial" w:cs="Arial"/>
          <w:sz w:val="22"/>
          <w:szCs w:val="22"/>
          <w:lang w:val="es-PE"/>
        </w:rPr>
      </w:pPr>
    </w:p>
    <w:p w14:paraId="28E4827E" w14:textId="1B338378" w:rsidR="00DF452E" w:rsidRPr="006500D2" w:rsidRDefault="0085544B" w:rsidP="007D2A73">
      <w:pPr>
        <w:jc w:val="both"/>
        <w:rPr>
          <w:rFonts w:ascii="Arial" w:hAnsi="Arial" w:cs="Arial"/>
          <w:b/>
          <w:bCs/>
          <w:sz w:val="22"/>
          <w:szCs w:val="22"/>
          <w:lang w:val="es-PE"/>
        </w:rPr>
      </w:pPr>
      <w:r w:rsidRPr="00BC1DFC">
        <w:rPr>
          <w:rFonts w:ascii="Arial" w:hAnsi="Arial" w:cs="Arial"/>
          <w:b/>
          <w:bCs/>
          <w:sz w:val="22"/>
          <w:szCs w:val="22"/>
          <w:lang w:val="es-PE"/>
        </w:rPr>
        <w:t>2.4.1</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Uso de mangas</w:t>
      </w:r>
    </w:p>
    <w:p w14:paraId="58179802" w14:textId="549E61A3" w:rsidR="00937A65" w:rsidRPr="00BC1DFC" w:rsidRDefault="0085544B" w:rsidP="007D2A73">
      <w:pPr>
        <w:jc w:val="both"/>
        <w:rPr>
          <w:rFonts w:ascii="Arial" w:hAnsi="Arial" w:cs="Arial"/>
          <w:sz w:val="22"/>
          <w:szCs w:val="22"/>
          <w:lang w:val="es-PE"/>
        </w:rPr>
      </w:pPr>
      <w:r w:rsidRPr="00BC1DFC">
        <w:rPr>
          <w:rFonts w:ascii="Arial" w:hAnsi="Arial" w:cs="Arial"/>
          <w:sz w:val="22"/>
          <w:szCs w:val="22"/>
          <w:lang w:val="es-PE"/>
        </w:rPr>
        <w:t>El uso de mangas para la carga de taladros en terrenos reactivos es una técnica que consiste en recubrir los taladros con una funda resistente a la abrasión, ruptura y desgarro, la cual envuelve la mezcla explosiva dentro del taladro. Esto permite aislar el terreno reactivo y, en consecuencia, previene la alteración o descomposición de la mezcla explosiva como una acción preventiva frente a la generación de gases nitrosos.</w:t>
      </w:r>
    </w:p>
    <w:p w14:paraId="403F1495" w14:textId="77777777" w:rsidR="00D7158F" w:rsidRPr="00BC1DFC" w:rsidRDefault="00D7158F" w:rsidP="007D2A73">
      <w:pPr>
        <w:jc w:val="both"/>
        <w:rPr>
          <w:rFonts w:ascii="Arial" w:hAnsi="Arial" w:cs="Arial"/>
          <w:sz w:val="22"/>
          <w:szCs w:val="22"/>
          <w:lang w:val="es-PE"/>
        </w:rPr>
      </w:pPr>
    </w:p>
    <w:p w14:paraId="1DB01741" w14:textId="66F0C586" w:rsidR="00D7158F" w:rsidRPr="00BC1DFC" w:rsidRDefault="00D7158F" w:rsidP="007D2A73">
      <w:pPr>
        <w:jc w:val="both"/>
        <w:rPr>
          <w:rFonts w:ascii="Arial" w:hAnsi="Arial" w:cs="Arial"/>
          <w:sz w:val="22"/>
          <w:szCs w:val="22"/>
          <w:lang w:val="es-PE"/>
        </w:rPr>
      </w:pPr>
      <w:r w:rsidRPr="00BC1DFC">
        <w:rPr>
          <w:rFonts w:ascii="Arial" w:hAnsi="Arial" w:cs="Arial"/>
          <w:noProof/>
          <w:sz w:val="22"/>
          <w:szCs w:val="22"/>
          <w:lang w:val="es-PE"/>
        </w:rPr>
        <w:drawing>
          <wp:inline distT="0" distB="0" distL="0" distR="0" wp14:anchorId="3DD680DE" wp14:editId="15F684F3">
            <wp:extent cx="3166110" cy="1946910"/>
            <wp:effectExtent l="19050" t="19050" r="15240" b="15240"/>
            <wp:docPr id="1901979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9470" name=""/>
                    <pic:cNvPicPr/>
                  </pic:nvPicPr>
                  <pic:blipFill>
                    <a:blip r:embed="rId18"/>
                    <a:stretch>
                      <a:fillRect/>
                    </a:stretch>
                  </pic:blipFill>
                  <pic:spPr>
                    <a:xfrm>
                      <a:off x="0" y="0"/>
                      <a:ext cx="3166110" cy="1946910"/>
                    </a:xfrm>
                    <a:prstGeom prst="rect">
                      <a:avLst/>
                    </a:prstGeom>
                    <a:ln w="6350">
                      <a:solidFill>
                        <a:schemeClr val="tx1"/>
                      </a:solidFill>
                    </a:ln>
                  </pic:spPr>
                </pic:pic>
              </a:graphicData>
            </a:graphic>
          </wp:inline>
        </w:drawing>
      </w:r>
    </w:p>
    <w:p w14:paraId="62F213D3" w14:textId="2364F584" w:rsidR="00937A65" w:rsidRPr="009831B8" w:rsidRDefault="007F4EC2" w:rsidP="007D2A73">
      <w:pPr>
        <w:jc w:val="both"/>
        <w:rPr>
          <w:rFonts w:ascii="Arial" w:hAnsi="Arial" w:cs="Arial"/>
          <w:sz w:val="20"/>
          <w:szCs w:val="20"/>
          <w:lang w:val="es-PE"/>
        </w:rPr>
      </w:pPr>
      <w:r w:rsidRPr="009831B8">
        <w:rPr>
          <w:rFonts w:ascii="Arial" w:hAnsi="Arial" w:cs="Arial"/>
          <w:sz w:val="20"/>
          <w:szCs w:val="20"/>
          <w:lang w:val="es-PE"/>
        </w:rPr>
        <w:t>Figura 7. Uso de mangas. (a) Carga desechable dentro de la manga, y (b) Línea electrónica y pirotécnica descendiendo dentro de la manga.</w:t>
      </w:r>
    </w:p>
    <w:p w14:paraId="113D7242" w14:textId="77777777" w:rsidR="007F4EC2" w:rsidRDefault="007F4EC2" w:rsidP="007D2A73">
      <w:pPr>
        <w:jc w:val="both"/>
        <w:rPr>
          <w:rFonts w:ascii="Arial" w:hAnsi="Arial" w:cs="Arial"/>
          <w:sz w:val="22"/>
          <w:szCs w:val="22"/>
          <w:lang w:val="es-PE"/>
        </w:rPr>
      </w:pPr>
    </w:p>
    <w:p w14:paraId="571DCE2B" w14:textId="77777777" w:rsidR="00EC3235" w:rsidRDefault="00EC3235" w:rsidP="007D2A73">
      <w:pPr>
        <w:jc w:val="both"/>
        <w:rPr>
          <w:rFonts w:ascii="Arial" w:hAnsi="Arial" w:cs="Arial"/>
          <w:sz w:val="22"/>
          <w:szCs w:val="22"/>
          <w:lang w:val="es-PE"/>
        </w:rPr>
      </w:pPr>
    </w:p>
    <w:p w14:paraId="67D95C5F" w14:textId="77777777" w:rsidR="00EC3235" w:rsidRPr="00BC1DFC" w:rsidRDefault="00EC3235" w:rsidP="007D2A73">
      <w:pPr>
        <w:jc w:val="both"/>
        <w:rPr>
          <w:rFonts w:ascii="Arial" w:hAnsi="Arial" w:cs="Arial"/>
          <w:sz w:val="22"/>
          <w:szCs w:val="22"/>
          <w:lang w:val="es-PE"/>
        </w:rPr>
      </w:pPr>
    </w:p>
    <w:p w14:paraId="055D65E7" w14:textId="3F4210BD" w:rsidR="00292CAD" w:rsidRDefault="00292CAD" w:rsidP="00292CAD">
      <w:pPr>
        <w:jc w:val="both"/>
        <w:rPr>
          <w:rFonts w:ascii="Arial" w:hAnsi="Arial" w:cs="Arial"/>
          <w:b/>
          <w:bCs/>
          <w:sz w:val="22"/>
          <w:szCs w:val="22"/>
          <w:lang w:val="es-PE"/>
        </w:rPr>
      </w:pPr>
      <w:r w:rsidRPr="00BC1DFC">
        <w:rPr>
          <w:rFonts w:ascii="Arial" w:hAnsi="Arial" w:cs="Arial"/>
          <w:b/>
          <w:bCs/>
          <w:sz w:val="22"/>
          <w:szCs w:val="22"/>
          <w:lang w:val="es-PE"/>
        </w:rPr>
        <w:lastRenderedPageBreak/>
        <w:t>2.5</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Desarrollo de una emulsión retardante según el grado de reactividad del terreno</w:t>
      </w:r>
    </w:p>
    <w:p w14:paraId="1DB01818" w14:textId="77777777" w:rsidR="006500D2" w:rsidRPr="00BC1DFC" w:rsidRDefault="006500D2" w:rsidP="00292CAD">
      <w:pPr>
        <w:jc w:val="both"/>
        <w:rPr>
          <w:rFonts w:ascii="Arial" w:hAnsi="Arial" w:cs="Arial"/>
          <w:sz w:val="22"/>
          <w:szCs w:val="22"/>
          <w:lang w:val="es-PE"/>
        </w:rPr>
      </w:pPr>
    </w:p>
    <w:p w14:paraId="311C2A46" w14:textId="6B1B011E" w:rsidR="00292CAD" w:rsidRPr="00BC1DFC" w:rsidRDefault="00292CAD" w:rsidP="00292CAD">
      <w:pPr>
        <w:jc w:val="both"/>
        <w:rPr>
          <w:rFonts w:ascii="Arial" w:hAnsi="Arial" w:cs="Arial"/>
          <w:sz w:val="22"/>
          <w:szCs w:val="22"/>
          <w:lang w:val="es-PE"/>
        </w:rPr>
      </w:pPr>
      <w:r w:rsidRPr="00BC1DFC">
        <w:rPr>
          <w:rFonts w:ascii="Arial" w:hAnsi="Arial" w:cs="Arial"/>
          <w:sz w:val="22"/>
          <w:szCs w:val="22"/>
          <w:lang w:val="es-PE"/>
        </w:rPr>
        <w:t>El desarrollo de una nueva emulsión retardante para la carga de taladros en sectores con terreno reactivo constituye una medida eficaz dentro de un plan de acción orientado a mitigar la aparición de gases nitrosos (GNOx) generados por la degradación de la mezcla explosiva. Este desarrollo se basa en estudios previos y en un análisis detallado en laboratorio de muestras de terreno reactivo (Taipe, 2024).</w:t>
      </w:r>
    </w:p>
    <w:p w14:paraId="3FDF2782" w14:textId="77777777" w:rsidR="00E6681A" w:rsidRPr="00BC1DFC" w:rsidRDefault="00E6681A" w:rsidP="00292CAD">
      <w:pPr>
        <w:jc w:val="both"/>
        <w:rPr>
          <w:rFonts w:ascii="Arial" w:hAnsi="Arial" w:cs="Arial"/>
          <w:sz w:val="22"/>
          <w:szCs w:val="22"/>
          <w:lang w:val="es-PE"/>
        </w:rPr>
      </w:pPr>
    </w:p>
    <w:p w14:paraId="1F6D00B6" w14:textId="6488F800" w:rsidR="00E6681A" w:rsidRPr="00BC1DFC" w:rsidRDefault="00E6681A" w:rsidP="00292CAD">
      <w:pPr>
        <w:jc w:val="both"/>
        <w:rPr>
          <w:rFonts w:ascii="Arial" w:hAnsi="Arial" w:cs="Arial"/>
          <w:sz w:val="22"/>
          <w:szCs w:val="22"/>
          <w:lang w:val="es-PE"/>
        </w:rPr>
      </w:pPr>
      <w:r w:rsidRPr="00BC1DFC">
        <w:rPr>
          <w:rFonts w:ascii="Arial" w:hAnsi="Arial" w:cs="Arial"/>
          <w:b/>
          <w:bCs/>
          <w:sz w:val="22"/>
          <w:szCs w:val="22"/>
          <w:lang w:val="es-PE"/>
        </w:rPr>
        <w:t>2.5.1</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Composición de la emulsión retardante</w:t>
      </w:r>
    </w:p>
    <w:p w14:paraId="42A07003" w14:textId="0CA48AC9" w:rsidR="00E6681A" w:rsidRPr="00BC1DFC" w:rsidRDefault="00E6681A" w:rsidP="00292CAD">
      <w:pPr>
        <w:jc w:val="both"/>
        <w:rPr>
          <w:rFonts w:ascii="Arial" w:hAnsi="Arial" w:cs="Arial"/>
          <w:sz w:val="22"/>
          <w:szCs w:val="22"/>
          <w:lang w:val="es-PE"/>
        </w:rPr>
      </w:pPr>
      <w:r w:rsidRPr="00BC1DFC">
        <w:rPr>
          <w:rFonts w:ascii="Arial" w:hAnsi="Arial" w:cs="Arial"/>
          <w:sz w:val="22"/>
          <w:szCs w:val="22"/>
          <w:lang w:val="es-PE"/>
        </w:rPr>
        <w:t>La emulsión está diseñada específicamente para voladuras en terrenos reactivos. Esta mezcla incorpora agentes retardantes que reducen la reactividad entre el nitrato de amonio y el macizo rocoso. Aunque posee un contenido reducido de nitrato de amonio, la emulsión mantiene la cantidad suficiente para garantizar la efectividad del explosivo, lo que permite realizar voladuras con el rendimiento necesario para fragmentar la roca de manera eficiente.</w:t>
      </w:r>
    </w:p>
    <w:p w14:paraId="20F35936" w14:textId="77777777" w:rsidR="00CA0264" w:rsidRPr="00BC1DFC" w:rsidRDefault="00CA0264" w:rsidP="00292CAD">
      <w:pPr>
        <w:jc w:val="both"/>
        <w:rPr>
          <w:rFonts w:ascii="Arial" w:hAnsi="Arial" w:cs="Arial"/>
          <w:sz w:val="22"/>
          <w:szCs w:val="22"/>
          <w:lang w:val="es-PE"/>
        </w:rPr>
      </w:pPr>
    </w:p>
    <w:p w14:paraId="37BD32DE" w14:textId="759F13EE" w:rsidR="00CA0264" w:rsidRPr="00BC1DFC" w:rsidRDefault="00CA0264" w:rsidP="00292CAD">
      <w:pPr>
        <w:jc w:val="both"/>
        <w:rPr>
          <w:rFonts w:ascii="Arial" w:hAnsi="Arial" w:cs="Arial"/>
          <w:sz w:val="22"/>
          <w:szCs w:val="22"/>
          <w:lang w:val="es-PE"/>
        </w:rPr>
      </w:pPr>
      <w:r w:rsidRPr="00BC1DFC">
        <w:rPr>
          <w:rFonts w:ascii="Arial" w:hAnsi="Arial" w:cs="Arial"/>
          <w:b/>
          <w:bCs/>
          <w:sz w:val="22"/>
          <w:szCs w:val="22"/>
          <w:lang w:val="es-PE"/>
        </w:rPr>
        <w:t>2.5.2</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Adecuación al terreno reactivo</w:t>
      </w:r>
    </w:p>
    <w:p w14:paraId="77CADBC6" w14:textId="6B625E01" w:rsidR="00CA0264" w:rsidRPr="00BC1DFC" w:rsidRDefault="00CA0264" w:rsidP="00292CAD">
      <w:pPr>
        <w:jc w:val="both"/>
        <w:rPr>
          <w:rFonts w:ascii="Arial" w:hAnsi="Arial" w:cs="Arial"/>
          <w:sz w:val="22"/>
          <w:szCs w:val="22"/>
          <w:lang w:val="es-PE"/>
        </w:rPr>
      </w:pPr>
      <w:r w:rsidRPr="00BC1DFC">
        <w:rPr>
          <w:rFonts w:ascii="Arial" w:hAnsi="Arial" w:cs="Arial"/>
          <w:sz w:val="22"/>
          <w:szCs w:val="22"/>
          <w:lang w:val="es-PE"/>
        </w:rPr>
        <w:t>En sectores donde el terreno es particularmente reactivo, el uso de emulsión se convierte en una solución clave. Los análisis de laboratorio indican que la emulsión tiene un desempeño óptimo en condiciones donde los explosivos convencionales pueden desencadenar una reacción excesiva con el terreno, liberando gases peligrosos que pueden ser perjudiciales tanto para el medio ambiente como para los trabajadores.</w:t>
      </w:r>
    </w:p>
    <w:p w14:paraId="0FD3D73A" w14:textId="77777777" w:rsidR="00CA0264" w:rsidRPr="00BC1DFC" w:rsidRDefault="00CA0264" w:rsidP="00292CAD">
      <w:pPr>
        <w:jc w:val="both"/>
        <w:rPr>
          <w:rFonts w:ascii="Arial" w:hAnsi="Arial" w:cs="Arial"/>
          <w:sz w:val="22"/>
          <w:szCs w:val="22"/>
          <w:lang w:val="es-PE"/>
        </w:rPr>
      </w:pPr>
    </w:p>
    <w:p w14:paraId="0DFD392C" w14:textId="72CC7BEE" w:rsidR="00D10F1D" w:rsidRPr="00BC1DFC" w:rsidRDefault="00D10F1D" w:rsidP="00292CAD">
      <w:pPr>
        <w:jc w:val="both"/>
        <w:rPr>
          <w:rFonts w:ascii="Arial" w:hAnsi="Arial" w:cs="Arial"/>
          <w:sz w:val="22"/>
          <w:szCs w:val="22"/>
          <w:lang w:val="es-PE"/>
        </w:rPr>
      </w:pPr>
      <w:r w:rsidRPr="00BC1DFC">
        <w:rPr>
          <w:rFonts w:ascii="Arial" w:hAnsi="Arial" w:cs="Arial"/>
          <w:b/>
          <w:bCs/>
          <w:sz w:val="22"/>
          <w:szCs w:val="22"/>
          <w:lang w:val="es-PE"/>
        </w:rPr>
        <w:t>2.5.3</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Reducción de gases nitrosos (GNOx)</w:t>
      </w:r>
      <w:r w:rsidRPr="00BC1DFC">
        <w:rPr>
          <w:rFonts w:ascii="Arial" w:hAnsi="Arial" w:cs="Arial"/>
          <w:sz w:val="22"/>
          <w:szCs w:val="22"/>
          <w:lang w:val="es-PE"/>
        </w:rPr>
        <w:t xml:space="preserve"> </w:t>
      </w:r>
    </w:p>
    <w:p w14:paraId="5CD35840" w14:textId="10BF17B5" w:rsidR="00CA0264" w:rsidRPr="00BC1DFC" w:rsidRDefault="00D10F1D" w:rsidP="00292CAD">
      <w:pPr>
        <w:jc w:val="both"/>
        <w:rPr>
          <w:rFonts w:ascii="Arial" w:hAnsi="Arial" w:cs="Arial"/>
          <w:sz w:val="22"/>
          <w:szCs w:val="22"/>
          <w:lang w:val="es-PE"/>
        </w:rPr>
      </w:pPr>
      <w:r w:rsidRPr="00BC1DFC">
        <w:rPr>
          <w:rFonts w:ascii="Arial" w:hAnsi="Arial" w:cs="Arial"/>
          <w:sz w:val="22"/>
          <w:szCs w:val="22"/>
          <w:lang w:val="es-PE"/>
        </w:rPr>
        <w:t>Los gases nitrosos, como el dióxido de nitrógeno (NO</w:t>
      </w:r>
      <w:r w:rsidRPr="00BC1DFC">
        <w:rPr>
          <w:rFonts w:ascii="Cambria Math" w:hAnsi="Cambria Math" w:cs="Cambria Math"/>
          <w:sz w:val="22"/>
          <w:szCs w:val="22"/>
          <w:lang w:val="es-PE"/>
        </w:rPr>
        <w:t>₂</w:t>
      </w:r>
      <w:r w:rsidRPr="00BC1DFC">
        <w:rPr>
          <w:rFonts w:ascii="Arial" w:hAnsi="Arial" w:cs="Arial"/>
          <w:sz w:val="22"/>
          <w:szCs w:val="22"/>
          <w:lang w:val="es-PE"/>
        </w:rPr>
        <w:t>), son subproductos resultantes de la interacción de los explosivos con ciertos tipos de rocas reactivas. El uso de emulsión retardante, debido a su composición, ayuda a reducir la degradación de la mezcla explosiva que, de otro modo, podría generar estos gases nocivos. Los agentes retardantes de reacción presentes en la emulsión disminuyen la velocidad de las reacciones químicas con el terreno, lo que a su vez minimiza la formación de estos compuestos gaseosos.</w:t>
      </w:r>
    </w:p>
    <w:p w14:paraId="190DE414" w14:textId="77777777" w:rsidR="00292CAD" w:rsidRPr="00BC1DFC" w:rsidRDefault="00292CAD" w:rsidP="007D2A73">
      <w:pPr>
        <w:jc w:val="both"/>
        <w:rPr>
          <w:rFonts w:ascii="Arial" w:hAnsi="Arial" w:cs="Arial"/>
          <w:b/>
          <w:bCs/>
          <w:sz w:val="22"/>
          <w:szCs w:val="22"/>
          <w:lang w:val="es-PE"/>
        </w:rPr>
      </w:pPr>
    </w:p>
    <w:p w14:paraId="2A8D73CE" w14:textId="29BB5E03" w:rsidR="00D32D5A" w:rsidRPr="00BC1DFC" w:rsidRDefault="00D32D5A" w:rsidP="007D2A73">
      <w:pPr>
        <w:jc w:val="both"/>
        <w:rPr>
          <w:rFonts w:ascii="Arial" w:hAnsi="Arial" w:cs="Arial"/>
          <w:b/>
          <w:bCs/>
          <w:sz w:val="22"/>
          <w:szCs w:val="22"/>
          <w:lang w:val="es-PE"/>
        </w:rPr>
      </w:pPr>
      <w:r w:rsidRPr="00BC1DFC">
        <w:rPr>
          <w:rFonts w:ascii="Arial" w:hAnsi="Arial" w:cs="Arial"/>
          <w:b/>
          <w:bCs/>
          <w:sz w:val="22"/>
          <w:szCs w:val="22"/>
          <w:lang w:val="es-PE"/>
        </w:rPr>
        <w:t>2.5.4</w:t>
      </w:r>
      <w:r w:rsidR="00946EE8" w:rsidRPr="00BC1DFC">
        <w:rPr>
          <w:rFonts w:ascii="Arial" w:hAnsi="Arial" w:cs="Arial"/>
          <w:b/>
          <w:bCs/>
          <w:sz w:val="22"/>
          <w:szCs w:val="22"/>
          <w:lang w:val="es-PE"/>
        </w:rPr>
        <w:t>.</w:t>
      </w:r>
      <w:r w:rsidRPr="00BC1DFC">
        <w:rPr>
          <w:rFonts w:ascii="Arial" w:hAnsi="Arial" w:cs="Arial"/>
          <w:b/>
          <w:bCs/>
          <w:sz w:val="22"/>
          <w:szCs w:val="22"/>
          <w:lang w:val="es-PE"/>
        </w:rPr>
        <w:t xml:space="preserve"> Desempeño</w:t>
      </w:r>
    </w:p>
    <w:p w14:paraId="3B336F62" w14:textId="63FAE0C3" w:rsidR="00D32D5A" w:rsidRDefault="00D32D5A" w:rsidP="007D2A73">
      <w:pPr>
        <w:jc w:val="both"/>
        <w:rPr>
          <w:rFonts w:ascii="Arial" w:hAnsi="Arial" w:cs="Arial"/>
          <w:sz w:val="22"/>
          <w:szCs w:val="22"/>
          <w:lang w:val="es-PE"/>
        </w:rPr>
      </w:pPr>
      <w:r w:rsidRPr="00BC1DFC">
        <w:rPr>
          <w:rFonts w:ascii="Arial" w:hAnsi="Arial" w:cs="Arial"/>
          <w:sz w:val="22"/>
          <w:szCs w:val="22"/>
          <w:lang w:val="es-PE"/>
        </w:rPr>
        <w:t xml:space="preserve">A pesar de la reducción en el contenido de nitrato de amonio, la emulsión mantiene un desempeño adecuado en la voladura. Su capacidad para liberar energía de manera controlada garantiza que se logren los resultados esperados en términos de fragmentación, desplazamiento de la roca y velocidad de detonación del explosivo, al mismo </w:t>
      </w:r>
      <w:r w:rsidRPr="00BC1DFC">
        <w:rPr>
          <w:rFonts w:ascii="Arial" w:hAnsi="Arial" w:cs="Arial"/>
          <w:sz w:val="22"/>
          <w:szCs w:val="22"/>
          <w:lang w:val="es-PE"/>
        </w:rPr>
        <w:t>tiempo que se minimizan los riesgos de liberación de gases tóxicos.</w:t>
      </w:r>
    </w:p>
    <w:p w14:paraId="14906059" w14:textId="77777777" w:rsidR="006500D2" w:rsidRPr="00BC1DFC" w:rsidRDefault="006500D2" w:rsidP="007D2A73">
      <w:pPr>
        <w:jc w:val="both"/>
        <w:rPr>
          <w:rFonts w:ascii="Arial" w:hAnsi="Arial" w:cs="Arial"/>
          <w:b/>
          <w:bCs/>
          <w:sz w:val="22"/>
          <w:szCs w:val="22"/>
          <w:lang w:val="es-PE"/>
        </w:rPr>
      </w:pPr>
    </w:p>
    <w:p w14:paraId="3853233D" w14:textId="7F9E0AC0" w:rsidR="008C3927" w:rsidRDefault="00946EE8" w:rsidP="008C3927">
      <w:pPr>
        <w:jc w:val="both"/>
        <w:rPr>
          <w:rFonts w:ascii="Arial" w:hAnsi="Arial" w:cs="Arial"/>
          <w:b/>
          <w:bCs/>
          <w:sz w:val="22"/>
          <w:szCs w:val="22"/>
          <w:lang w:val="es-PE"/>
        </w:rPr>
      </w:pPr>
      <w:r w:rsidRPr="00BC1DFC">
        <w:rPr>
          <w:rFonts w:ascii="Arial" w:hAnsi="Arial" w:cs="Arial"/>
          <w:b/>
          <w:bCs/>
          <w:sz w:val="22"/>
          <w:szCs w:val="22"/>
          <w:lang w:val="es-PE"/>
        </w:rPr>
        <w:t>3</w:t>
      </w:r>
      <w:r w:rsidR="00F857C3" w:rsidRPr="00BC1DFC">
        <w:rPr>
          <w:rFonts w:ascii="Arial" w:hAnsi="Arial" w:cs="Arial"/>
          <w:b/>
          <w:bCs/>
          <w:sz w:val="22"/>
          <w:szCs w:val="22"/>
          <w:lang w:val="es-PE"/>
        </w:rPr>
        <w:t xml:space="preserve">. </w:t>
      </w:r>
      <w:r w:rsidR="00EC5D28" w:rsidRPr="00BC1DFC">
        <w:rPr>
          <w:rFonts w:ascii="Arial" w:hAnsi="Arial" w:cs="Arial"/>
          <w:b/>
          <w:bCs/>
          <w:sz w:val="22"/>
          <w:szCs w:val="22"/>
          <w:lang w:val="es-PE"/>
        </w:rPr>
        <w:t>Conclusiones</w:t>
      </w:r>
    </w:p>
    <w:p w14:paraId="2DB3D60E" w14:textId="77777777" w:rsidR="006500D2" w:rsidRPr="00BC1DFC" w:rsidRDefault="006500D2" w:rsidP="008C3927">
      <w:pPr>
        <w:jc w:val="both"/>
        <w:rPr>
          <w:rFonts w:ascii="Arial" w:hAnsi="Arial" w:cs="Arial"/>
          <w:b/>
          <w:bCs/>
          <w:sz w:val="22"/>
          <w:szCs w:val="22"/>
          <w:lang w:val="es-PE"/>
        </w:rPr>
      </w:pPr>
    </w:p>
    <w:p w14:paraId="681DD34E" w14:textId="3E8D59E1" w:rsidR="002C33E1" w:rsidRPr="00BC1DFC" w:rsidRDefault="002C33E1" w:rsidP="00C16E45">
      <w:pPr>
        <w:pStyle w:val="Prrafodelista"/>
        <w:numPr>
          <w:ilvl w:val="0"/>
          <w:numId w:val="5"/>
        </w:numPr>
        <w:ind w:left="284" w:hanging="284"/>
        <w:jc w:val="both"/>
        <w:rPr>
          <w:rFonts w:ascii="Arial" w:hAnsi="Arial" w:cs="Arial"/>
          <w:bCs/>
          <w:sz w:val="22"/>
          <w:szCs w:val="22"/>
          <w:lang w:val="es-PE"/>
        </w:rPr>
      </w:pPr>
      <w:r w:rsidRPr="00BC1DFC">
        <w:rPr>
          <w:rFonts w:ascii="Arial" w:hAnsi="Arial" w:cs="Arial"/>
          <w:bCs/>
          <w:sz w:val="22"/>
          <w:szCs w:val="22"/>
          <w:lang w:val="es-PE"/>
        </w:rPr>
        <w:t>Cuando el terreno reactivo entra en contacto con la mezcla explosiva, esta sufre degradación o descomposición, además de una posible reacción exotérmica, lo que podría provocar una detonación prematura del taladro.</w:t>
      </w:r>
    </w:p>
    <w:p w14:paraId="4CAD8EDA" w14:textId="127899B3" w:rsidR="002C33E1" w:rsidRPr="00BC1DFC" w:rsidRDefault="002C33E1" w:rsidP="00C16E45">
      <w:pPr>
        <w:pStyle w:val="Prrafodelista"/>
        <w:numPr>
          <w:ilvl w:val="0"/>
          <w:numId w:val="5"/>
        </w:numPr>
        <w:ind w:left="284" w:hanging="284"/>
        <w:jc w:val="both"/>
        <w:rPr>
          <w:rFonts w:ascii="Arial" w:hAnsi="Arial" w:cs="Arial"/>
          <w:bCs/>
          <w:sz w:val="22"/>
          <w:szCs w:val="22"/>
          <w:lang w:val="es-PE"/>
        </w:rPr>
      </w:pPr>
      <w:r w:rsidRPr="00BC1DFC">
        <w:rPr>
          <w:rFonts w:ascii="Arial" w:hAnsi="Arial" w:cs="Arial"/>
          <w:bCs/>
          <w:sz w:val="22"/>
          <w:szCs w:val="22"/>
          <w:lang w:val="es-PE"/>
        </w:rPr>
        <w:t>El uso de emulsión 100% gasificada en zonas de corona, contorno y producción reduce los gases nitrosos en aproximadamente un 90%, además presenta un balance de oxígeno estable y permite una mayor permanencia en los taladros.</w:t>
      </w:r>
    </w:p>
    <w:p w14:paraId="025C31DF" w14:textId="2EFDE60A" w:rsidR="002C33E1" w:rsidRPr="00BC1DFC" w:rsidRDefault="002C33E1" w:rsidP="00C16E45">
      <w:pPr>
        <w:pStyle w:val="Prrafodelista"/>
        <w:numPr>
          <w:ilvl w:val="0"/>
          <w:numId w:val="5"/>
        </w:numPr>
        <w:ind w:left="284" w:hanging="284"/>
        <w:jc w:val="both"/>
        <w:rPr>
          <w:rFonts w:ascii="Arial" w:hAnsi="Arial" w:cs="Arial"/>
          <w:bCs/>
          <w:sz w:val="22"/>
          <w:szCs w:val="22"/>
          <w:lang w:val="es-PE"/>
        </w:rPr>
      </w:pPr>
      <w:r w:rsidRPr="00BC1DFC">
        <w:rPr>
          <w:rFonts w:ascii="Arial" w:hAnsi="Arial" w:cs="Arial"/>
          <w:bCs/>
          <w:sz w:val="22"/>
          <w:szCs w:val="22"/>
          <w:lang w:val="es-PE"/>
        </w:rPr>
        <w:t>La carga de taladros con mangas forma parte de un enfoque preventivo para mitigar la emisión de gases nitrosos, aislando así la mezcla explosiva del macizo rocoso (Enaex Mining Technical Solutions, 2024b).</w:t>
      </w:r>
    </w:p>
    <w:p w14:paraId="774A69FC" w14:textId="3244A604" w:rsidR="00A534CB" w:rsidRPr="00BC1DFC" w:rsidRDefault="002C33E1" w:rsidP="00C16E45">
      <w:pPr>
        <w:pStyle w:val="Prrafodelista"/>
        <w:numPr>
          <w:ilvl w:val="0"/>
          <w:numId w:val="5"/>
        </w:numPr>
        <w:ind w:left="284" w:hanging="284"/>
        <w:jc w:val="both"/>
        <w:rPr>
          <w:rFonts w:ascii="Arial" w:hAnsi="Arial" w:cs="Arial"/>
          <w:bCs/>
          <w:sz w:val="22"/>
          <w:szCs w:val="22"/>
          <w:lang w:val="es-PE"/>
        </w:rPr>
      </w:pPr>
      <w:r w:rsidRPr="00BC1DFC">
        <w:rPr>
          <w:rFonts w:ascii="Arial" w:hAnsi="Arial" w:cs="Arial"/>
          <w:bCs/>
          <w:sz w:val="22"/>
          <w:szCs w:val="22"/>
          <w:lang w:val="es-PE"/>
        </w:rPr>
        <w:t>El desarrollo de una emulsión retardante es una medida efectiva dentro de un plan de acción orientado a mitigar los gases nitrosos; previene la detonación prematura de los taladros debido a la reacción exotérmica y, a su vez, retrasa la degradación de la mezcla explosiva, permitiendo un mejor aprovechamiento de la energía en los resultados post-voladura.</w:t>
      </w:r>
    </w:p>
    <w:p w14:paraId="5A4EE2AB" w14:textId="62F08EF6" w:rsidR="002D1C36" w:rsidRPr="00BC1DFC" w:rsidRDefault="002D1C36" w:rsidP="002D1C36">
      <w:pPr>
        <w:jc w:val="both"/>
        <w:rPr>
          <w:rFonts w:ascii="Arial" w:hAnsi="Arial" w:cs="Arial"/>
          <w:bCs/>
          <w:sz w:val="22"/>
          <w:szCs w:val="22"/>
          <w:lang w:val="es-PE"/>
        </w:rPr>
      </w:pPr>
    </w:p>
    <w:p w14:paraId="0346E950" w14:textId="11590418" w:rsidR="006178C0" w:rsidRPr="00663DAC" w:rsidRDefault="00946EE8" w:rsidP="006178C0">
      <w:pPr>
        <w:jc w:val="both"/>
        <w:rPr>
          <w:rFonts w:ascii="Arial" w:hAnsi="Arial" w:cs="Arial"/>
          <w:b/>
          <w:bCs/>
          <w:sz w:val="22"/>
          <w:szCs w:val="22"/>
          <w:lang w:val="en-US"/>
        </w:rPr>
      </w:pPr>
      <w:r w:rsidRPr="00663DAC">
        <w:rPr>
          <w:rFonts w:ascii="Arial" w:hAnsi="Arial" w:cs="Arial"/>
          <w:b/>
          <w:bCs/>
          <w:sz w:val="22"/>
          <w:szCs w:val="22"/>
          <w:lang w:val="en-US"/>
        </w:rPr>
        <w:t>4</w:t>
      </w:r>
      <w:r w:rsidR="00EC5D28" w:rsidRPr="00663DAC">
        <w:rPr>
          <w:rFonts w:ascii="Arial" w:hAnsi="Arial" w:cs="Arial"/>
          <w:b/>
          <w:bCs/>
          <w:sz w:val="22"/>
          <w:szCs w:val="22"/>
          <w:lang w:val="en-US"/>
        </w:rPr>
        <w:t xml:space="preserve">. </w:t>
      </w:r>
      <w:r w:rsidR="00180629" w:rsidRPr="00663DAC">
        <w:rPr>
          <w:rFonts w:ascii="Arial" w:hAnsi="Arial" w:cs="Arial"/>
          <w:b/>
          <w:bCs/>
          <w:sz w:val="22"/>
          <w:szCs w:val="22"/>
          <w:lang w:val="en-US"/>
        </w:rPr>
        <w:t>Referencias bibliográficas</w:t>
      </w:r>
    </w:p>
    <w:p w14:paraId="52714C79" w14:textId="77777777" w:rsidR="006178C0" w:rsidRPr="00663DAC" w:rsidRDefault="006178C0" w:rsidP="006178C0">
      <w:pPr>
        <w:jc w:val="both"/>
        <w:rPr>
          <w:rFonts w:ascii="Arial" w:hAnsi="Arial" w:cs="Arial"/>
          <w:b/>
          <w:bCs/>
          <w:sz w:val="22"/>
          <w:szCs w:val="22"/>
          <w:lang w:val="en-US"/>
        </w:rPr>
      </w:pPr>
    </w:p>
    <w:p w14:paraId="4A6B2488" w14:textId="2162A7CC" w:rsidR="007240E0" w:rsidRPr="00663DAC" w:rsidRDefault="007240E0" w:rsidP="007240E0">
      <w:pPr>
        <w:ind w:left="142" w:hanging="142"/>
        <w:jc w:val="both"/>
        <w:rPr>
          <w:rFonts w:ascii="Arial" w:hAnsi="Arial" w:cs="Arial"/>
          <w:bCs/>
          <w:sz w:val="22"/>
          <w:szCs w:val="22"/>
          <w:lang w:val="en-US"/>
        </w:rPr>
      </w:pPr>
      <w:r w:rsidRPr="00663DAC">
        <w:rPr>
          <w:rFonts w:ascii="Arial" w:hAnsi="Arial" w:cs="Arial"/>
          <w:bCs/>
          <w:sz w:val="22"/>
          <w:szCs w:val="22"/>
          <w:lang w:val="en-US"/>
        </w:rPr>
        <w:t>Taipe, R., 2024. Follow-up of reactive samples in contact with explosive, Cuzco, p. 5.</w:t>
      </w:r>
    </w:p>
    <w:p w14:paraId="0B656341" w14:textId="00E7685F" w:rsidR="007240E0" w:rsidRPr="00663DAC" w:rsidRDefault="007240E0" w:rsidP="007240E0">
      <w:pPr>
        <w:ind w:left="142" w:hanging="142"/>
        <w:jc w:val="both"/>
        <w:rPr>
          <w:rFonts w:ascii="Arial" w:hAnsi="Arial" w:cs="Arial"/>
          <w:bCs/>
          <w:sz w:val="22"/>
          <w:szCs w:val="22"/>
          <w:lang w:val="en-US"/>
        </w:rPr>
      </w:pPr>
      <w:r w:rsidRPr="00663DAC">
        <w:rPr>
          <w:rFonts w:ascii="Arial" w:hAnsi="Arial" w:cs="Arial"/>
          <w:bCs/>
          <w:sz w:val="22"/>
          <w:szCs w:val="22"/>
          <w:lang w:val="en-US"/>
        </w:rPr>
        <w:t>EMTS ENAEX S.A., 2024. 100% Enaex Energetic Emulsion Application Report (Vertex 100).</w:t>
      </w:r>
    </w:p>
    <w:p w14:paraId="4B9D7307" w14:textId="3B48A32C" w:rsidR="007240E0" w:rsidRPr="00663DAC" w:rsidRDefault="007240E0" w:rsidP="007240E0">
      <w:pPr>
        <w:ind w:left="142" w:hanging="142"/>
        <w:jc w:val="both"/>
        <w:rPr>
          <w:rFonts w:ascii="Arial" w:hAnsi="Arial" w:cs="Arial"/>
          <w:bCs/>
          <w:sz w:val="22"/>
          <w:szCs w:val="22"/>
          <w:lang w:val="en-US"/>
        </w:rPr>
      </w:pPr>
      <w:r w:rsidRPr="00663DAC">
        <w:rPr>
          <w:rFonts w:ascii="Arial" w:hAnsi="Arial" w:cs="Arial"/>
          <w:bCs/>
          <w:sz w:val="22"/>
          <w:szCs w:val="22"/>
          <w:lang w:val="en-US"/>
        </w:rPr>
        <w:t>Enaex Mining Technical Solutions</w:t>
      </w:r>
      <w:r w:rsidR="00C15BEA" w:rsidRPr="00663DAC">
        <w:rPr>
          <w:rFonts w:ascii="Arial" w:hAnsi="Arial" w:cs="Arial"/>
          <w:bCs/>
          <w:sz w:val="22"/>
          <w:szCs w:val="22"/>
          <w:lang w:val="en-US"/>
        </w:rPr>
        <w:t>.</w:t>
      </w:r>
      <w:r w:rsidRPr="00663DAC">
        <w:rPr>
          <w:rFonts w:ascii="Arial" w:hAnsi="Arial" w:cs="Arial"/>
          <w:bCs/>
          <w:sz w:val="22"/>
          <w:szCs w:val="22"/>
          <w:lang w:val="en-US"/>
        </w:rPr>
        <w:t xml:space="preserve"> 2023. Guidelines for the zoning of rock massifs with potential reactivity (MRRX), Santiago-Chile,</w:t>
      </w:r>
      <w:r w:rsidR="008A1E36" w:rsidRPr="00663DAC">
        <w:rPr>
          <w:rFonts w:ascii="Arial" w:hAnsi="Arial" w:cs="Arial"/>
          <w:bCs/>
          <w:sz w:val="22"/>
          <w:szCs w:val="22"/>
          <w:lang w:val="en-US"/>
        </w:rPr>
        <w:t xml:space="preserve"> </w:t>
      </w:r>
      <w:r w:rsidRPr="00663DAC">
        <w:rPr>
          <w:rFonts w:ascii="Arial" w:hAnsi="Arial" w:cs="Arial"/>
          <w:bCs/>
          <w:sz w:val="22"/>
          <w:szCs w:val="22"/>
          <w:lang w:val="en-US"/>
        </w:rPr>
        <w:t>p. 3.</w:t>
      </w:r>
    </w:p>
    <w:p w14:paraId="7252B925" w14:textId="2E3D8F8B" w:rsidR="007240E0" w:rsidRPr="00BC1DFC" w:rsidRDefault="007240E0" w:rsidP="007240E0">
      <w:pPr>
        <w:ind w:left="142" w:hanging="142"/>
        <w:jc w:val="both"/>
        <w:rPr>
          <w:rFonts w:ascii="Arial" w:hAnsi="Arial" w:cs="Arial"/>
          <w:bCs/>
          <w:sz w:val="22"/>
          <w:szCs w:val="22"/>
          <w:lang w:val="es-PE"/>
        </w:rPr>
      </w:pPr>
      <w:r w:rsidRPr="00663DAC">
        <w:rPr>
          <w:rFonts w:ascii="Arial" w:hAnsi="Arial" w:cs="Arial"/>
          <w:bCs/>
          <w:sz w:val="22"/>
          <w:szCs w:val="22"/>
          <w:lang w:val="en-US"/>
        </w:rPr>
        <w:t>Enaex Mining Technical Solutions</w:t>
      </w:r>
      <w:r w:rsidR="003E741B" w:rsidRPr="00663DAC">
        <w:rPr>
          <w:rFonts w:ascii="Arial" w:hAnsi="Arial" w:cs="Arial"/>
          <w:bCs/>
          <w:sz w:val="22"/>
          <w:szCs w:val="22"/>
          <w:lang w:val="en-US"/>
        </w:rPr>
        <w:t>.</w:t>
      </w:r>
      <w:r w:rsidRPr="00663DAC">
        <w:rPr>
          <w:rFonts w:ascii="Arial" w:hAnsi="Arial" w:cs="Arial"/>
          <w:bCs/>
          <w:sz w:val="22"/>
          <w:szCs w:val="22"/>
          <w:lang w:val="en-US"/>
        </w:rPr>
        <w:t xml:space="preserve"> 2024a. </w:t>
      </w:r>
      <w:r w:rsidRPr="00BC1DFC">
        <w:rPr>
          <w:rFonts w:ascii="Arial" w:hAnsi="Arial" w:cs="Arial"/>
          <w:bCs/>
          <w:sz w:val="22"/>
          <w:szCs w:val="22"/>
          <w:lang w:val="es-PE"/>
        </w:rPr>
        <w:t>Tratamiento mecánico y análisis químico de muestras para estudio de reactividad, Santiago-Chile, p. 3-4.</w:t>
      </w:r>
    </w:p>
    <w:p w14:paraId="1A3592DC" w14:textId="3A711FC4" w:rsidR="007240E0" w:rsidRPr="00663DAC" w:rsidRDefault="007240E0" w:rsidP="007240E0">
      <w:pPr>
        <w:ind w:left="142" w:hanging="142"/>
        <w:jc w:val="both"/>
        <w:rPr>
          <w:rFonts w:ascii="Arial" w:hAnsi="Arial" w:cs="Arial"/>
          <w:bCs/>
          <w:sz w:val="22"/>
          <w:szCs w:val="22"/>
          <w:lang w:val="en-US"/>
        </w:rPr>
      </w:pPr>
      <w:r w:rsidRPr="00663DAC">
        <w:rPr>
          <w:rFonts w:ascii="Arial" w:hAnsi="Arial" w:cs="Arial"/>
          <w:bCs/>
          <w:sz w:val="22"/>
          <w:szCs w:val="22"/>
          <w:lang w:val="en-US"/>
        </w:rPr>
        <w:t>Enaex Mining Technical Solutions</w:t>
      </w:r>
      <w:r w:rsidR="003E741B" w:rsidRPr="00663DAC">
        <w:rPr>
          <w:rFonts w:ascii="Arial" w:hAnsi="Arial" w:cs="Arial"/>
          <w:bCs/>
          <w:sz w:val="22"/>
          <w:szCs w:val="22"/>
          <w:lang w:val="en-US"/>
        </w:rPr>
        <w:t>.</w:t>
      </w:r>
      <w:r w:rsidRPr="00663DAC">
        <w:rPr>
          <w:rFonts w:ascii="Arial" w:hAnsi="Arial" w:cs="Arial"/>
          <w:bCs/>
          <w:sz w:val="22"/>
          <w:szCs w:val="22"/>
          <w:lang w:val="en-US"/>
        </w:rPr>
        <w:t xml:space="preserve"> 2024b. Tests with blastshield sleeves for drill hole protection, Santiago-Chile, p. 5.</w:t>
      </w:r>
    </w:p>
    <w:p w14:paraId="3F9FAC7C" w14:textId="77777777" w:rsidR="00975533" w:rsidRPr="00663DAC" w:rsidRDefault="00975533" w:rsidP="004F4CB1">
      <w:pPr>
        <w:jc w:val="both"/>
        <w:rPr>
          <w:rFonts w:ascii="Arial" w:hAnsi="Arial" w:cs="Arial"/>
          <w:bCs/>
          <w:sz w:val="22"/>
          <w:szCs w:val="22"/>
          <w:lang w:val="en-US"/>
        </w:rPr>
      </w:pPr>
    </w:p>
    <w:p w14:paraId="1B344676" w14:textId="0B15FABF" w:rsidR="00D82B85" w:rsidRPr="000270E6" w:rsidRDefault="001E0EBF"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Jorge Luis Cardenas Miranda</w:t>
      </w:r>
      <w:r w:rsidR="00663DAC">
        <w:rPr>
          <w:rFonts w:ascii="Arial" w:hAnsi="Arial" w:cs="Arial"/>
          <w:bCs/>
          <w:sz w:val="22"/>
          <w:szCs w:val="22"/>
          <w:lang w:val="es-PE"/>
        </w:rPr>
        <w:t xml:space="preserve"> (1)</w:t>
      </w:r>
    </w:p>
    <w:p w14:paraId="593CF034" w14:textId="41B422DC" w:rsidR="00180629" w:rsidRDefault="00E47A0D" w:rsidP="00E47A0D">
      <w:pPr>
        <w:widowControl w:val="0"/>
        <w:autoSpaceDE w:val="0"/>
        <w:autoSpaceDN w:val="0"/>
        <w:adjustRightInd w:val="0"/>
        <w:jc w:val="both"/>
        <w:rPr>
          <w:rFonts w:ascii="Arial" w:hAnsi="Arial" w:cs="Arial"/>
          <w:sz w:val="22"/>
          <w:szCs w:val="22"/>
          <w:lang w:val="es-ES_tradnl"/>
        </w:rPr>
      </w:pP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ctualmente cursa un MBA en Centrum Católica</w:t>
      </w:r>
      <w:r>
        <w:rPr>
          <w:rFonts w:ascii="Arial" w:hAnsi="Arial" w:cs="Arial"/>
          <w:sz w:val="22"/>
          <w:szCs w:val="22"/>
          <w:lang w:val="es-ES_tradnl"/>
        </w:rPr>
        <w:t>.</w:t>
      </w:r>
    </w:p>
    <w:p w14:paraId="58BDF921" w14:textId="4C731164" w:rsidR="00DF7556" w:rsidRPr="00DF7556" w:rsidRDefault="00DF7556" w:rsidP="00975533">
      <w:pPr>
        <w:widowControl w:val="0"/>
        <w:autoSpaceDE w:val="0"/>
        <w:autoSpaceDN w:val="0"/>
        <w:adjustRightInd w:val="0"/>
        <w:rPr>
          <w:rFonts w:ascii="Arial" w:hAnsi="Arial" w:cs="Arial"/>
          <w:sz w:val="22"/>
          <w:szCs w:val="22"/>
          <w:lang w:val="es-PE"/>
        </w:rPr>
      </w:pPr>
      <w:r w:rsidRPr="00DF7556">
        <w:rPr>
          <w:rFonts w:ascii="Arial" w:hAnsi="Arial" w:cs="Arial"/>
          <w:sz w:val="22"/>
          <w:szCs w:val="22"/>
          <w:lang w:val="es-PE"/>
        </w:rPr>
        <w:lastRenderedPageBreak/>
        <w:t>Anaani Jhucynd Huaman Alcántara</w:t>
      </w:r>
      <w:r w:rsidR="00663DAC">
        <w:rPr>
          <w:rFonts w:ascii="Arial" w:hAnsi="Arial" w:cs="Arial"/>
          <w:sz w:val="22"/>
          <w:szCs w:val="22"/>
          <w:lang w:val="es-PE"/>
        </w:rPr>
        <w:t xml:space="preserve"> (2)</w:t>
      </w:r>
    </w:p>
    <w:p w14:paraId="7C7F6B3F" w14:textId="311B176D" w:rsidR="00E84004" w:rsidRPr="000270E6" w:rsidRDefault="00D82B85" w:rsidP="00D82B85">
      <w:pPr>
        <w:jc w:val="both"/>
        <w:rPr>
          <w:rFonts w:ascii="Arial" w:hAnsi="Arial" w:cs="Arial"/>
          <w:bCs/>
          <w:sz w:val="22"/>
          <w:szCs w:val="22"/>
          <w:lang w:val="es-PE"/>
        </w:rPr>
      </w:pPr>
      <w:r w:rsidRPr="00D82B85">
        <w:rPr>
          <w:rFonts w:ascii="Arial" w:hAnsi="Arial" w:cs="Arial"/>
          <w:bCs/>
          <w:sz w:val="22"/>
          <w:szCs w:val="22"/>
          <w:lang w:val="es-PE"/>
        </w:rPr>
        <w:t xml:space="preserve">Ingeniera de minas egresada de la Universidad Privada del Norte, con más de 7 años de experiencia en perforación y voladura en minas atajo abierto en Perú. Ha liderado proyectos de optimización de diseños de perforación y voladura evaluando su impacto en procesos planta, así como </w:t>
      </w:r>
      <w:r w:rsidRPr="00D82B85">
        <w:rPr>
          <w:rFonts w:ascii="Arial" w:hAnsi="Arial" w:cs="Arial"/>
          <w:bCs/>
          <w:sz w:val="22"/>
          <w:szCs w:val="22"/>
          <w:lang w:val="es-PE"/>
        </w:rPr>
        <w:t>proyectos de wall control e implementación de tecnologías que agregan valor en la cadena productiva.</w:t>
      </w: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574E180D" w14:textId="77777777" w:rsidR="000270E6" w:rsidRPr="000270E6" w:rsidRDefault="000270E6" w:rsidP="000D0847">
      <w:pPr>
        <w:spacing w:line="480" w:lineRule="auto"/>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2650" w14:textId="77777777" w:rsidR="00E2132F" w:rsidRDefault="00E2132F" w:rsidP="004D469A">
      <w:r>
        <w:separator/>
      </w:r>
    </w:p>
  </w:endnote>
  <w:endnote w:type="continuationSeparator" w:id="0">
    <w:p w14:paraId="03D7A853" w14:textId="77777777" w:rsidR="00E2132F" w:rsidRDefault="00E2132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CDDA" w14:textId="77777777" w:rsidR="00E2132F" w:rsidRDefault="00E2132F" w:rsidP="004D469A">
      <w:r>
        <w:separator/>
      </w:r>
    </w:p>
  </w:footnote>
  <w:footnote w:type="continuationSeparator" w:id="0">
    <w:p w14:paraId="56B77D5B" w14:textId="77777777" w:rsidR="00E2132F" w:rsidRDefault="00E2132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665"/>
    <w:multiLevelType w:val="multilevel"/>
    <w:tmpl w:val="B5D67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84120E"/>
    <w:multiLevelType w:val="multilevel"/>
    <w:tmpl w:val="C54EB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2E84506"/>
    <w:multiLevelType w:val="multilevel"/>
    <w:tmpl w:val="840C4D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C3628"/>
    <w:multiLevelType w:val="hybridMultilevel"/>
    <w:tmpl w:val="B0F09E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2147238340">
    <w:abstractNumId w:val="1"/>
  </w:num>
  <w:num w:numId="3" w16cid:durableId="575437929">
    <w:abstractNumId w:val="2"/>
  </w:num>
  <w:num w:numId="4" w16cid:durableId="1916164208">
    <w:abstractNumId w:val="0"/>
  </w:num>
  <w:num w:numId="5" w16cid:durableId="407576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720D0"/>
    <w:rsid w:val="0009392A"/>
    <w:rsid w:val="000973F9"/>
    <w:rsid w:val="000A177C"/>
    <w:rsid w:val="000A4FB0"/>
    <w:rsid w:val="000A599E"/>
    <w:rsid w:val="000B39B6"/>
    <w:rsid w:val="000B54FF"/>
    <w:rsid w:val="000B788F"/>
    <w:rsid w:val="000D0847"/>
    <w:rsid w:val="000D0B73"/>
    <w:rsid w:val="000D0D3A"/>
    <w:rsid w:val="000E010F"/>
    <w:rsid w:val="000F3514"/>
    <w:rsid w:val="001165BD"/>
    <w:rsid w:val="00122588"/>
    <w:rsid w:val="00134BD0"/>
    <w:rsid w:val="00140898"/>
    <w:rsid w:val="00150E01"/>
    <w:rsid w:val="00156239"/>
    <w:rsid w:val="00157B84"/>
    <w:rsid w:val="001605BA"/>
    <w:rsid w:val="001640AE"/>
    <w:rsid w:val="00180629"/>
    <w:rsid w:val="0018131B"/>
    <w:rsid w:val="00191841"/>
    <w:rsid w:val="001928B8"/>
    <w:rsid w:val="00192B77"/>
    <w:rsid w:val="001A607C"/>
    <w:rsid w:val="001A6DCD"/>
    <w:rsid w:val="001B2427"/>
    <w:rsid w:val="001B3D61"/>
    <w:rsid w:val="001D0826"/>
    <w:rsid w:val="001D5AA2"/>
    <w:rsid w:val="001D7C8D"/>
    <w:rsid w:val="001E0EBF"/>
    <w:rsid w:val="001E2A7A"/>
    <w:rsid w:val="001E5A6E"/>
    <w:rsid w:val="001F29ED"/>
    <w:rsid w:val="001F54F6"/>
    <w:rsid w:val="001F576C"/>
    <w:rsid w:val="001F63C4"/>
    <w:rsid w:val="001F7167"/>
    <w:rsid w:val="00205A18"/>
    <w:rsid w:val="00210B88"/>
    <w:rsid w:val="002201FE"/>
    <w:rsid w:val="00232224"/>
    <w:rsid w:val="002419CB"/>
    <w:rsid w:val="002525E1"/>
    <w:rsid w:val="00252EB0"/>
    <w:rsid w:val="002641B3"/>
    <w:rsid w:val="0027617F"/>
    <w:rsid w:val="00292CAD"/>
    <w:rsid w:val="002A29DF"/>
    <w:rsid w:val="002A4C2A"/>
    <w:rsid w:val="002A5DFE"/>
    <w:rsid w:val="002A766D"/>
    <w:rsid w:val="002B26C7"/>
    <w:rsid w:val="002B2E42"/>
    <w:rsid w:val="002B5475"/>
    <w:rsid w:val="002C33E1"/>
    <w:rsid w:val="002C3EBB"/>
    <w:rsid w:val="002D1C36"/>
    <w:rsid w:val="002D240B"/>
    <w:rsid w:val="00307578"/>
    <w:rsid w:val="00314F9E"/>
    <w:rsid w:val="00324786"/>
    <w:rsid w:val="00337295"/>
    <w:rsid w:val="00344C46"/>
    <w:rsid w:val="0035076E"/>
    <w:rsid w:val="003608C3"/>
    <w:rsid w:val="00363841"/>
    <w:rsid w:val="0036489F"/>
    <w:rsid w:val="00381D7F"/>
    <w:rsid w:val="003B66C8"/>
    <w:rsid w:val="003B6E44"/>
    <w:rsid w:val="003B74FB"/>
    <w:rsid w:val="003C1502"/>
    <w:rsid w:val="003C6D44"/>
    <w:rsid w:val="003C7EA2"/>
    <w:rsid w:val="003D0F23"/>
    <w:rsid w:val="003D271C"/>
    <w:rsid w:val="003D3A4A"/>
    <w:rsid w:val="003E741B"/>
    <w:rsid w:val="003F080D"/>
    <w:rsid w:val="003F11EB"/>
    <w:rsid w:val="003F27FE"/>
    <w:rsid w:val="00404C3C"/>
    <w:rsid w:val="0040606A"/>
    <w:rsid w:val="00407BC2"/>
    <w:rsid w:val="00427100"/>
    <w:rsid w:val="0043413E"/>
    <w:rsid w:val="00436119"/>
    <w:rsid w:val="00437503"/>
    <w:rsid w:val="00441B34"/>
    <w:rsid w:val="00445BC3"/>
    <w:rsid w:val="00446E15"/>
    <w:rsid w:val="0044782C"/>
    <w:rsid w:val="004537D8"/>
    <w:rsid w:val="00460D0B"/>
    <w:rsid w:val="00480894"/>
    <w:rsid w:val="00486035"/>
    <w:rsid w:val="00493C85"/>
    <w:rsid w:val="004A163F"/>
    <w:rsid w:val="004A19A6"/>
    <w:rsid w:val="004A3665"/>
    <w:rsid w:val="004B1948"/>
    <w:rsid w:val="004B4A18"/>
    <w:rsid w:val="004B4C0C"/>
    <w:rsid w:val="004B5FEB"/>
    <w:rsid w:val="004C3B69"/>
    <w:rsid w:val="004C5331"/>
    <w:rsid w:val="004D0689"/>
    <w:rsid w:val="004D10DA"/>
    <w:rsid w:val="004D469A"/>
    <w:rsid w:val="004D59AC"/>
    <w:rsid w:val="004E233B"/>
    <w:rsid w:val="004F4CB1"/>
    <w:rsid w:val="004F5524"/>
    <w:rsid w:val="00502313"/>
    <w:rsid w:val="005218B6"/>
    <w:rsid w:val="00522C8C"/>
    <w:rsid w:val="00536824"/>
    <w:rsid w:val="00540DB5"/>
    <w:rsid w:val="005449A2"/>
    <w:rsid w:val="005505E2"/>
    <w:rsid w:val="00556289"/>
    <w:rsid w:val="00557B2C"/>
    <w:rsid w:val="005631EB"/>
    <w:rsid w:val="005654F0"/>
    <w:rsid w:val="005851A8"/>
    <w:rsid w:val="005A352B"/>
    <w:rsid w:val="005B08EB"/>
    <w:rsid w:val="005C4915"/>
    <w:rsid w:val="005D673A"/>
    <w:rsid w:val="005E3684"/>
    <w:rsid w:val="005F0FB0"/>
    <w:rsid w:val="00602F50"/>
    <w:rsid w:val="00603BC6"/>
    <w:rsid w:val="006050E9"/>
    <w:rsid w:val="00611803"/>
    <w:rsid w:val="006178C0"/>
    <w:rsid w:val="00622FDA"/>
    <w:rsid w:val="00631DC1"/>
    <w:rsid w:val="006423FA"/>
    <w:rsid w:val="00645FA1"/>
    <w:rsid w:val="006500D2"/>
    <w:rsid w:val="00650F70"/>
    <w:rsid w:val="006535A5"/>
    <w:rsid w:val="0065628C"/>
    <w:rsid w:val="00656343"/>
    <w:rsid w:val="00661FE9"/>
    <w:rsid w:val="00663DAC"/>
    <w:rsid w:val="00671435"/>
    <w:rsid w:val="00671ED9"/>
    <w:rsid w:val="006833D8"/>
    <w:rsid w:val="00695939"/>
    <w:rsid w:val="006975E0"/>
    <w:rsid w:val="006A12C3"/>
    <w:rsid w:val="006C188D"/>
    <w:rsid w:val="006D0F12"/>
    <w:rsid w:val="006D256B"/>
    <w:rsid w:val="006D43F2"/>
    <w:rsid w:val="006D560E"/>
    <w:rsid w:val="006E49B3"/>
    <w:rsid w:val="006F2731"/>
    <w:rsid w:val="006F6A1B"/>
    <w:rsid w:val="006F7FF3"/>
    <w:rsid w:val="00707530"/>
    <w:rsid w:val="00712097"/>
    <w:rsid w:val="007150A0"/>
    <w:rsid w:val="00720C40"/>
    <w:rsid w:val="007240E0"/>
    <w:rsid w:val="00724ED8"/>
    <w:rsid w:val="0072535F"/>
    <w:rsid w:val="007373B8"/>
    <w:rsid w:val="00737A8F"/>
    <w:rsid w:val="007433CA"/>
    <w:rsid w:val="00751F0F"/>
    <w:rsid w:val="00755D2F"/>
    <w:rsid w:val="007739C1"/>
    <w:rsid w:val="00780DB8"/>
    <w:rsid w:val="007937FD"/>
    <w:rsid w:val="007A1D98"/>
    <w:rsid w:val="007A6CA6"/>
    <w:rsid w:val="007B0955"/>
    <w:rsid w:val="007B5A3A"/>
    <w:rsid w:val="007B6BEA"/>
    <w:rsid w:val="007C23EB"/>
    <w:rsid w:val="007D2A73"/>
    <w:rsid w:val="007F4EC2"/>
    <w:rsid w:val="007F5F63"/>
    <w:rsid w:val="00801EF5"/>
    <w:rsid w:val="0080535A"/>
    <w:rsid w:val="00806B88"/>
    <w:rsid w:val="00814400"/>
    <w:rsid w:val="008206B5"/>
    <w:rsid w:val="0083236A"/>
    <w:rsid w:val="00836571"/>
    <w:rsid w:val="00837CF7"/>
    <w:rsid w:val="008401EB"/>
    <w:rsid w:val="00846114"/>
    <w:rsid w:val="0085424E"/>
    <w:rsid w:val="00854AC0"/>
    <w:rsid w:val="0085544B"/>
    <w:rsid w:val="008621F2"/>
    <w:rsid w:val="00862C5C"/>
    <w:rsid w:val="0087565A"/>
    <w:rsid w:val="008764A7"/>
    <w:rsid w:val="008804AB"/>
    <w:rsid w:val="008866D5"/>
    <w:rsid w:val="00892562"/>
    <w:rsid w:val="00893B4D"/>
    <w:rsid w:val="008A1E36"/>
    <w:rsid w:val="008B48C8"/>
    <w:rsid w:val="008C3927"/>
    <w:rsid w:val="008C4AB3"/>
    <w:rsid w:val="008D7EFD"/>
    <w:rsid w:val="008E7093"/>
    <w:rsid w:val="00904E24"/>
    <w:rsid w:val="009148C8"/>
    <w:rsid w:val="00937A65"/>
    <w:rsid w:val="009430D9"/>
    <w:rsid w:val="00943CA8"/>
    <w:rsid w:val="00946EE8"/>
    <w:rsid w:val="00947BC2"/>
    <w:rsid w:val="00957CBE"/>
    <w:rsid w:val="00975533"/>
    <w:rsid w:val="009831B8"/>
    <w:rsid w:val="009A0C75"/>
    <w:rsid w:val="009A68FA"/>
    <w:rsid w:val="009B19B2"/>
    <w:rsid w:val="009C4401"/>
    <w:rsid w:val="009D3326"/>
    <w:rsid w:val="009D7B7E"/>
    <w:rsid w:val="009E12DE"/>
    <w:rsid w:val="009E3508"/>
    <w:rsid w:val="00A05DB9"/>
    <w:rsid w:val="00A06D7F"/>
    <w:rsid w:val="00A100E4"/>
    <w:rsid w:val="00A14F68"/>
    <w:rsid w:val="00A175F5"/>
    <w:rsid w:val="00A201D7"/>
    <w:rsid w:val="00A25141"/>
    <w:rsid w:val="00A26ADA"/>
    <w:rsid w:val="00A370F9"/>
    <w:rsid w:val="00A41007"/>
    <w:rsid w:val="00A47944"/>
    <w:rsid w:val="00A534CB"/>
    <w:rsid w:val="00A61394"/>
    <w:rsid w:val="00A63A13"/>
    <w:rsid w:val="00A64A25"/>
    <w:rsid w:val="00A7189F"/>
    <w:rsid w:val="00A72724"/>
    <w:rsid w:val="00A72F02"/>
    <w:rsid w:val="00A9689C"/>
    <w:rsid w:val="00AA73E2"/>
    <w:rsid w:val="00AB5936"/>
    <w:rsid w:val="00AE6C05"/>
    <w:rsid w:val="00AF0749"/>
    <w:rsid w:val="00AF19C7"/>
    <w:rsid w:val="00AF2A3B"/>
    <w:rsid w:val="00AF3FFE"/>
    <w:rsid w:val="00AF51EF"/>
    <w:rsid w:val="00B12D23"/>
    <w:rsid w:val="00B37EDA"/>
    <w:rsid w:val="00B43E63"/>
    <w:rsid w:val="00B529EF"/>
    <w:rsid w:val="00B53F71"/>
    <w:rsid w:val="00B656AE"/>
    <w:rsid w:val="00B75134"/>
    <w:rsid w:val="00B87F71"/>
    <w:rsid w:val="00BA086E"/>
    <w:rsid w:val="00BA65D9"/>
    <w:rsid w:val="00BC1DFC"/>
    <w:rsid w:val="00BC4D43"/>
    <w:rsid w:val="00BD20B8"/>
    <w:rsid w:val="00BE5C0D"/>
    <w:rsid w:val="00BF491E"/>
    <w:rsid w:val="00C15BEA"/>
    <w:rsid w:val="00C16E45"/>
    <w:rsid w:val="00C17BFC"/>
    <w:rsid w:val="00C200FC"/>
    <w:rsid w:val="00C249F1"/>
    <w:rsid w:val="00C37063"/>
    <w:rsid w:val="00C41CD8"/>
    <w:rsid w:val="00C542F2"/>
    <w:rsid w:val="00C5716B"/>
    <w:rsid w:val="00C84776"/>
    <w:rsid w:val="00C90451"/>
    <w:rsid w:val="00C90525"/>
    <w:rsid w:val="00CA0264"/>
    <w:rsid w:val="00CA251C"/>
    <w:rsid w:val="00CA3055"/>
    <w:rsid w:val="00CA54CA"/>
    <w:rsid w:val="00CB3683"/>
    <w:rsid w:val="00CB609F"/>
    <w:rsid w:val="00CD32FC"/>
    <w:rsid w:val="00CD49AC"/>
    <w:rsid w:val="00CE075D"/>
    <w:rsid w:val="00D07BEB"/>
    <w:rsid w:val="00D10F1D"/>
    <w:rsid w:val="00D24BB2"/>
    <w:rsid w:val="00D30982"/>
    <w:rsid w:val="00D32D5A"/>
    <w:rsid w:val="00D34811"/>
    <w:rsid w:val="00D409A3"/>
    <w:rsid w:val="00D51C86"/>
    <w:rsid w:val="00D5647F"/>
    <w:rsid w:val="00D5735B"/>
    <w:rsid w:val="00D574EF"/>
    <w:rsid w:val="00D7158F"/>
    <w:rsid w:val="00D71E58"/>
    <w:rsid w:val="00D7587E"/>
    <w:rsid w:val="00D75CDB"/>
    <w:rsid w:val="00D82B85"/>
    <w:rsid w:val="00D8315E"/>
    <w:rsid w:val="00D83464"/>
    <w:rsid w:val="00D91BF7"/>
    <w:rsid w:val="00DA0C5C"/>
    <w:rsid w:val="00DA2ABC"/>
    <w:rsid w:val="00DB480E"/>
    <w:rsid w:val="00DB59E7"/>
    <w:rsid w:val="00DC43A7"/>
    <w:rsid w:val="00DD0E73"/>
    <w:rsid w:val="00DD120D"/>
    <w:rsid w:val="00DD4AA5"/>
    <w:rsid w:val="00DE7751"/>
    <w:rsid w:val="00DF452E"/>
    <w:rsid w:val="00DF7556"/>
    <w:rsid w:val="00DF7695"/>
    <w:rsid w:val="00E15745"/>
    <w:rsid w:val="00E2132F"/>
    <w:rsid w:val="00E32E93"/>
    <w:rsid w:val="00E34AB3"/>
    <w:rsid w:val="00E40A60"/>
    <w:rsid w:val="00E43779"/>
    <w:rsid w:val="00E46A59"/>
    <w:rsid w:val="00E47A0D"/>
    <w:rsid w:val="00E50EFD"/>
    <w:rsid w:val="00E529E4"/>
    <w:rsid w:val="00E6681A"/>
    <w:rsid w:val="00E70586"/>
    <w:rsid w:val="00E77D13"/>
    <w:rsid w:val="00E84004"/>
    <w:rsid w:val="00E8677B"/>
    <w:rsid w:val="00E90AB0"/>
    <w:rsid w:val="00E91397"/>
    <w:rsid w:val="00E914DF"/>
    <w:rsid w:val="00E915D1"/>
    <w:rsid w:val="00EA4DE5"/>
    <w:rsid w:val="00EA6813"/>
    <w:rsid w:val="00EA7F98"/>
    <w:rsid w:val="00EB70A3"/>
    <w:rsid w:val="00EC3235"/>
    <w:rsid w:val="00EC5D28"/>
    <w:rsid w:val="00ED4000"/>
    <w:rsid w:val="00EE71EA"/>
    <w:rsid w:val="00F025B2"/>
    <w:rsid w:val="00F120BB"/>
    <w:rsid w:val="00F17BB0"/>
    <w:rsid w:val="00F26353"/>
    <w:rsid w:val="00F27372"/>
    <w:rsid w:val="00F33CE1"/>
    <w:rsid w:val="00F40CD7"/>
    <w:rsid w:val="00F42294"/>
    <w:rsid w:val="00F4781B"/>
    <w:rsid w:val="00F5238F"/>
    <w:rsid w:val="00F54F9D"/>
    <w:rsid w:val="00F67DD6"/>
    <w:rsid w:val="00F702E2"/>
    <w:rsid w:val="00F7409F"/>
    <w:rsid w:val="00F83459"/>
    <w:rsid w:val="00F857C3"/>
    <w:rsid w:val="00F87168"/>
    <w:rsid w:val="00F90379"/>
    <w:rsid w:val="00F93E21"/>
    <w:rsid w:val="00F97E1E"/>
    <w:rsid w:val="00FA0973"/>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table" w:styleId="Tablanormal2">
    <w:name w:val="Plain Table 2"/>
    <w:basedOn w:val="Tablanormal"/>
    <w:uiPriority w:val="42"/>
    <w:rsid w:val="00814400"/>
    <w:rPr>
      <w:rFonts w:ascii="Times New Roman" w:eastAsia="Times New Roman" w:hAnsi="Times New Roman"/>
      <w:lang w:val="tr-TR" w:eastAsia="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C16E45"/>
    <w:pPr>
      <w:ind w:left="720"/>
      <w:contextualSpacing/>
    </w:pPr>
  </w:style>
  <w:style w:type="character" w:styleId="Mencinsinresolver">
    <w:name w:val="Unresolved Mention"/>
    <w:basedOn w:val="Fuentedeprrafopredeter"/>
    <w:uiPriority w:val="99"/>
    <w:semiHidden/>
    <w:unhideWhenUsed/>
    <w:rsid w:val="00F33CE1"/>
    <w:rPr>
      <w:color w:val="605E5C"/>
      <w:shd w:val="clear" w:color="auto" w:fill="E1DFDD"/>
    </w:rPr>
  </w:style>
  <w:style w:type="table" w:styleId="Tablanormal1">
    <w:name w:val="Plain Table 1"/>
    <w:basedOn w:val="Tablanormal"/>
    <w:uiPriority w:val="41"/>
    <w:rsid w:val="001640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2140">
      <w:bodyDiv w:val="1"/>
      <w:marLeft w:val="0"/>
      <w:marRight w:val="0"/>
      <w:marTop w:val="0"/>
      <w:marBottom w:val="0"/>
      <w:divBdr>
        <w:top w:val="none" w:sz="0" w:space="0" w:color="auto"/>
        <w:left w:val="none" w:sz="0" w:space="0" w:color="auto"/>
        <w:bottom w:val="none" w:sz="0" w:space="0" w:color="auto"/>
        <w:right w:val="none" w:sz="0" w:space="0" w:color="auto"/>
      </w:divBdr>
    </w:div>
    <w:div w:id="67699783">
      <w:bodyDiv w:val="1"/>
      <w:marLeft w:val="0"/>
      <w:marRight w:val="0"/>
      <w:marTop w:val="0"/>
      <w:marBottom w:val="0"/>
      <w:divBdr>
        <w:top w:val="none" w:sz="0" w:space="0" w:color="auto"/>
        <w:left w:val="none" w:sz="0" w:space="0" w:color="auto"/>
        <w:bottom w:val="none" w:sz="0" w:space="0" w:color="auto"/>
        <w:right w:val="none" w:sz="0" w:space="0" w:color="auto"/>
      </w:divBdr>
    </w:div>
    <w:div w:id="155999033">
      <w:bodyDiv w:val="1"/>
      <w:marLeft w:val="0"/>
      <w:marRight w:val="0"/>
      <w:marTop w:val="0"/>
      <w:marBottom w:val="0"/>
      <w:divBdr>
        <w:top w:val="none" w:sz="0" w:space="0" w:color="auto"/>
        <w:left w:val="none" w:sz="0" w:space="0" w:color="auto"/>
        <w:bottom w:val="none" w:sz="0" w:space="0" w:color="auto"/>
        <w:right w:val="none" w:sz="0" w:space="0" w:color="auto"/>
      </w:divBdr>
    </w:div>
    <w:div w:id="368724326">
      <w:bodyDiv w:val="1"/>
      <w:marLeft w:val="0"/>
      <w:marRight w:val="0"/>
      <w:marTop w:val="0"/>
      <w:marBottom w:val="0"/>
      <w:divBdr>
        <w:top w:val="none" w:sz="0" w:space="0" w:color="auto"/>
        <w:left w:val="none" w:sz="0" w:space="0" w:color="auto"/>
        <w:bottom w:val="none" w:sz="0" w:space="0" w:color="auto"/>
        <w:right w:val="none" w:sz="0" w:space="0" w:color="auto"/>
      </w:divBdr>
    </w:div>
    <w:div w:id="381173236">
      <w:bodyDiv w:val="1"/>
      <w:marLeft w:val="0"/>
      <w:marRight w:val="0"/>
      <w:marTop w:val="0"/>
      <w:marBottom w:val="0"/>
      <w:divBdr>
        <w:top w:val="none" w:sz="0" w:space="0" w:color="auto"/>
        <w:left w:val="none" w:sz="0" w:space="0" w:color="auto"/>
        <w:bottom w:val="none" w:sz="0" w:space="0" w:color="auto"/>
        <w:right w:val="none" w:sz="0" w:space="0" w:color="auto"/>
      </w:divBdr>
    </w:div>
    <w:div w:id="430318077">
      <w:bodyDiv w:val="1"/>
      <w:marLeft w:val="0"/>
      <w:marRight w:val="0"/>
      <w:marTop w:val="0"/>
      <w:marBottom w:val="0"/>
      <w:divBdr>
        <w:top w:val="none" w:sz="0" w:space="0" w:color="auto"/>
        <w:left w:val="none" w:sz="0" w:space="0" w:color="auto"/>
        <w:bottom w:val="none" w:sz="0" w:space="0" w:color="auto"/>
        <w:right w:val="none" w:sz="0" w:space="0" w:color="auto"/>
      </w:divBdr>
    </w:div>
    <w:div w:id="484049715">
      <w:bodyDiv w:val="1"/>
      <w:marLeft w:val="0"/>
      <w:marRight w:val="0"/>
      <w:marTop w:val="0"/>
      <w:marBottom w:val="0"/>
      <w:divBdr>
        <w:top w:val="none" w:sz="0" w:space="0" w:color="auto"/>
        <w:left w:val="none" w:sz="0" w:space="0" w:color="auto"/>
        <w:bottom w:val="none" w:sz="0" w:space="0" w:color="auto"/>
        <w:right w:val="none" w:sz="0" w:space="0" w:color="auto"/>
      </w:divBdr>
    </w:div>
    <w:div w:id="548230113">
      <w:bodyDiv w:val="1"/>
      <w:marLeft w:val="0"/>
      <w:marRight w:val="0"/>
      <w:marTop w:val="0"/>
      <w:marBottom w:val="0"/>
      <w:divBdr>
        <w:top w:val="none" w:sz="0" w:space="0" w:color="auto"/>
        <w:left w:val="none" w:sz="0" w:space="0" w:color="auto"/>
        <w:bottom w:val="none" w:sz="0" w:space="0" w:color="auto"/>
        <w:right w:val="none" w:sz="0" w:space="0" w:color="auto"/>
      </w:divBdr>
    </w:div>
    <w:div w:id="568540128">
      <w:bodyDiv w:val="1"/>
      <w:marLeft w:val="0"/>
      <w:marRight w:val="0"/>
      <w:marTop w:val="0"/>
      <w:marBottom w:val="0"/>
      <w:divBdr>
        <w:top w:val="none" w:sz="0" w:space="0" w:color="auto"/>
        <w:left w:val="none" w:sz="0" w:space="0" w:color="auto"/>
        <w:bottom w:val="none" w:sz="0" w:space="0" w:color="auto"/>
        <w:right w:val="none" w:sz="0" w:space="0" w:color="auto"/>
      </w:divBdr>
    </w:div>
    <w:div w:id="588781212">
      <w:bodyDiv w:val="1"/>
      <w:marLeft w:val="0"/>
      <w:marRight w:val="0"/>
      <w:marTop w:val="0"/>
      <w:marBottom w:val="0"/>
      <w:divBdr>
        <w:top w:val="none" w:sz="0" w:space="0" w:color="auto"/>
        <w:left w:val="none" w:sz="0" w:space="0" w:color="auto"/>
        <w:bottom w:val="none" w:sz="0" w:space="0" w:color="auto"/>
        <w:right w:val="none" w:sz="0" w:space="0" w:color="auto"/>
      </w:divBdr>
    </w:div>
    <w:div w:id="627006782">
      <w:bodyDiv w:val="1"/>
      <w:marLeft w:val="0"/>
      <w:marRight w:val="0"/>
      <w:marTop w:val="0"/>
      <w:marBottom w:val="0"/>
      <w:divBdr>
        <w:top w:val="none" w:sz="0" w:space="0" w:color="auto"/>
        <w:left w:val="none" w:sz="0" w:space="0" w:color="auto"/>
        <w:bottom w:val="none" w:sz="0" w:space="0" w:color="auto"/>
        <w:right w:val="none" w:sz="0" w:space="0" w:color="auto"/>
      </w:divBdr>
    </w:div>
    <w:div w:id="672268429">
      <w:bodyDiv w:val="1"/>
      <w:marLeft w:val="0"/>
      <w:marRight w:val="0"/>
      <w:marTop w:val="0"/>
      <w:marBottom w:val="0"/>
      <w:divBdr>
        <w:top w:val="none" w:sz="0" w:space="0" w:color="auto"/>
        <w:left w:val="none" w:sz="0" w:space="0" w:color="auto"/>
        <w:bottom w:val="none" w:sz="0" w:space="0" w:color="auto"/>
        <w:right w:val="none" w:sz="0" w:space="0" w:color="auto"/>
      </w:divBdr>
      <w:divsChild>
        <w:div w:id="506866415">
          <w:marLeft w:val="0"/>
          <w:marRight w:val="0"/>
          <w:marTop w:val="0"/>
          <w:marBottom w:val="0"/>
          <w:divBdr>
            <w:top w:val="none" w:sz="0" w:space="0" w:color="auto"/>
            <w:left w:val="none" w:sz="0" w:space="0" w:color="auto"/>
            <w:bottom w:val="none" w:sz="0" w:space="0" w:color="auto"/>
            <w:right w:val="none" w:sz="0" w:space="0" w:color="auto"/>
          </w:divBdr>
          <w:divsChild>
            <w:div w:id="1199078019">
              <w:marLeft w:val="0"/>
              <w:marRight w:val="0"/>
              <w:marTop w:val="0"/>
              <w:marBottom w:val="0"/>
              <w:divBdr>
                <w:top w:val="none" w:sz="0" w:space="0" w:color="auto"/>
                <w:left w:val="none" w:sz="0" w:space="0" w:color="auto"/>
                <w:bottom w:val="none" w:sz="0" w:space="0" w:color="auto"/>
                <w:right w:val="none" w:sz="0" w:space="0" w:color="auto"/>
              </w:divBdr>
              <w:divsChild>
                <w:div w:id="713696490">
                  <w:marLeft w:val="0"/>
                  <w:marRight w:val="0"/>
                  <w:marTop w:val="0"/>
                  <w:marBottom w:val="0"/>
                  <w:divBdr>
                    <w:top w:val="none" w:sz="0" w:space="0" w:color="auto"/>
                    <w:left w:val="none" w:sz="0" w:space="0" w:color="auto"/>
                    <w:bottom w:val="none" w:sz="0" w:space="0" w:color="auto"/>
                    <w:right w:val="none" w:sz="0" w:space="0" w:color="auto"/>
                  </w:divBdr>
                  <w:divsChild>
                    <w:div w:id="423302401">
                      <w:marLeft w:val="0"/>
                      <w:marRight w:val="0"/>
                      <w:marTop w:val="0"/>
                      <w:marBottom w:val="0"/>
                      <w:divBdr>
                        <w:top w:val="none" w:sz="0" w:space="0" w:color="auto"/>
                        <w:left w:val="none" w:sz="0" w:space="0" w:color="auto"/>
                        <w:bottom w:val="none" w:sz="0" w:space="0" w:color="auto"/>
                        <w:right w:val="none" w:sz="0" w:space="0" w:color="auto"/>
                      </w:divBdr>
                      <w:divsChild>
                        <w:div w:id="63260507">
                          <w:marLeft w:val="0"/>
                          <w:marRight w:val="0"/>
                          <w:marTop w:val="0"/>
                          <w:marBottom w:val="0"/>
                          <w:divBdr>
                            <w:top w:val="none" w:sz="0" w:space="0" w:color="auto"/>
                            <w:left w:val="none" w:sz="0" w:space="0" w:color="auto"/>
                            <w:bottom w:val="none" w:sz="0" w:space="0" w:color="auto"/>
                            <w:right w:val="none" w:sz="0" w:space="0" w:color="auto"/>
                          </w:divBdr>
                          <w:divsChild>
                            <w:div w:id="106581157">
                              <w:marLeft w:val="0"/>
                              <w:marRight w:val="0"/>
                              <w:marTop w:val="0"/>
                              <w:marBottom w:val="0"/>
                              <w:divBdr>
                                <w:top w:val="none" w:sz="0" w:space="0" w:color="auto"/>
                                <w:left w:val="none" w:sz="0" w:space="0" w:color="auto"/>
                                <w:bottom w:val="none" w:sz="0" w:space="0" w:color="auto"/>
                                <w:right w:val="none" w:sz="0" w:space="0" w:color="auto"/>
                              </w:divBdr>
                              <w:divsChild>
                                <w:div w:id="308171662">
                                  <w:marLeft w:val="0"/>
                                  <w:marRight w:val="0"/>
                                  <w:marTop w:val="0"/>
                                  <w:marBottom w:val="0"/>
                                  <w:divBdr>
                                    <w:top w:val="none" w:sz="0" w:space="0" w:color="auto"/>
                                    <w:left w:val="none" w:sz="0" w:space="0" w:color="auto"/>
                                    <w:bottom w:val="none" w:sz="0" w:space="0" w:color="auto"/>
                                    <w:right w:val="none" w:sz="0" w:space="0" w:color="auto"/>
                                  </w:divBdr>
                                  <w:divsChild>
                                    <w:div w:id="4123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7908">
                      <w:marLeft w:val="0"/>
                      <w:marRight w:val="0"/>
                      <w:marTop w:val="0"/>
                      <w:marBottom w:val="0"/>
                      <w:divBdr>
                        <w:top w:val="none" w:sz="0" w:space="0" w:color="auto"/>
                        <w:left w:val="none" w:sz="0" w:space="0" w:color="auto"/>
                        <w:bottom w:val="none" w:sz="0" w:space="0" w:color="auto"/>
                        <w:right w:val="none" w:sz="0" w:space="0" w:color="auto"/>
                      </w:divBdr>
                      <w:divsChild>
                        <w:div w:id="16169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63791">
      <w:bodyDiv w:val="1"/>
      <w:marLeft w:val="0"/>
      <w:marRight w:val="0"/>
      <w:marTop w:val="0"/>
      <w:marBottom w:val="0"/>
      <w:divBdr>
        <w:top w:val="none" w:sz="0" w:space="0" w:color="auto"/>
        <w:left w:val="none" w:sz="0" w:space="0" w:color="auto"/>
        <w:bottom w:val="none" w:sz="0" w:space="0" w:color="auto"/>
        <w:right w:val="none" w:sz="0" w:space="0" w:color="auto"/>
      </w:divBdr>
    </w:div>
    <w:div w:id="747310216">
      <w:bodyDiv w:val="1"/>
      <w:marLeft w:val="0"/>
      <w:marRight w:val="0"/>
      <w:marTop w:val="0"/>
      <w:marBottom w:val="0"/>
      <w:divBdr>
        <w:top w:val="none" w:sz="0" w:space="0" w:color="auto"/>
        <w:left w:val="none" w:sz="0" w:space="0" w:color="auto"/>
        <w:bottom w:val="none" w:sz="0" w:space="0" w:color="auto"/>
        <w:right w:val="none" w:sz="0" w:space="0" w:color="auto"/>
      </w:divBdr>
    </w:div>
    <w:div w:id="845284963">
      <w:bodyDiv w:val="1"/>
      <w:marLeft w:val="0"/>
      <w:marRight w:val="0"/>
      <w:marTop w:val="0"/>
      <w:marBottom w:val="0"/>
      <w:divBdr>
        <w:top w:val="none" w:sz="0" w:space="0" w:color="auto"/>
        <w:left w:val="none" w:sz="0" w:space="0" w:color="auto"/>
        <w:bottom w:val="none" w:sz="0" w:space="0" w:color="auto"/>
        <w:right w:val="none" w:sz="0" w:space="0" w:color="auto"/>
      </w:divBdr>
    </w:div>
    <w:div w:id="866483949">
      <w:bodyDiv w:val="1"/>
      <w:marLeft w:val="0"/>
      <w:marRight w:val="0"/>
      <w:marTop w:val="0"/>
      <w:marBottom w:val="0"/>
      <w:divBdr>
        <w:top w:val="none" w:sz="0" w:space="0" w:color="auto"/>
        <w:left w:val="none" w:sz="0" w:space="0" w:color="auto"/>
        <w:bottom w:val="none" w:sz="0" w:space="0" w:color="auto"/>
        <w:right w:val="none" w:sz="0" w:space="0" w:color="auto"/>
      </w:divBdr>
    </w:div>
    <w:div w:id="920022534">
      <w:bodyDiv w:val="1"/>
      <w:marLeft w:val="0"/>
      <w:marRight w:val="0"/>
      <w:marTop w:val="0"/>
      <w:marBottom w:val="0"/>
      <w:divBdr>
        <w:top w:val="none" w:sz="0" w:space="0" w:color="auto"/>
        <w:left w:val="none" w:sz="0" w:space="0" w:color="auto"/>
        <w:bottom w:val="none" w:sz="0" w:space="0" w:color="auto"/>
        <w:right w:val="none" w:sz="0" w:space="0" w:color="auto"/>
      </w:divBdr>
      <w:divsChild>
        <w:div w:id="1900898399">
          <w:marLeft w:val="0"/>
          <w:marRight w:val="0"/>
          <w:marTop w:val="0"/>
          <w:marBottom w:val="0"/>
          <w:divBdr>
            <w:top w:val="none" w:sz="0" w:space="0" w:color="auto"/>
            <w:left w:val="none" w:sz="0" w:space="0" w:color="auto"/>
            <w:bottom w:val="none" w:sz="0" w:space="0" w:color="auto"/>
            <w:right w:val="none" w:sz="0" w:space="0" w:color="auto"/>
          </w:divBdr>
          <w:divsChild>
            <w:div w:id="1827622767">
              <w:marLeft w:val="0"/>
              <w:marRight w:val="0"/>
              <w:marTop w:val="0"/>
              <w:marBottom w:val="0"/>
              <w:divBdr>
                <w:top w:val="none" w:sz="0" w:space="0" w:color="auto"/>
                <w:left w:val="none" w:sz="0" w:space="0" w:color="auto"/>
                <w:bottom w:val="none" w:sz="0" w:space="0" w:color="auto"/>
                <w:right w:val="none" w:sz="0" w:space="0" w:color="auto"/>
              </w:divBdr>
              <w:divsChild>
                <w:div w:id="1497653484">
                  <w:marLeft w:val="0"/>
                  <w:marRight w:val="0"/>
                  <w:marTop w:val="0"/>
                  <w:marBottom w:val="0"/>
                  <w:divBdr>
                    <w:top w:val="none" w:sz="0" w:space="0" w:color="auto"/>
                    <w:left w:val="none" w:sz="0" w:space="0" w:color="auto"/>
                    <w:bottom w:val="none" w:sz="0" w:space="0" w:color="auto"/>
                    <w:right w:val="none" w:sz="0" w:space="0" w:color="auto"/>
                  </w:divBdr>
                  <w:divsChild>
                    <w:div w:id="643507069">
                      <w:marLeft w:val="0"/>
                      <w:marRight w:val="0"/>
                      <w:marTop w:val="0"/>
                      <w:marBottom w:val="0"/>
                      <w:divBdr>
                        <w:top w:val="none" w:sz="0" w:space="0" w:color="auto"/>
                        <w:left w:val="none" w:sz="0" w:space="0" w:color="auto"/>
                        <w:bottom w:val="none" w:sz="0" w:space="0" w:color="auto"/>
                        <w:right w:val="none" w:sz="0" w:space="0" w:color="auto"/>
                      </w:divBdr>
                      <w:divsChild>
                        <w:div w:id="7026152">
                          <w:marLeft w:val="0"/>
                          <w:marRight w:val="0"/>
                          <w:marTop w:val="0"/>
                          <w:marBottom w:val="0"/>
                          <w:divBdr>
                            <w:top w:val="none" w:sz="0" w:space="0" w:color="auto"/>
                            <w:left w:val="none" w:sz="0" w:space="0" w:color="auto"/>
                            <w:bottom w:val="none" w:sz="0" w:space="0" w:color="auto"/>
                            <w:right w:val="none" w:sz="0" w:space="0" w:color="auto"/>
                          </w:divBdr>
                          <w:divsChild>
                            <w:div w:id="706956480">
                              <w:marLeft w:val="0"/>
                              <w:marRight w:val="0"/>
                              <w:marTop w:val="0"/>
                              <w:marBottom w:val="0"/>
                              <w:divBdr>
                                <w:top w:val="none" w:sz="0" w:space="0" w:color="auto"/>
                                <w:left w:val="none" w:sz="0" w:space="0" w:color="auto"/>
                                <w:bottom w:val="none" w:sz="0" w:space="0" w:color="auto"/>
                                <w:right w:val="none" w:sz="0" w:space="0" w:color="auto"/>
                              </w:divBdr>
                              <w:divsChild>
                                <w:div w:id="1464696475">
                                  <w:marLeft w:val="0"/>
                                  <w:marRight w:val="0"/>
                                  <w:marTop w:val="0"/>
                                  <w:marBottom w:val="0"/>
                                  <w:divBdr>
                                    <w:top w:val="none" w:sz="0" w:space="0" w:color="auto"/>
                                    <w:left w:val="none" w:sz="0" w:space="0" w:color="auto"/>
                                    <w:bottom w:val="none" w:sz="0" w:space="0" w:color="auto"/>
                                    <w:right w:val="none" w:sz="0" w:space="0" w:color="auto"/>
                                  </w:divBdr>
                                  <w:divsChild>
                                    <w:div w:id="10903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1776">
                      <w:marLeft w:val="0"/>
                      <w:marRight w:val="0"/>
                      <w:marTop w:val="0"/>
                      <w:marBottom w:val="0"/>
                      <w:divBdr>
                        <w:top w:val="none" w:sz="0" w:space="0" w:color="auto"/>
                        <w:left w:val="none" w:sz="0" w:space="0" w:color="auto"/>
                        <w:bottom w:val="none" w:sz="0" w:space="0" w:color="auto"/>
                        <w:right w:val="none" w:sz="0" w:space="0" w:color="auto"/>
                      </w:divBdr>
                      <w:divsChild>
                        <w:div w:id="20489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382875">
      <w:bodyDiv w:val="1"/>
      <w:marLeft w:val="0"/>
      <w:marRight w:val="0"/>
      <w:marTop w:val="0"/>
      <w:marBottom w:val="0"/>
      <w:divBdr>
        <w:top w:val="none" w:sz="0" w:space="0" w:color="auto"/>
        <w:left w:val="none" w:sz="0" w:space="0" w:color="auto"/>
        <w:bottom w:val="none" w:sz="0" w:space="0" w:color="auto"/>
        <w:right w:val="none" w:sz="0" w:space="0" w:color="auto"/>
      </w:divBdr>
      <w:divsChild>
        <w:div w:id="835457427">
          <w:marLeft w:val="0"/>
          <w:marRight w:val="0"/>
          <w:marTop w:val="0"/>
          <w:marBottom w:val="0"/>
          <w:divBdr>
            <w:top w:val="none" w:sz="0" w:space="0" w:color="auto"/>
            <w:left w:val="none" w:sz="0" w:space="0" w:color="auto"/>
            <w:bottom w:val="none" w:sz="0" w:space="0" w:color="auto"/>
            <w:right w:val="none" w:sz="0" w:space="0" w:color="auto"/>
          </w:divBdr>
          <w:divsChild>
            <w:div w:id="971668226">
              <w:marLeft w:val="0"/>
              <w:marRight w:val="0"/>
              <w:marTop w:val="0"/>
              <w:marBottom w:val="0"/>
              <w:divBdr>
                <w:top w:val="none" w:sz="0" w:space="0" w:color="auto"/>
                <w:left w:val="none" w:sz="0" w:space="0" w:color="auto"/>
                <w:bottom w:val="none" w:sz="0" w:space="0" w:color="auto"/>
                <w:right w:val="none" w:sz="0" w:space="0" w:color="auto"/>
              </w:divBdr>
              <w:divsChild>
                <w:div w:id="1190948773">
                  <w:marLeft w:val="0"/>
                  <w:marRight w:val="0"/>
                  <w:marTop w:val="0"/>
                  <w:marBottom w:val="0"/>
                  <w:divBdr>
                    <w:top w:val="none" w:sz="0" w:space="0" w:color="auto"/>
                    <w:left w:val="none" w:sz="0" w:space="0" w:color="auto"/>
                    <w:bottom w:val="none" w:sz="0" w:space="0" w:color="auto"/>
                    <w:right w:val="none" w:sz="0" w:space="0" w:color="auto"/>
                  </w:divBdr>
                  <w:divsChild>
                    <w:div w:id="1284799767">
                      <w:marLeft w:val="0"/>
                      <w:marRight w:val="0"/>
                      <w:marTop w:val="0"/>
                      <w:marBottom w:val="0"/>
                      <w:divBdr>
                        <w:top w:val="none" w:sz="0" w:space="0" w:color="auto"/>
                        <w:left w:val="none" w:sz="0" w:space="0" w:color="auto"/>
                        <w:bottom w:val="none" w:sz="0" w:space="0" w:color="auto"/>
                        <w:right w:val="none" w:sz="0" w:space="0" w:color="auto"/>
                      </w:divBdr>
                      <w:divsChild>
                        <w:div w:id="1120607006">
                          <w:marLeft w:val="0"/>
                          <w:marRight w:val="0"/>
                          <w:marTop w:val="0"/>
                          <w:marBottom w:val="0"/>
                          <w:divBdr>
                            <w:top w:val="none" w:sz="0" w:space="0" w:color="auto"/>
                            <w:left w:val="none" w:sz="0" w:space="0" w:color="auto"/>
                            <w:bottom w:val="none" w:sz="0" w:space="0" w:color="auto"/>
                            <w:right w:val="none" w:sz="0" w:space="0" w:color="auto"/>
                          </w:divBdr>
                          <w:divsChild>
                            <w:div w:id="1147623018">
                              <w:marLeft w:val="0"/>
                              <w:marRight w:val="0"/>
                              <w:marTop w:val="0"/>
                              <w:marBottom w:val="0"/>
                              <w:divBdr>
                                <w:top w:val="none" w:sz="0" w:space="0" w:color="auto"/>
                                <w:left w:val="none" w:sz="0" w:space="0" w:color="auto"/>
                                <w:bottom w:val="none" w:sz="0" w:space="0" w:color="auto"/>
                                <w:right w:val="none" w:sz="0" w:space="0" w:color="auto"/>
                              </w:divBdr>
                              <w:divsChild>
                                <w:div w:id="875777511">
                                  <w:marLeft w:val="0"/>
                                  <w:marRight w:val="0"/>
                                  <w:marTop w:val="0"/>
                                  <w:marBottom w:val="0"/>
                                  <w:divBdr>
                                    <w:top w:val="none" w:sz="0" w:space="0" w:color="auto"/>
                                    <w:left w:val="none" w:sz="0" w:space="0" w:color="auto"/>
                                    <w:bottom w:val="none" w:sz="0" w:space="0" w:color="auto"/>
                                    <w:right w:val="none" w:sz="0" w:space="0" w:color="auto"/>
                                  </w:divBdr>
                                  <w:divsChild>
                                    <w:div w:id="17745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955122">
                      <w:marLeft w:val="0"/>
                      <w:marRight w:val="0"/>
                      <w:marTop w:val="0"/>
                      <w:marBottom w:val="0"/>
                      <w:divBdr>
                        <w:top w:val="none" w:sz="0" w:space="0" w:color="auto"/>
                        <w:left w:val="none" w:sz="0" w:space="0" w:color="auto"/>
                        <w:bottom w:val="none" w:sz="0" w:space="0" w:color="auto"/>
                        <w:right w:val="none" w:sz="0" w:space="0" w:color="auto"/>
                      </w:divBdr>
                      <w:divsChild>
                        <w:div w:id="1928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76090">
      <w:bodyDiv w:val="1"/>
      <w:marLeft w:val="0"/>
      <w:marRight w:val="0"/>
      <w:marTop w:val="0"/>
      <w:marBottom w:val="0"/>
      <w:divBdr>
        <w:top w:val="none" w:sz="0" w:space="0" w:color="auto"/>
        <w:left w:val="none" w:sz="0" w:space="0" w:color="auto"/>
        <w:bottom w:val="none" w:sz="0" w:space="0" w:color="auto"/>
        <w:right w:val="none" w:sz="0" w:space="0" w:color="auto"/>
      </w:divBdr>
    </w:div>
    <w:div w:id="1082410310">
      <w:bodyDiv w:val="1"/>
      <w:marLeft w:val="0"/>
      <w:marRight w:val="0"/>
      <w:marTop w:val="0"/>
      <w:marBottom w:val="0"/>
      <w:divBdr>
        <w:top w:val="none" w:sz="0" w:space="0" w:color="auto"/>
        <w:left w:val="none" w:sz="0" w:space="0" w:color="auto"/>
        <w:bottom w:val="none" w:sz="0" w:space="0" w:color="auto"/>
        <w:right w:val="none" w:sz="0" w:space="0" w:color="auto"/>
      </w:divBdr>
      <w:divsChild>
        <w:div w:id="859127410">
          <w:marLeft w:val="0"/>
          <w:marRight w:val="0"/>
          <w:marTop w:val="0"/>
          <w:marBottom w:val="0"/>
          <w:divBdr>
            <w:top w:val="none" w:sz="0" w:space="0" w:color="auto"/>
            <w:left w:val="none" w:sz="0" w:space="0" w:color="auto"/>
            <w:bottom w:val="none" w:sz="0" w:space="0" w:color="auto"/>
            <w:right w:val="none" w:sz="0" w:space="0" w:color="auto"/>
          </w:divBdr>
          <w:divsChild>
            <w:div w:id="1920016708">
              <w:marLeft w:val="0"/>
              <w:marRight w:val="0"/>
              <w:marTop w:val="0"/>
              <w:marBottom w:val="0"/>
              <w:divBdr>
                <w:top w:val="none" w:sz="0" w:space="0" w:color="auto"/>
                <w:left w:val="none" w:sz="0" w:space="0" w:color="auto"/>
                <w:bottom w:val="none" w:sz="0" w:space="0" w:color="auto"/>
                <w:right w:val="none" w:sz="0" w:space="0" w:color="auto"/>
              </w:divBdr>
              <w:divsChild>
                <w:div w:id="17200139">
                  <w:marLeft w:val="0"/>
                  <w:marRight w:val="0"/>
                  <w:marTop w:val="0"/>
                  <w:marBottom w:val="0"/>
                  <w:divBdr>
                    <w:top w:val="none" w:sz="0" w:space="0" w:color="auto"/>
                    <w:left w:val="none" w:sz="0" w:space="0" w:color="auto"/>
                    <w:bottom w:val="none" w:sz="0" w:space="0" w:color="auto"/>
                    <w:right w:val="none" w:sz="0" w:space="0" w:color="auto"/>
                  </w:divBdr>
                  <w:divsChild>
                    <w:div w:id="142040028">
                      <w:marLeft w:val="0"/>
                      <w:marRight w:val="0"/>
                      <w:marTop w:val="0"/>
                      <w:marBottom w:val="0"/>
                      <w:divBdr>
                        <w:top w:val="none" w:sz="0" w:space="0" w:color="auto"/>
                        <w:left w:val="none" w:sz="0" w:space="0" w:color="auto"/>
                        <w:bottom w:val="none" w:sz="0" w:space="0" w:color="auto"/>
                        <w:right w:val="none" w:sz="0" w:space="0" w:color="auto"/>
                      </w:divBdr>
                      <w:divsChild>
                        <w:div w:id="2144620249">
                          <w:marLeft w:val="0"/>
                          <w:marRight w:val="0"/>
                          <w:marTop w:val="0"/>
                          <w:marBottom w:val="0"/>
                          <w:divBdr>
                            <w:top w:val="none" w:sz="0" w:space="0" w:color="auto"/>
                            <w:left w:val="none" w:sz="0" w:space="0" w:color="auto"/>
                            <w:bottom w:val="none" w:sz="0" w:space="0" w:color="auto"/>
                            <w:right w:val="none" w:sz="0" w:space="0" w:color="auto"/>
                          </w:divBdr>
                          <w:divsChild>
                            <w:div w:id="2052726859">
                              <w:marLeft w:val="0"/>
                              <w:marRight w:val="0"/>
                              <w:marTop w:val="0"/>
                              <w:marBottom w:val="0"/>
                              <w:divBdr>
                                <w:top w:val="none" w:sz="0" w:space="0" w:color="auto"/>
                                <w:left w:val="none" w:sz="0" w:space="0" w:color="auto"/>
                                <w:bottom w:val="none" w:sz="0" w:space="0" w:color="auto"/>
                                <w:right w:val="none" w:sz="0" w:space="0" w:color="auto"/>
                              </w:divBdr>
                              <w:divsChild>
                                <w:div w:id="448624261">
                                  <w:marLeft w:val="0"/>
                                  <w:marRight w:val="0"/>
                                  <w:marTop w:val="0"/>
                                  <w:marBottom w:val="0"/>
                                  <w:divBdr>
                                    <w:top w:val="none" w:sz="0" w:space="0" w:color="auto"/>
                                    <w:left w:val="none" w:sz="0" w:space="0" w:color="auto"/>
                                    <w:bottom w:val="none" w:sz="0" w:space="0" w:color="auto"/>
                                    <w:right w:val="none" w:sz="0" w:space="0" w:color="auto"/>
                                  </w:divBdr>
                                  <w:divsChild>
                                    <w:div w:id="4051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7697">
                      <w:marLeft w:val="0"/>
                      <w:marRight w:val="0"/>
                      <w:marTop w:val="0"/>
                      <w:marBottom w:val="0"/>
                      <w:divBdr>
                        <w:top w:val="none" w:sz="0" w:space="0" w:color="auto"/>
                        <w:left w:val="none" w:sz="0" w:space="0" w:color="auto"/>
                        <w:bottom w:val="none" w:sz="0" w:space="0" w:color="auto"/>
                        <w:right w:val="none" w:sz="0" w:space="0" w:color="auto"/>
                      </w:divBdr>
                      <w:divsChild>
                        <w:div w:id="8222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561867">
      <w:bodyDiv w:val="1"/>
      <w:marLeft w:val="0"/>
      <w:marRight w:val="0"/>
      <w:marTop w:val="0"/>
      <w:marBottom w:val="0"/>
      <w:divBdr>
        <w:top w:val="none" w:sz="0" w:space="0" w:color="auto"/>
        <w:left w:val="none" w:sz="0" w:space="0" w:color="auto"/>
        <w:bottom w:val="none" w:sz="0" w:space="0" w:color="auto"/>
        <w:right w:val="none" w:sz="0" w:space="0" w:color="auto"/>
      </w:divBdr>
    </w:div>
    <w:div w:id="1274173832">
      <w:bodyDiv w:val="1"/>
      <w:marLeft w:val="0"/>
      <w:marRight w:val="0"/>
      <w:marTop w:val="0"/>
      <w:marBottom w:val="0"/>
      <w:divBdr>
        <w:top w:val="none" w:sz="0" w:space="0" w:color="auto"/>
        <w:left w:val="none" w:sz="0" w:space="0" w:color="auto"/>
        <w:bottom w:val="none" w:sz="0" w:space="0" w:color="auto"/>
        <w:right w:val="none" w:sz="0" w:space="0" w:color="auto"/>
      </w:divBdr>
    </w:div>
    <w:div w:id="1289774552">
      <w:bodyDiv w:val="1"/>
      <w:marLeft w:val="0"/>
      <w:marRight w:val="0"/>
      <w:marTop w:val="0"/>
      <w:marBottom w:val="0"/>
      <w:divBdr>
        <w:top w:val="none" w:sz="0" w:space="0" w:color="auto"/>
        <w:left w:val="none" w:sz="0" w:space="0" w:color="auto"/>
        <w:bottom w:val="none" w:sz="0" w:space="0" w:color="auto"/>
        <w:right w:val="none" w:sz="0" w:space="0" w:color="auto"/>
      </w:divBdr>
    </w:div>
    <w:div w:id="1307859147">
      <w:bodyDiv w:val="1"/>
      <w:marLeft w:val="0"/>
      <w:marRight w:val="0"/>
      <w:marTop w:val="0"/>
      <w:marBottom w:val="0"/>
      <w:divBdr>
        <w:top w:val="none" w:sz="0" w:space="0" w:color="auto"/>
        <w:left w:val="none" w:sz="0" w:space="0" w:color="auto"/>
        <w:bottom w:val="none" w:sz="0" w:space="0" w:color="auto"/>
        <w:right w:val="none" w:sz="0" w:space="0" w:color="auto"/>
      </w:divBdr>
    </w:div>
    <w:div w:id="1346977210">
      <w:bodyDiv w:val="1"/>
      <w:marLeft w:val="0"/>
      <w:marRight w:val="0"/>
      <w:marTop w:val="0"/>
      <w:marBottom w:val="0"/>
      <w:divBdr>
        <w:top w:val="none" w:sz="0" w:space="0" w:color="auto"/>
        <w:left w:val="none" w:sz="0" w:space="0" w:color="auto"/>
        <w:bottom w:val="none" w:sz="0" w:space="0" w:color="auto"/>
        <w:right w:val="none" w:sz="0" w:space="0" w:color="auto"/>
      </w:divBdr>
    </w:div>
    <w:div w:id="1401366242">
      <w:bodyDiv w:val="1"/>
      <w:marLeft w:val="0"/>
      <w:marRight w:val="0"/>
      <w:marTop w:val="0"/>
      <w:marBottom w:val="0"/>
      <w:divBdr>
        <w:top w:val="none" w:sz="0" w:space="0" w:color="auto"/>
        <w:left w:val="none" w:sz="0" w:space="0" w:color="auto"/>
        <w:bottom w:val="none" w:sz="0" w:space="0" w:color="auto"/>
        <w:right w:val="none" w:sz="0" w:space="0" w:color="auto"/>
      </w:divBdr>
    </w:div>
    <w:div w:id="1439520810">
      <w:bodyDiv w:val="1"/>
      <w:marLeft w:val="0"/>
      <w:marRight w:val="0"/>
      <w:marTop w:val="0"/>
      <w:marBottom w:val="0"/>
      <w:divBdr>
        <w:top w:val="none" w:sz="0" w:space="0" w:color="auto"/>
        <w:left w:val="none" w:sz="0" w:space="0" w:color="auto"/>
        <w:bottom w:val="none" w:sz="0" w:space="0" w:color="auto"/>
        <w:right w:val="none" w:sz="0" w:space="0" w:color="auto"/>
      </w:divBdr>
    </w:div>
    <w:div w:id="1525707266">
      <w:bodyDiv w:val="1"/>
      <w:marLeft w:val="0"/>
      <w:marRight w:val="0"/>
      <w:marTop w:val="0"/>
      <w:marBottom w:val="0"/>
      <w:divBdr>
        <w:top w:val="none" w:sz="0" w:space="0" w:color="auto"/>
        <w:left w:val="none" w:sz="0" w:space="0" w:color="auto"/>
        <w:bottom w:val="none" w:sz="0" w:space="0" w:color="auto"/>
        <w:right w:val="none" w:sz="0" w:space="0" w:color="auto"/>
      </w:divBdr>
    </w:div>
    <w:div w:id="1540435457">
      <w:bodyDiv w:val="1"/>
      <w:marLeft w:val="0"/>
      <w:marRight w:val="0"/>
      <w:marTop w:val="0"/>
      <w:marBottom w:val="0"/>
      <w:divBdr>
        <w:top w:val="none" w:sz="0" w:space="0" w:color="auto"/>
        <w:left w:val="none" w:sz="0" w:space="0" w:color="auto"/>
        <w:bottom w:val="none" w:sz="0" w:space="0" w:color="auto"/>
        <w:right w:val="none" w:sz="0" w:space="0" w:color="auto"/>
      </w:divBdr>
    </w:div>
    <w:div w:id="1606964471">
      <w:bodyDiv w:val="1"/>
      <w:marLeft w:val="0"/>
      <w:marRight w:val="0"/>
      <w:marTop w:val="0"/>
      <w:marBottom w:val="0"/>
      <w:divBdr>
        <w:top w:val="none" w:sz="0" w:space="0" w:color="auto"/>
        <w:left w:val="none" w:sz="0" w:space="0" w:color="auto"/>
        <w:bottom w:val="none" w:sz="0" w:space="0" w:color="auto"/>
        <w:right w:val="none" w:sz="0" w:space="0" w:color="auto"/>
      </w:divBdr>
    </w:div>
    <w:div w:id="1793866889">
      <w:bodyDiv w:val="1"/>
      <w:marLeft w:val="0"/>
      <w:marRight w:val="0"/>
      <w:marTop w:val="0"/>
      <w:marBottom w:val="0"/>
      <w:divBdr>
        <w:top w:val="none" w:sz="0" w:space="0" w:color="auto"/>
        <w:left w:val="none" w:sz="0" w:space="0" w:color="auto"/>
        <w:bottom w:val="none" w:sz="0" w:space="0" w:color="auto"/>
        <w:right w:val="none" w:sz="0" w:space="0" w:color="auto"/>
      </w:divBdr>
    </w:div>
    <w:div w:id="1879973246">
      <w:bodyDiv w:val="1"/>
      <w:marLeft w:val="0"/>
      <w:marRight w:val="0"/>
      <w:marTop w:val="0"/>
      <w:marBottom w:val="0"/>
      <w:divBdr>
        <w:top w:val="none" w:sz="0" w:space="0" w:color="auto"/>
        <w:left w:val="none" w:sz="0" w:space="0" w:color="auto"/>
        <w:bottom w:val="none" w:sz="0" w:space="0" w:color="auto"/>
        <w:right w:val="none" w:sz="0" w:space="0" w:color="auto"/>
      </w:divBdr>
    </w:div>
    <w:div w:id="1916818118">
      <w:bodyDiv w:val="1"/>
      <w:marLeft w:val="0"/>
      <w:marRight w:val="0"/>
      <w:marTop w:val="0"/>
      <w:marBottom w:val="0"/>
      <w:divBdr>
        <w:top w:val="none" w:sz="0" w:space="0" w:color="auto"/>
        <w:left w:val="none" w:sz="0" w:space="0" w:color="auto"/>
        <w:bottom w:val="none" w:sz="0" w:space="0" w:color="auto"/>
        <w:right w:val="none" w:sz="0" w:space="0" w:color="auto"/>
      </w:divBdr>
    </w:div>
    <w:div w:id="1947619191">
      <w:bodyDiv w:val="1"/>
      <w:marLeft w:val="0"/>
      <w:marRight w:val="0"/>
      <w:marTop w:val="0"/>
      <w:marBottom w:val="0"/>
      <w:divBdr>
        <w:top w:val="none" w:sz="0" w:space="0" w:color="auto"/>
        <w:left w:val="none" w:sz="0" w:space="0" w:color="auto"/>
        <w:bottom w:val="none" w:sz="0" w:space="0" w:color="auto"/>
        <w:right w:val="none" w:sz="0" w:space="0" w:color="auto"/>
      </w:divBdr>
    </w:div>
    <w:div w:id="1991901737">
      <w:bodyDiv w:val="1"/>
      <w:marLeft w:val="0"/>
      <w:marRight w:val="0"/>
      <w:marTop w:val="0"/>
      <w:marBottom w:val="0"/>
      <w:divBdr>
        <w:top w:val="none" w:sz="0" w:space="0" w:color="auto"/>
        <w:left w:val="none" w:sz="0" w:space="0" w:color="auto"/>
        <w:bottom w:val="none" w:sz="0" w:space="0" w:color="auto"/>
        <w:right w:val="none" w:sz="0" w:space="0" w:color="auto"/>
      </w:divBdr>
    </w:div>
    <w:div w:id="2044137790">
      <w:bodyDiv w:val="1"/>
      <w:marLeft w:val="0"/>
      <w:marRight w:val="0"/>
      <w:marTop w:val="0"/>
      <w:marBottom w:val="0"/>
      <w:divBdr>
        <w:top w:val="none" w:sz="0" w:space="0" w:color="auto"/>
        <w:left w:val="none" w:sz="0" w:space="0" w:color="auto"/>
        <w:bottom w:val="none" w:sz="0" w:space="0" w:color="auto"/>
        <w:right w:val="none" w:sz="0" w:space="0" w:color="auto"/>
      </w:divBdr>
    </w:div>
    <w:div w:id="2062167859">
      <w:bodyDiv w:val="1"/>
      <w:marLeft w:val="0"/>
      <w:marRight w:val="0"/>
      <w:marTop w:val="0"/>
      <w:marBottom w:val="0"/>
      <w:divBdr>
        <w:top w:val="none" w:sz="0" w:space="0" w:color="auto"/>
        <w:left w:val="none" w:sz="0" w:space="0" w:color="auto"/>
        <w:bottom w:val="none" w:sz="0" w:space="0" w:color="auto"/>
        <w:right w:val="none" w:sz="0" w:space="0" w:color="auto"/>
      </w:divBdr>
    </w:div>
    <w:div w:id="2069377967">
      <w:bodyDiv w:val="1"/>
      <w:marLeft w:val="0"/>
      <w:marRight w:val="0"/>
      <w:marTop w:val="0"/>
      <w:marBottom w:val="0"/>
      <w:divBdr>
        <w:top w:val="none" w:sz="0" w:space="0" w:color="auto"/>
        <w:left w:val="none" w:sz="0" w:space="0" w:color="auto"/>
        <w:bottom w:val="none" w:sz="0" w:space="0" w:color="auto"/>
        <w:right w:val="none" w:sz="0" w:space="0" w:color="auto"/>
      </w:divBdr>
    </w:div>
    <w:div w:id="2070417195">
      <w:bodyDiv w:val="1"/>
      <w:marLeft w:val="0"/>
      <w:marRight w:val="0"/>
      <w:marTop w:val="0"/>
      <w:marBottom w:val="0"/>
      <w:divBdr>
        <w:top w:val="none" w:sz="0" w:space="0" w:color="auto"/>
        <w:left w:val="none" w:sz="0" w:space="0" w:color="auto"/>
        <w:bottom w:val="none" w:sz="0" w:space="0" w:color="auto"/>
        <w:right w:val="none" w:sz="0" w:space="0" w:color="auto"/>
      </w:divBdr>
    </w:div>
    <w:div w:id="2101951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mailto:anaani.huaman@enaex.com"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6</Pages>
  <Words>2892</Words>
  <Characters>15910</Characters>
  <Application>Microsoft Office Word</Application>
  <DocSecurity>0</DocSecurity>
  <Lines>132</Lines>
  <Paragraphs>37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18765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Angie Blas Fernandez</cp:lastModifiedBy>
  <cp:revision>223</cp:revision>
  <cp:lastPrinted>2015-02-13T19:19:00Z</cp:lastPrinted>
  <dcterms:created xsi:type="dcterms:W3CDTF">2025-06-19T01:46:00Z</dcterms:created>
  <dcterms:modified xsi:type="dcterms:W3CDTF">2025-07-19T03:08:00Z</dcterms:modified>
</cp:coreProperties>
</file>