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A84A" w14:textId="7034CFF9" w:rsidR="64D07C35" w:rsidRDefault="64D07C35" w:rsidP="4E36C058">
      <w:pPr>
        <w:spacing w:line="360" w:lineRule="auto"/>
        <w:jc w:val="center"/>
        <w:rPr>
          <w:rFonts w:ascii="Arial" w:eastAsia="Arial" w:hAnsi="Arial" w:cs="Arial"/>
          <w:color w:val="000000" w:themeColor="text1"/>
        </w:rPr>
      </w:pPr>
      <w:r w:rsidRPr="4E36C058">
        <w:rPr>
          <w:rFonts w:ascii="Arial" w:eastAsia="Arial" w:hAnsi="Arial" w:cs="Arial"/>
          <w:color w:val="000000" w:themeColor="text1"/>
        </w:rPr>
        <w:t>FORO DE TECNOLOGÍA, INNOVACIÓN Y SOSTENIBILIDAD</w:t>
      </w:r>
    </w:p>
    <w:p w14:paraId="1A216DE8" w14:textId="7D373C5A" w:rsidR="64D07C35" w:rsidRDefault="64D07C35" w:rsidP="4E36C058">
      <w:pPr>
        <w:spacing w:line="360" w:lineRule="auto"/>
        <w:jc w:val="center"/>
        <w:rPr>
          <w:rFonts w:ascii="Arial" w:eastAsia="Arial" w:hAnsi="Arial" w:cs="Arial"/>
          <w:color w:val="000000" w:themeColor="text1"/>
        </w:rPr>
      </w:pPr>
      <w:r w:rsidRPr="4E36C058">
        <w:rPr>
          <w:rFonts w:ascii="Arial" w:eastAsia="Arial" w:hAnsi="Arial" w:cs="Arial"/>
          <w:color w:val="000000" w:themeColor="text1"/>
        </w:rPr>
        <w:t>CONVOCATORIA DE TRABAJOS TÉCNICOS</w:t>
      </w:r>
    </w:p>
    <w:p w14:paraId="0EDA1A27" w14:textId="211433F5" w:rsidR="64D07C35" w:rsidRDefault="64D07C35" w:rsidP="4E36C058">
      <w:pPr>
        <w:spacing w:line="360" w:lineRule="auto"/>
        <w:jc w:val="center"/>
        <w:rPr>
          <w:rFonts w:ascii="Arial" w:eastAsia="Arial" w:hAnsi="Arial" w:cs="Arial"/>
          <w:color w:val="000000" w:themeColor="text1"/>
        </w:rPr>
      </w:pPr>
      <w:r w:rsidRPr="4E36C058">
        <w:rPr>
          <w:rFonts w:ascii="Arial" w:eastAsia="Arial" w:hAnsi="Arial" w:cs="Arial"/>
          <w:color w:val="000000" w:themeColor="text1"/>
        </w:rPr>
        <w:t>PREMIO NACIONAL DE MINERÍA</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500"/>
        <w:gridCol w:w="4500"/>
      </w:tblGrid>
      <w:tr w:rsidR="4E36C058" w14:paraId="05AF92C2" w14:textId="77777777" w:rsidTr="2F69AA16">
        <w:trPr>
          <w:trHeight w:val="300"/>
        </w:trPr>
        <w:tc>
          <w:tcPr>
            <w:tcW w:w="4500" w:type="dxa"/>
            <w:tcBorders>
              <w:top w:val="single" w:sz="6" w:space="0" w:color="auto"/>
              <w:left w:val="single" w:sz="6" w:space="0" w:color="auto"/>
            </w:tcBorders>
            <w:tcMar>
              <w:left w:w="90" w:type="dxa"/>
              <w:right w:w="90" w:type="dxa"/>
            </w:tcMar>
            <w:vAlign w:val="center"/>
          </w:tcPr>
          <w:p w14:paraId="069FD869" w14:textId="50EC0C20" w:rsidR="4E36C058" w:rsidRDefault="4E36C058" w:rsidP="4E36C058">
            <w:pPr>
              <w:rPr>
                <w:rFonts w:ascii="Arial" w:eastAsia="Arial" w:hAnsi="Arial" w:cs="Arial"/>
              </w:rPr>
            </w:pPr>
            <w:r w:rsidRPr="4E36C058">
              <w:rPr>
                <w:rFonts w:ascii="Arial" w:eastAsia="Arial" w:hAnsi="Arial" w:cs="Arial"/>
                <w:b/>
                <w:bCs/>
              </w:rPr>
              <w:t>Título:</w:t>
            </w:r>
          </w:p>
        </w:tc>
        <w:tc>
          <w:tcPr>
            <w:tcW w:w="4500" w:type="dxa"/>
            <w:tcBorders>
              <w:top w:val="single" w:sz="6" w:space="0" w:color="auto"/>
              <w:right w:val="single" w:sz="6" w:space="0" w:color="auto"/>
            </w:tcBorders>
            <w:tcMar>
              <w:left w:w="90" w:type="dxa"/>
              <w:right w:w="90" w:type="dxa"/>
            </w:tcMar>
            <w:vAlign w:val="center"/>
          </w:tcPr>
          <w:p w14:paraId="3CA291CA" w14:textId="4480F575" w:rsidR="4E36C058" w:rsidRDefault="36F14517" w:rsidP="2F69AA16">
            <w:pPr>
              <w:spacing w:line="276" w:lineRule="auto"/>
            </w:pPr>
            <w:proofErr w:type="spellStart"/>
            <w:r w:rsidRPr="2F69AA16">
              <w:rPr>
                <w:rFonts w:ascii="Arial" w:eastAsia="Arial" w:hAnsi="Arial" w:cs="Arial"/>
              </w:rPr>
              <w:t>Lodrobricks</w:t>
            </w:r>
            <w:proofErr w:type="spellEnd"/>
          </w:p>
        </w:tc>
      </w:tr>
      <w:tr w:rsidR="4E36C058" w14:paraId="6996729A" w14:textId="77777777" w:rsidTr="2F69AA16">
        <w:trPr>
          <w:trHeight w:val="300"/>
        </w:trPr>
        <w:tc>
          <w:tcPr>
            <w:tcW w:w="4500" w:type="dxa"/>
            <w:tcBorders>
              <w:left w:val="single" w:sz="6" w:space="0" w:color="auto"/>
            </w:tcBorders>
            <w:tcMar>
              <w:left w:w="90" w:type="dxa"/>
              <w:right w:w="90" w:type="dxa"/>
            </w:tcMar>
            <w:vAlign w:val="center"/>
          </w:tcPr>
          <w:p w14:paraId="38F5F8FD" w14:textId="446F0C09" w:rsidR="4E36C058" w:rsidRDefault="4E36C058" w:rsidP="4E36C058">
            <w:pPr>
              <w:rPr>
                <w:rFonts w:ascii="Arial" w:eastAsia="Arial" w:hAnsi="Arial" w:cs="Arial"/>
              </w:rPr>
            </w:pPr>
            <w:r w:rsidRPr="4E36C058">
              <w:rPr>
                <w:rFonts w:ascii="Arial" w:eastAsia="Arial" w:hAnsi="Arial" w:cs="Arial"/>
                <w:b/>
                <w:bCs/>
              </w:rPr>
              <w:t>Tema:</w:t>
            </w:r>
          </w:p>
        </w:tc>
        <w:tc>
          <w:tcPr>
            <w:tcW w:w="4500" w:type="dxa"/>
            <w:tcBorders>
              <w:right w:val="single" w:sz="6" w:space="0" w:color="auto"/>
            </w:tcBorders>
            <w:tcMar>
              <w:left w:w="90" w:type="dxa"/>
              <w:right w:w="90" w:type="dxa"/>
            </w:tcMar>
            <w:vAlign w:val="center"/>
          </w:tcPr>
          <w:p w14:paraId="6B516599" w14:textId="51B5D9DE" w:rsidR="4E36C058" w:rsidRDefault="4E36C058" w:rsidP="4E36C058">
            <w:pPr>
              <w:rPr>
                <w:rFonts w:ascii="Arial" w:eastAsia="Arial" w:hAnsi="Arial" w:cs="Arial"/>
              </w:rPr>
            </w:pPr>
            <w:r w:rsidRPr="4E36C058">
              <w:rPr>
                <w:rFonts w:ascii="Arial" w:eastAsia="Arial" w:hAnsi="Arial" w:cs="Arial"/>
              </w:rPr>
              <w:t>Gestión del agua en operaciones y el entorno.</w:t>
            </w:r>
          </w:p>
        </w:tc>
      </w:tr>
      <w:tr w:rsidR="4E36C058" w14:paraId="36B277B5" w14:textId="77777777" w:rsidTr="2F69AA16">
        <w:trPr>
          <w:trHeight w:val="300"/>
        </w:trPr>
        <w:tc>
          <w:tcPr>
            <w:tcW w:w="4500" w:type="dxa"/>
            <w:tcBorders>
              <w:left w:val="single" w:sz="6" w:space="0" w:color="auto"/>
            </w:tcBorders>
            <w:tcMar>
              <w:left w:w="90" w:type="dxa"/>
              <w:right w:w="90" w:type="dxa"/>
            </w:tcMar>
            <w:vAlign w:val="center"/>
          </w:tcPr>
          <w:p w14:paraId="6FA615AA" w14:textId="1A44F56B" w:rsidR="4E36C058" w:rsidRDefault="4E36C058" w:rsidP="4E36C058">
            <w:pPr>
              <w:rPr>
                <w:rFonts w:ascii="Arial" w:eastAsia="Arial" w:hAnsi="Arial" w:cs="Arial"/>
              </w:rPr>
            </w:pPr>
            <w:proofErr w:type="spellStart"/>
            <w:r w:rsidRPr="4E36C058">
              <w:rPr>
                <w:rFonts w:ascii="Arial" w:eastAsia="Arial" w:hAnsi="Arial" w:cs="Arial"/>
                <w:b/>
                <w:bCs/>
                <w:lang w:val="en-US"/>
              </w:rPr>
              <w:t>Categoría</w:t>
            </w:r>
            <w:proofErr w:type="spellEnd"/>
            <w:r w:rsidRPr="4E36C058">
              <w:rPr>
                <w:rFonts w:ascii="Arial" w:eastAsia="Arial" w:hAnsi="Arial" w:cs="Arial"/>
                <w:b/>
                <w:bCs/>
                <w:lang w:val="en-US"/>
              </w:rPr>
              <w:t>:</w:t>
            </w:r>
          </w:p>
        </w:tc>
        <w:tc>
          <w:tcPr>
            <w:tcW w:w="4500" w:type="dxa"/>
            <w:tcBorders>
              <w:right w:val="single" w:sz="6" w:space="0" w:color="auto"/>
            </w:tcBorders>
            <w:tcMar>
              <w:left w:w="90" w:type="dxa"/>
              <w:right w:w="90" w:type="dxa"/>
            </w:tcMar>
            <w:vAlign w:val="center"/>
          </w:tcPr>
          <w:p w14:paraId="5EBD7039" w14:textId="34F842E4" w:rsidR="4E36C058" w:rsidRDefault="4E36C058" w:rsidP="4E36C058">
            <w:pPr>
              <w:spacing w:line="360" w:lineRule="auto"/>
              <w:rPr>
                <w:rFonts w:ascii="Arial" w:eastAsia="Arial" w:hAnsi="Arial" w:cs="Arial"/>
              </w:rPr>
            </w:pPr>
            <w:r w:rsidRPr="4E36C058">
              <w:rPr>
                <w:rFonts w:ascii="Arial" w:eastAsia="Arial" w:hAnsi="Arial" w:cs="Arial"/>
                <w:lang w:val="en-US"/>
              </w:rPr>
              <w:t>ESG (Environmental, Social, Governance)</w:t>
            </w:r>
          </w:p>
        </w:tc>
      </w:tr>
      <w:tr w:rsidR="4E36C058" w14:paraId="6F680860" w14:textId="77777777" w:rsidTr="2F69AA16">
        <w:trPr>
          <w:trHeight w:val="300"/>
        </w:trPr>
        <w:tc>
          <w:tcPr>
            <w:tcW w:w="4500" w:type="dxa"/>
            <w:tcBorders>
              <w:left w:val="single" w:sz="6" w:space="0" w:color="auto"/>
            </w:tcBorders>
            <w:tcMar>
              <w:left w:w="90" w:type="dxa"/>
              <w:right w:w="90" w:type="dxa"/>
            </w:tcMar>
            <w:vAlign w:val="center"/>
          </w:tcPr>
          <w:p w14:paraId="75880C7F" w14:textId="6E868212" w:rsidR="4E36C058" w:rsidRDefault="4E36C058" w:rsidP="4E36C058">
            <w:pPr>
              <w:rPr>
                <w:rFonts w:ascii="Arial" w:eastAsia="Arial" w:hAnsi="Arial" w:cs="Arial"/>
              </w:rPr>
            </w:pPr>
            <w:r w:rsidRPr="4E36C058">
              <w:rPr>
                <w:rFonts w:ascii="Arial" w:eastAsia="Arial" w:hAnsi="Arial" w:cs="Arial"/>
                <w:b/>
                <w:bCs/>
              </w:rPr>
              <w:t>Datos del autor:</w:t>
            </w:r>
          </w:p>
        </w:tc>
        <w:tc>
          <w:tcPr>
            <w:tcW w:w="4500" w:type="dxa"/>
            <w:tcBorders>
              <w:right w:val="single" w:sz="6" w:space="0" w:color="auto"/>
            </w:tcBorders>
            <w:tcMar>
              <w:left w:w="90" w:type="dxa"/>
              <w:right w:w="90" w:type="dxa"/>
            </w:tcMar>
            <w:vAlign w:val="center"/>
          </w:tcPr>
          <w:p w14:paraId="0141BDEC" w14:textId="18D2E656" w:rsidR="4E36C058" w:rsidRDefault="4E36C058" w:rsidP="4E36C058">
            <w:pPr>
              <w:rPr>
                <w:rFonts w:ascii="Arial" w:eastAsia="Arial" w:hAnsi="Arial" w:cs="Arial"/>
              </w:rPr>
            </w:pPr>
            <w:r w:rsidRPr="4E36C058">
              <w:rPr>
                <w:rFonts w:ascii="Arial" w:eastAsia="Arial" w:hAnsi="Arial" w:cs="Arial"/>
              </w:rPr>
              <w:t>Dante Aguilar Onofre</w:t>
            </w:r>
          </w:p>
        </w:tc>
      </w:tr>
      <w:tr w:rsidR="4E36C058" w14:paraId="3D9039C9" w14:textId="77777777" w:rsidTr="2F69AA16">
        <w:trPr>
          <w:trHeight w:val="300"/>
        </w:trPr>
        <w:tc>
          <w:tcPr>
            <w:tcW w:w="4500" w:type="dxa"/>
            <w:tcBorders>
              <w:left w:val="single" w:sz="6" w:space="0" w:color="auto"/>
            </w:tcBorders>
            <w:tcMar>
              <w:left w:w="90" w:type="dxa"/>
              <w:right w:w="90" w:type="dxa"/>
            </w:tcMar>
            <w:vAlign w:val="center"/>
          </w:tcPr>
          <w:p w14:paraId="07396388" w14:textId="3AD26B76" w:rsidR="4E36C058" w:rsidRDefault="4E36C058" w:rsidP="4E36C058">
            <w:pPr>
              <w:rPr>
                <w:rFonts w:ascii="Arial" w:eastAsia="Arial" w:hAnsi="Arial" w:cs="Arial"/>
              </w:rPr>
            </w:pPr>
            <w:r w:rsidRPr="4E36C058">
              <w:rPr>
                <w:rFonts w:ascii="Arial" w:eastAsia="Arial" w:hAnsi="Arial" w:cs="Arial"/>
                <w:b/>
                <w:bCs/>
              </w:rPr>
              <w:t>Cargo:</w:t>
            </w:r>
          </w:p>
        </w:tc>
        <w:tc>
          <w:tcPr>
            <w:tcW w:w="4500" w:type="dxa"/>
            <w:tcBorders>
              <w:right w:val="single" w:sz="6" w:space="0" w:color="auto"/>
            </w:tcBorders>
            <w:tcMar>
              <w:left w:w="90" w:type="dxa"/>
              <w:right w:w="90" w:type="dxa"/>
            </w:tcMar>
            <w:vAlign w:val="center"/>
          </w:tcPr>
          <w:p w14:paraId="5BB730A3" w14:textId="7088E762" w:rsidR="4E36C058" w:rsidRDefault="4E36C058" w:rsidP="4E36C058">
            <w:pPr>
              <w:rPr>
                <w:rFonts w:ascii="Arial" w:eastAsia="Arial" w:hAnsi="Arial" w:cs="Arial"/>
              </w:rPr>
            </w:pPr>
            <w:r w:rsidRPr="4E36C058">
              <w:rPr>
                <w:rFonts w:ascii="Arial" w:eastAsia="Arial" w:hAnsi="Arial" w:cs="Arial"/>
              </w:rPr>
              <w:t>Gerente de Inversión Privada</w:t>
            </w:r>
          </w:p>
        </w:tc>
      </w:tr>
      <w:tr w:rsidR="4E36C058" w14:paraId="529FC101" w14:textId="77777777" w:rsidTr="2F69AA16">
        <w:trPr>
          <w:trHeight w:val="300"/>
        </w:trPr>
        <w:tc>
          <w:tcPr>
            <w:tcW w:w="4500" w:type="dxa"/>
            <w:tcBorders>
              <w:left w:val="single" w:sz="6" w:space="0" w:color="auto"/>
            </w:tcBorders>
            <w:tcMar>
              <w:left w:w="90" w:type="dxa"/>
              <w:right w:w="90" w:type="dxa"/>
            </w:tcMar>
            <w:vAlign w:val="center"/>
          </w:tcPr>
          <w:p w14:paraId="7805B14C" w14:textId="414ABA90" w:rsidR="4E36C058" w:rsidRDefault="4E36C058" w:rsidP="4E36C058">
            <w:pPr>
              <w:rPr>
                <w:rFonts w:ascii="Arial" w:eastAsia="Arial" w:hAnsi="Arial" w:cs="Arial"/>
              </w:rPr>
            </w:pPr>
            <w:r w:rsidRPr="4E36C058">
              <w:rPr>
                <w:rFonts w:ascii="Arial" w:eastAsia="Arial" w:hAnsi="Arial" w:cs="Arial"/>
                <w:b/>
                <w:bCs/>
              </w:rPr>
              <w:t>Empresa:</w:t>
            </w:r>
          </w:p>
        </w:tc>
        <w:tc>
          <w:tcPr>
            <w:tcW w:w="4500" w:type="dxa"/>
            <w:tcBorders>
              <w:right w:val="single" w:sz="6" w:space="0" w:color="auto"/>
            </w:tcBorders>
            <w:tcMar>
              <w:left w:w="90" w:type="dxa"/>
              <w:right w:w="90" w:type="dxa"/>
            </w:tcMar>
            <w:vAlign w:val="center"/>
          </w:tcPr>
          <w:p w14:paraId="0810114C" w14:textId="09445AB0" w:rsidR="4E36C058" w:rsidRDefault="4E36C058" w:rsidP="4E36C058">
            <w:pPr>
              <w:rPr>
                <w:rFonts w:ascii="Arial" w:eastAsia="Arial" w:hAnsi="Arial" w:cs="Arial"/>
              </w:rPr>
            </w:pPr>
            <w:r w:rsidRPr="4E36C058">
              <w:rPr>
                <w:rFonts w:ascii="Arial" w:eastAsia="Arial" w:hAnsi="Arial" w:cs="Arial"/>
              </w:rPr>
              <w:t>Activos Mineros S.A.C.</w:t>
            </w:r>
          </w:p>
        </w:tc>
      </w:tr>
      <w:tr w:rsidR="4E36C058" w14:paraId="29C8528E" w14:textId="77777777" w:rsidTr="2F69AA16">
        <w:trPr>
          <w:trHeight w:val="300"/>
        </w:trPr>
        <w:tc>
          <w:tcPr>
            <w:tcW w:w="4500" w:type="dxa"/>
            <w:tcBorders>
              <w:left w:val="single" w:sz="6" w:space="0" w:color="auto"/>
            </w:tcBorders>
            <w:tcMar>
              <w:left w:w="90" w:type="dxa"/>
              <w:right w:w="90" w:type="dxa"/>
            </w:tcMar>
            <w:vAlign w:val="center"/>
          </w:tcPr>
          <w:p w14:paraId="45942F7A" w14:textId="026EFE4F" w:rsidR="4E36C058" w:rsidRDefault="4E36C058" w:rsidP="4E36C058">
            <w:pPr>
              <w:rPr>
                <w:rFonts w:ascii="Arial" w:eastAsia="Arial" w:hAnsi="Arial" w:cs="Arial"/>
              </w:rPr>
            </w:pPr>
            <w:r w:rsidRPr="4E36C058">
              <w:rPr>
                <w:rFonts w:ascii="Arial" w:eastAsia="Arial" w:hAnsi="Arial" w:cs="Arial"/>
                <w:b/>
                <w:bCs/>
              </w:rPr>
              <w:t>Correo corporativo:</w:t>
            </w:r>
          </w:p>
        </w:tc>
        <w:tc>
          <w:tcPr>
            <w:tcW w:w="4500" w:type="dxa"/>
            <w:tcBorders>
              <w:right w:val="single" w:sz="6" w:space="0" w:color="auto"/>
            </w:tcBorders>
            <w:tcMar>
              <w:left w:w="90" w:type="dxa"/>
              <w:right w:w="90" w:type="dxa"/>
            </w:tcMar>
            <w:vAlign w:val="center"/>
          </w:tcPr>
          <w:p w14:paraId="01F5504A" w14:textId="00F4300F" w:rsidR="4E36C058" w:rsidRDefault="4E36C058" w:rsidP="6D860E73">
            <w:pPr>
              <w:rPr>
                <w:rFonts w:ascii="Arial" w:eastAsia="Arial" w:hAnsi="Arial" w:cs="Arial"/>
              </w:rPr>
            </w:pPr>
            <w:hyperlink r:id="rId8">
              <w:r w:rsidRPr="6D860E73">
                <w:rPr>
                  <w:rStyle w:val="Hipervnculo"/>
                  <w:rFonts w:ascii="Arial" w:eastAsia="Arial" w:hAnsi="Arial" w:cs="Arial"/>
                </w:rPr>
                <w:t>Dante.Aguilar@amsac.pe</w:t>
              </w:r>
            </w:hyperlink>
          </w:p>
        </w:tc>
      </w:tr>
      <w:tr w:rsidR="4E36C058" w14:paraId="5FD36B49" w14:textId="77777777" w:rsidTr="2F69AA16">
        <w:trPr>
          <w:trHeight w:val="300"/>
        </w:trPr>
        <w:tc>
          <w:tcPr>
            <w:tcW w:w="4500" w:type="dxa"/>
            <w:tcBorders>
              <w:left w:val="single" w:sz="6" w:space="0" w:color="auto"/>
            </w:tcBorders>
            <w:tcMar>
              <w:left w:w="90" w:type="dxa"/>
              <w:right w:w="90" w:type="dxa"/>
            </w:tcMar>
            <w:vAlign w:val="center"/>
          </w:tcPr>
          <w:p w14:paraId="625760D9" w14:textId="3DDF50CA" w:rsidR="4E36C058" w:rsidRDefault="4E36C058" w:rsidP="4E36C058">
            <w:pPr>
              <w:rPr>
                <w:rFonts w:ascii="Arial" w:eastAsia="Arial" w:hAnsi="Arial" w:cs="Arial"/>
              </w:rPr>
            </w:pPr>
            <w:r w:rsidRPr="4E36C058">
              <w:rPr>
                <w:rFonts w:ascii="Arial" w:eastAsia="Arial" w:hAnsi="Arial" w:cs="Arial"/>
                <w:b/>
                <w:bCs/>
              </w:rPr>
              <w:t>Correo personal:</w:t>
            </w:r>
          </w:p>
        </w:tc>
        <w:tc>
          <w:tcPr>
            <w:tcW w:w="4500" w:type="dxa"/>
            <w:tcBorders>
              <w:right w:val="single" w:sz="6" w:space="0" w:color="auto"/>
            </w:tcBorders>
            <w:tcMar>
              <w:left w:w="90" w:type="dxa"/>
              <w:right w:w="90" w:type="dxa"/>
            </w:tcMar>
            <w:vAlign w:val="center"/>
          </w:tcPr>
          <w:p w14:paraId="3250DDE8" w14:textId="36BA0E55" w:rsidR="4E36C058" w:rsidRDefault="4E36C058" w:rsidP="6D860E73">
            <w:pPr>
              <w:rPr>
                <w:rFonts w:ascii="Arial" w:eastAsia="Arial" w:hAnsi="Arial" w:cs="Arial"/>
              </w:rPr>
            </w:pPr>
            <w:hyperlink r:id="rId9">
              <w:r w:rsidRPr="6D860E73">
                <w:rPr>
                  <w:rStyle w:val="Hipervnculo"/>
                  <w:rFonts w:ascii="Arial" w:eastAsia="Arial" w:hAnsi="Arial" w:cs="Arial"/>
                </w:rPr>
                <w:t>dante.aguilar@outlook.com</w:t>
              </w:r>
            </w:hyperlink>
          </w:p>
        </w:tc>
      </w:tr>
      <w:tr w:rsidR="4E36C058" w14:paraId="2A2E80B9" w14:textId="77777777" w:rsidTr="2F69AA16">
        <w:trPr>
          <w:trHeight w:val="300"/>
        </w:trPr>
        <w:tc>
          <w:tcPr>
            <w:tcW w:w="4500" w:type="dxa"/>
            <w:tcBorders>
              <w:left w:val="single" w:sz="6" w:space="0" w:color="auto"/>
            </w:tcBorders>
            <w:tcMar>
              <w:left w:w="90" w:type="dxa"/>
              <w:right w:w="90" w:type="dxa"/>
            </w:tcMar>
            <w:vAlign w:val="center"/>
          </w:tcPr>
          <w:p w14:paraId="14DACF47" w14:textId="38899C65" w:rsidR="4E36C058" w:rsidRDefault="4E36C058" w:rsidP="4E36C058">
            <w:pPr>
              <w:rPr>
                <w:rFonts w:ascii="Arial" w:eastAsia="Arial" w:hAnsi="Arial" w:cs="Arial"/>
              </w:rPr>
            </w:pPr>
            <w:r w:rsidRPr="4E36C058">
              <w:rPr>
                <w:rFonts w:ascii="Arial" w:eastAsia="Arial" w:hAnsi="Arial" w:cs="Arial"/>
                <w:b/>
                <w:bCs/>
              </w:rPr>
              <w:t>Dirección:</w:t>
            </w:r>
          </w:p>
        </w:tc>
        <w:tc>
          <w:tcPr>
            <w:tcW w:w="4500" w:type="dxa"/>
            <w:tcBorders>
              <w:right w:val="single" w:sz="6" w:space="0" w:color="auto"/>
            </w:tcBorders>
            <w:tcMar>
              <w:left w:w="90" w:type="dxa"/>
              <w:right w:w="90" w:type="dxa"/>
            </w:tcMar>
            <w:vAlign w:val="center"/>
          </w:tcPr>
          <w:p w14:paraId="4DA36F35" w14:textId="574881CA" w:rsidR="4E36C058" w:rsidRDefault="4E36C058" w:rsidP="4E36C058">
            <w:pPr>
              <w:rPr>
                <w:rFonts w:ascii="Arial" w:eastAsia="Arial" w:hAnsi="Arial" w:cs="Arial"/>
                <w:color w:val="2A2A2A"/>
              </w:rPr>
            </w:pPr>
            <w:r w:rsidRPr="4E36C058">
              <w:rPr>
                <w:rFonts w:ascii="Arial" w:eastAsia="Arial" w:hAnsi="Arial" w:cs="Arial"/>
                <w:color w:val="2A2A2A"/>
              </w:rPr>
              <w:t>Calle Domingo Elías 148, Lima 18 - Perú</w:t>
            </w:r>
          </w:p>
        </w:tc>
      </w:tr>
      <w:tr w:rsidR="4E36C058" w14:paraId="5D742751" w14:textId="77777777" w:rsidTr="2F69AA16">
        <w:trPr>
          <w:trHeight w:val="300"/>
        </w:trPr>
        <w:tc>
          <w:tcPr>
            <w:tcW w:w="4500" w:type="dxa"/>
            <w:tcBorders>
              <w:left w:val="single" w:sz="6" w:space="0" w:color="auto"/>
            </w:tcBorders>
            <w:tcMar>
              <w:left w:w="90" w:type="dxa"/>
              <w:right w:w="90" w:type="dxa"/>
            </w:tcMar>
            <w:vAlign w:val="center"/>
          </w:tcPr>
          <w:p w14:paraId="50A5DB85" w14:textId="7CCD897D" w:rsidR="4E36C058" w:rsidRDefault="4E36C058" w:rsidP="4E36C058">
            <w:pPr>
              <w:rPr>
                <w:rFonts w:ascii="Arial" w:eastAsia="Arial" w:hAnsi="Arial" w:cs="Arial"/>
              </w:rPr>
            </w:pPr>
            <w:r w:rsidRPr="4E36C058">
              <w:rPr>
                <w:rFonts w:ascii="Arial" w:eastAsia="Arial" w:hAnsi="Arial" w:cs="Arial"/>
                <w:b/>
                <w:bCs/>
              </w:rPr>
              <w:t>Celular:</w:t>
            </w:r>
          </w:p>
        </w:tc>
        <w:tc>
          <w:tcPr>
            <w:tcW w:w="4500" w:type="dxa"/>
            <w:tcBorders>
              <w:right w:val="single" w:sz="6" w:space="0" w:color="auto"/>
            </w:tcBorders>
            <w:tcMar>
              <w:left w:w="90" w:type="dxa"/>
              <w:right w:w="90" w:type="dxa"/>
            </w:tcMar>
            <w:vAlign w:val="center"/>
          </w:tcPr>
          <w:p w14:paraId="249B43E2" w14:textId="586882AB" w:rsidR="4E36C058" w:rsidRDefault="4E36C058" w:rsidP="4E36C058">
            <w:pPr>
              <w:rPr>
                <w:rFonts w:ascii="Arial" w:eastAsia="Arial" w:hAnsi="Arial" w:cs="Arial"/>
              </w:rPr>
            </w:pPr>
            <w:r w:rsidRPr="4E36C058">
              <w:rPr>
                <w:rFonts w:ascii="Arial" w:eastAsia="Arial" w:hAnsi="Arial" w:cs="Arial"/>
              </w:rPr>
              <w:t>969456983</w:t>
            </w:r>
          </w:p>
        </w:tc>
      </w:tr>
      <w:tr w:rsidR="4E36C058" w14:paraId="5FC27851" w14:textId="77777777" w:rsidTr="2F69AA16">
        <w:trPr>
          <w:trHeight w:val="300"/>
        </w:trPr>
        <w:tc>
          <w:tcPr>
            <w:tcW w:w="4500" w:type="dxa"/>
            <w:tcBorders>
              <w:left w:val="single" w:sz="6" w:space="0" w:color="auto"/>
            </w:tcBorders>
            <w:tcMar>
              <w:left w:w="90" w:type="dxa"/>
              <w:right w:w="90" w:type="dxa"/>
            </w:tcMar>
            <w:vAlign w:val="center"/>
          </w:tcPr>
          <w:p w14:paraId="5AB32ECA" w14:textId="66585E88" w:rsidR="4E36C058" w:rsidRDefault="4E36C058" w:rsidP="4E36C058">
            <w:pPr>
              <w:rPr>
                <w:rFonts w:ascii="Arial" w:eastAsia="Arial" w:hAnsi="Arial" w:cs="Arial"/>
              </w:rPr>
            </w:pPr>
            <w:r w:rsidRPr="4E36C058">
              <w:rPr>
                <w:rFonts w:ascii="Arial" w:eastAsia="Arial" w:hAnsi="Arial" w:cs="Arial"/>
                <w:b/>
                <w:bCs/>
              </w:rPr>
              <w:t>Reseña profesional:</w:t>
            </w:r>
          </w:p>
        </w:tc>
        <w:tc>
          <w:tcPr>
            <w:tcW w:w="4500" w:type="dxa"/>
            <w:tcBorders>
              <w:right w:val="single" w:sz="6" w:space="0" w:color="auto"/>
            </w:tcBorders>
            <w:tcMar>
              <w:left w:w="90" w:type="dxa"/>
              <w:right w:w="90" w:type="dxa"/>
            </w:tcMar>
            <w:vAlign w:val="center"/>
          </w:tcPr>
          <w:p w14:paraId="1B5798AA" w14:textId="68757A7F" w:rsidR="4E36C058" w:rsidRDefault="4E36C058" w:rsidP="4E36C058">
            <w:pPr>
              <w:rPr>
                <w:rFonts w:ascii="Arial" w:eastAsia="Arial" w:hAnsi="Arial" w:cs="Arial"/>
              </w:rPr>
            </w:pPr>
            <w:r w:rsidRPr="4E36C058">
              <w:rPr>
                <w:rFonts w:ascii="Arial" w:eastAsia="Arial" w:hAnsi="Arial" w:cs="Arial"/>
              </w:rPr>
              <w:t xml:space="preserve">Abogado senior con sólida trayectoria en el ámbito corporativo, especializado en sectores estratégicos como energía, minería, infraestructura y promoción de la inversión privada. Ha liderado áreas legales en empresas de alto impacto como ProInversión, Grupo Gloria y Activos Mineros S.A.C., destacando por su enfoque en cumplimiento normativo, prevención de contingencias y resolución de controversias. Posee formación académica robusta, con un Máster en Derecho Internacional de la Empresa y estudios de maestría en Regulación y Gestión Empresarial. Su perfil combina </w:t>
            </w:r>
            <w:proofErr w:type="spellStart"/>
            <w:r w:rsidRPr="4E36C058">
              <w:rPr>
                <w:rFonts w:ascii="Arial" w:eastAsia="Arial" w:hAnsi="Arial" w:cs="Arial"/>
              </w:rPr>
              <w:t>expertise</w:t>
            </w:r>
            <w:proofErr w:type="spellEnd"/>
            <w:r w:rsidRPr="4E36C058">
              <w:rPr>
                <w:rFonts w:ascii="Arial" w:eastAsia="Arial" w:hAnsi="Arial" w:cs="Arial"/>
              </w:rPr>
              <w:t xml:space="preserve"> técnico, visión estratégica y liderazgo probado en entornos complejos y regulados.</w:t>
            </w:r>
          </w:p>
        </w:tc>
      </w:tr>
      <w:tr w:rsidR="4E36C058" w14:paraId="154C3030" w14:textId="77777777" w:rsidTr="2F69AA16">
        <w:trPr>
          <w:trHeight w:val="300"/>
        </w:trPr>
        <w:tc>
          <w:tcPr>
            <w:tcW w:w="4500" w:type="dxa"/>
            <w:tcBorders>
              <w:left w:val="single" w:sz="6" w:space="0" w:color="auto"/>
              <w:bottom w:val="single" w:sz="6" w:space="0" w:color="auto"/>
            </w:tcBorders>
            <w:tcMar>
              <w:left w:w="90" w:type="dxa"/>
              <w:right w:w="90" w:type="dxa"/>
            </w:tcMar>
            <w:vAlign w:val="center"/>
          </w:tcPr>
          <w:p w14:paraId="65113B7D" w14:textId="69CE9205" w:rsidR="4E36C058" w:rsidRDefault="4E36C058" w:rsidP="4E36C058">
            <w:pPr>
              <w:rPr>
                <w:rFonts w:ascii="Arial" w:eastAsia="Arial" w:hAnsi="Arial" w:cs="Arial"/>
              </w:rPr>
            </w:pPr>
            <w:r w:rsidRPr="4E36C058">
              <w:rPr>
                <w:rFonts w:ascii="Arial" w:eastAsia="Arial" w:hAnsi="Arial" w:cs="Arial"/>
                <w:b/>
                <w:bCs/>
              </w:rPr>
              <w:t>Palabras claves:</w:t>
            </w:r>
          </w:p>
        </w:tc>
        <w:tc>
          <w:tcPr>
            <w:tcW w:w="4500" w:type="dxa"/>
            <w:tcBorders>
              <w:bottom w:val="single" w:sz="6" w:space="0" w:color="auto"/>
              <w:right w:val="single" w:sz="6" w:space="0" w:color="auto"/>
            </w:tcBorders>
            <w:tcMar>
              <w:left w:w="90" w:type="dxa"/>
              <w:right w:w="90" w:type="dxa"/>
            </w:tcMar>
            <w:vAlign w:val="center"/>
          </w:tcPr>
          <w:p w14:paraId="38266B99" w14:textId="06C31BE4" w:rsidR="3FA1A0D9" w:rsidRDefault="3FA1A0D9" w:rsidP="6D860E73">
            <w:pPr>
              <w:rPr>
                <w:rFonts w:ascii="Arial" w:eastAsia="Arial" w:hAnsi="Arial" w:cs="Arial"/>
              </w:rPr>
            </w:pPr>
            <w:r w:rsidRPr="6D860E73">
              <w:rPr>
                <w:rFonts w:ascii="Arial" w:eastAsia="Arial" w:hAnsi="Arial" w:cs="Arial"/>
              </w:rPr>
              <w:t>Ladrillos ecológicos, aguas ácidas mineras, lodos de tratamiento, drenaje ácido de mina, revalorización minera, materiales sostenibles</w:t>
            </w:r>
          </w:p>
          <w:p w14:paraId="2BE43ADB" w14:textId="015EABC7" w:rsidR="4E36C058" w:rsidRDefault="4E36C058" w:rsidP="6D860E73">
            <w:pPr>
              <w:rPr>
                <w:rFonts w:ascii="Arial" w:eastAsia="Arial" w:hAnsi="Arial" w:cs="Arial"/>
              </w:rPr>
            </w:pPr>
          </w:p>
        </w:tc>
      </w:tr>
    </w:tbl>
    <w:p w14:paraId="29299656" w14:textId="1E0A3F0B" w:rsidR="0FC105E6" w:rsidRDefault="7F3E744A" w:rsidP="6D860E73">
      <w:pPr>
        <w:spacing w:before="281" w:after="281"/>
        <w:rPr>
          <w:rFonts w:ascii="Arial" w:eastAsia="Arial" w:hAnsi="Arial" w:cs="Arial"/>
          <w:b/>
          <w:bCs/>
        </w:rPr>
      </w:pPr>
      <w:r w:rsidRPr="6D860E73">
        <w:rPr>
          <w:rFonts w:ascii="Arial" w:eastAsia="Arial" w:hAnsi="Arial" w:cs="Arial"/>
          <w:b/>
          <w:bCs/>
        </w:rPr>
        <w:t>1. Contexto o escenario del trabajo</w:t>
      </w:r>
    </w:p>
    <w:p w14:paraId="6CAC43C2" w14:textId="4E363128" w:rsidR="30BD1935" w:rsidRDefault="30BD1935" w:rsidP="6D860E73">
      <w:pPr>
        <w:spacing w:before="240" w:after="240" w:line="276" w:lineRule="auto"/>
        <w:jc w:val="both"/>
        <w:rPr>
          <w:rFonts w:ascii="Arial" w:eastAsia="Arial" w:hAnsi="Arial" w:cs="Arial"/>
        </w:rPr>
      </w:pPr>
      <w:r w:rsidRPr="6D860E73">
        <w:rPr>
          <w:rFonts w:ascii="Arial" w:eastAsia="Arial" w:hAnsi="Arial" w:cs="Arial"/>
        </w:rPr>
        <w:t xml:space="preserve">En el marco de las actividades de remediación ambiental desarrolladas por AMSAC, uno de los principales retos técnicos y operativos es la gestión de los lodos generados </w:t>
      </w:r>
      <w:r w:rsidRPr="6D860E73">
        <w:rPr>
          <w:rFonts w:ascii="Arial" w:eastAsia="Arial" w:hAnsi="Arial" w:cs="Arial"/>
        </w:rPr>
        <w:lastRenderedPageBreak/>
        <w:t>durante los procesos de neutralización de aguas ácidas provenientes del Túnel Pucará y la Bocamina Azalia. Estos lodos son un subproducto inevitable del tratamiento químico que se realiza para mitigar la acidez y toxicidad de dichas aguas, y, al tratarse de residuos con características especiales, requieren ser almacenados de forma segura y controlada.</w:t>
      </w:r>
    </w:p>
    <w:p w14:paraId="30DA8D2A" w14:textId="5DE3467C" w:rsidR="30BD1935" w:rsidRDefault="30BD1935" w:rsidP="6D860E73">
      <w:pPr>
        <w:spacing w:before="240" w:after="240" w:line="276" w:lineRule="auto"/>
        <w:jc w:val="both"/>
        <w:rPr>
          <w:rFonts w:ascii="Arial" w:eastAsia="Arial" w:hAnsi="Arial" w:cs="Arial"/>
        </w:rPr>
      </w:pPr>
      <w:r w:rsidRPr="6D860E73">
        <w:rPr>
          <w:rFonts w:ascii="Arial" w:eastAsia="Arial" w:hAnsi="Arial" w:cs="Arial"/>
        </w:rPr>
        <w:t>Sin embargo, la generación constante de estos lodos implica un uso intensivo de espacio físico para su acumulación, lo que representa un desafío creciente en términos de sostenibilidad, costo y gestión logística. Frente a esta problemática, el proyecto LodoBricks surge como una alternativa innovadora que busca transformar estos pasivos en activos mediante su valorización como materia prima para la fabricación de ladrillos ecológicos. Esta propuesta se enmarca en un enfoque de economía circular, que vincula la gestión de residuos con soluciones constructivas sostenibles y replicables.</w:t>
      </w:r>
    </w:p>
    <w:p w14:paraId="2EA155EB" w14:textId="1FFECA6A" w:rsidR="4F2F950F" w:rsidRDefault="4F2F950F" w:rsidP="6D860E73">
      <w:pPr>
        <w:spacing w:line="360" w:lineRule="auto"/>
        <w:rPr>
          <w:rFonts w:ascii="Arial" w:eastAsia="Arial" w:hAnsi="Arial" w:cs="Arial"/>
        </w:rPr>
      </w:pPr>
      <w:r w:rsidRPr="6D860E73">
        <w:rPr>
          <w:rFonts w:ascii="Arial" w:eastAsia="Arial" w:hAnsi="Arial" w:cs="Arial"/>
          <w:b/>
          <w:bCs/>
        </w:rPr>
        <w:t>2. Objetivo del trabajo</w:t>
      </w:r>
    </w:p>
    <w:p w14:paraId="32BCAABB" w14:textId="1CDA3BBB" w:rsidR="7D89CCD5" w:rsidRDefault="7D89CCD5" w:rsidP="6D860E73">
      <w:pPr>
        <w:spacing w:line="276" w:lineRule="auto"/>
        <w:rPr>
          <w:rFonts w:ascii="Arial" w:eastAsia="Arial" w:hAnsi="Arial" w:cs="Arial"/>
        </w:rPr>
      </w:pPr>
      <w:r w:rsidRPr="6D860E73">
        <w:rPr>
          <w:rFonts w:ascii="Arial" w:eastAsia="Arial" w:hAnsi="Arial" w:cs="Arial"/>
        </w:rPr>
        <w:t>El objetivo principal del proyecto es reducir la acumulación de lodos generados por</w:t>
      </w:r>
      <w:r w:rsidR="7E4F006F" w:rsidRPr="6D860E73">
        <w:rPr>
          <w:rFonts w:ascii="Arial" w:eastAsia="Arial" w:hAnsi="Arial" w:cs="Arial"/>
        </w:rPr>
        <w:t xml:space="preserve"> </w:t>
      </w:r>
      <w:r w:rsidRPr="6D860E73">
        <w:rPr>
          <w:rFonts w:ascii="Arial" w:eastAsia="Arial" w:hAnsi="Arial" w:cs="Arial"/>
        </w:rPr>
        <w:t>procesos de neutralización de aguas ácidas, a través de su valorización como materia prima</w:t>
      </w:r>
      <w:r w:rsidR="2E41D56A" w:rsidRPr="6D860E73">
        <w:rPr>
          <w:rFonts w:ascii="Arial" w:eastAsia="Arial" w:hAnsi="Arial" w:cs="Arial"/>
        </w:rPr>
        <w:t xml:space="preserve"> </w:t>
      </w:r>
      <w:r w:rsidRPr="6D860E73">
        <w:rPr>
          <w:rFonts w:ascii="Arial" w:eastAsia="Arial" w:hAnsi="Arial" w:cs="Arial"/>
        </w:rPr>
        <w:t>para la fabricación de ladrillos ecológicos.</w:t>
      </w:r>
    </w:p>
    <w:p w14:paraId="4DE86798" w14:textId="0B3909D0" w:rsidR="7D89CCD5" w:rsidRDefault="7D89CCD5" w:rsidP="6D860E73">
      <w:pPr>
        <w:spacing w:line="276" w:lineRule="auto"/>
        <w:rPr>
          <w:rFonts w:ascii="Arial" w:eastAsia="Arial" w:hAnsi="Arial" w:cs="Arial"/>
        </w:rPr>
      </w:pPr>
      <w:r w:rsidRPr="6D860E73">
        <w:rPr>
          <w:rFonts w:ascii="Arial" w:eastAsia="Arial" w:hAnsi="Arial" w:cs="Arial"/>
        </w:rPr>
        <w:t>Entre los objetivos específicos se incluyen:</w:t>
      </w:r>
    </w:p>
    <w:p w14:paraId="544D15EF" w14:textId="76133D50" w:rsidR="7D89CCD5" w:rsidRDefault="7D89CCD5" w:rsidP="457DECFA">
      <w:pPr>
        <w:pStyle w:val="Prrafodelista"/>
        <w:numPr>
          <w:ilvl w:val="0"/>
          <w:numId w:val="4"/>
        </w:numPr>
        <w:spacing w:before="240" w:after="240" w:line="276" w:lineRule="auto"/>
        <w:jc w:val="both"/>
        <w:rPr>
          <w:rFonts w:ascii="Arial" w:eastAsia="Arial" w:hAnsi="Arial" w:cs="Arial"/>
        </w:rPr>
      </w:pPr>
      <w:r w:rsidRPr="6D860E73">
        <w:rPr>
          <w:rFonts w:ascii="Arial" w:eastAsia="Arial" w:hAnsi="Arial" w:cs="Arial"/>
        </w:rPr>
        <w:t>Formular mezclas técnicamente viables y ambientalmente seguras.</w:t>
      </w:r>
    </w:p>
    <w:p w14:paraId="28A449BF" w14:textId="13CF1D8E" w:rsidR="7D89CCD5" w:rsidRDefault="7D89CCD5" w:rsidP="457DECFA">
      <w:pPr>
        <w:pStyle w:val="Prrafodelista"/>
        <w:numPr>
          <w:ilvl w:val="0"/>
          <w:numId w:val="4"/>
        </w:numPr>
        <w:spacing w:before="240" w:after="240" w:line="276" w:lineRule="auto"/>
        <w:jc w:val="both"/>
        <w:rPr>
          <w:rFonts w:ascii="Arial" w:eastAsia="Arial" w:hAnsi="Arial" w:cs="Arial"/>
        </w:rPr>
      </w:pPr>
      <w:r w:rsidRPr="6D860E73">
        <w:rPr>
          <w:rFonts w:ascii="Arial" w:eastAsia="Arial" w:hAnsi="Arial" w:cs="Arial"/>
        </w:rPr>
        <w:t>Validar el producto mediante ensayos de resistencia, lixiviación y caracterización.</w:t>
      </w:r>
    </w:p>
    <w:p w14:paraId="3F931F83" w14:textId="24100A7C" w:rsidR="7D89CCD5" w:rsidRDefault="7D89CCD5" w:rsidP="457DECFA">
      <w:pPr>
        <w:pStyle w:val="Prrafodelista"/>
        <w:numPr>
          <w:ilvl w:val="0"/>
          <w:numId w:val="4"/>
        </w:numPr>
        <w:spacing w:before="240" w:after="240" w:line="276" w:lineRule="auto"/>
        <w:jc w:val="both"/>
        <w:rPr>
          <w:rFonts w:ascii="Arial" w:eastAsia="Arial" w:hAnsi="Arial" w:cs="Arial"/>
        </w:rPr>
      </w:pPr>
      <w:r w:rsidRPr="6D860E73">
        <w:rPr>
          <w:rFonts w:ascii="Arial" w:eastAsia="Arial" w:hAnsi="Arial" w:cs="Arial"/>
        </w:rPr>
        <w:t>Instalar una línea piloto de producción escalable y replicable.</w:t>
      </w:r>
    </w:p>
    <w:p w14:paraId="21D58B12" w14:textId="4A902CBA" w:rsidR="7D89CCD5" w:rsidRDefault="7D89CCD5" w:rsidP="457DECFA">
      <w:pPr>
        <w:pStyle w:val="Prrafodelista"/>
        <w:numPr>
          <w:ilvl w:val="0"/>
          <w:numId w:val="4"/>
        </w:numPr>
        <w:spacing w:before="240" w:after="240" w:line="276" w:lineRule="auto"/>
        <w:jc w:val="both"/>
        <w:rPr>
          <w:rFonts w:ascii="Arial" w:eastAsia="Arial" w:hAnsi="Arial" w:cs="Arial"/>
        </w:rPr>
      </w:pPr>
      <w:r w:rsidRPr="6D860E73">
        <w:rPr>
          <w:rFonts w:ascii="Arial" w:eastAsia="Arial" w:hAnsi="Arial" w:cs="Arial"/>
        </w:rPr>
        <w:t>Fomentar el uso de materiales alternativos en la construcción sostenible.</w:t>
      </w:r>
    </w:p>
    <w:p w14:paraId="003ADBDE" w14:textId="1FAE536F" w:rsidR="4F2F950F" w:rsidRDefault="4F2F950F" w:rsidP="6D860E73">
      <w:pPr>
        <w:spacing w:line="360" w:lineRule="auto"/>
        <w:rPr>
          <w:rFonts w:ascii="Arial" w:eastAsia="Arial" w:hAnsi="Arial" w:cs="Arial"/>
          <w:b/>
          <w:bCs/>
        </w:rPr>
      </w:pPr>
      <w:r w:rsidRPr="6D860E73">
        <w:rPr>
          <w:rFonts w:ascii="Arial" w:eastAsia="Arial" w:hAnsi="Arial" w:cs="Arial"/>
          <w:b/>
          <w:bCs/>
        </w:rPr>
        <w:t>3. Metodología empleada</w:t>
      </w:r>
    </w:p>
    <w:p w14:paraId="72F4CCBE" w14:textId="519D990E" w:rsidR="37BEF8D3" w:rsidRDefault="37BEF8D3" w:rsidP="6D860E73">
      <w:pPr>
        <w:spacing w:line="276" w:lineRule="auto"/>
        <w:jc w:val="both"/>
        <w:rPr>
          <w:rFonts w:ascii="Arial" w:eastAsia="Arial" w:hAnsi="Arial" w:cs="Arial"/>
        </w:rPr>
      </w:pPr>
      <w:r w:rsidRPr="6D860E73">
        <w:rPr>
          <w:rFonts w:ascii="Arial" w:eastAsia="Arial" w:hAnsi="Arial" w:cs="Arial"/>
        </w:rPr>
        <w:t>La ejecución del proyecto contempló una etapa inicial de recolección, secado y tratamiento de lodos, seguida de un proceso de formulación de mezclas que integran los lodos con arcilla, arena fina, cemento y aditivos como fibras naturales, evaluando distintas proporciones para garantizar calidad estructural y estabilidad ambiental.</w:t>
      </w:r>
    </w:p>
    <w:p w14:paraId="059D18A9" w14:textId="53BCA49D" w:rsidR="37BEF8D3" w:rsidRDefault="37BEF8D3" w:rsidP="457DECFA">
      <w:pPr>
        <w:spacing w:before="240" w:after="240" w:line="276" w:lineRule="auto"/>
        <w:jc w:val="both"/>
        <w:rPr>
          <w:rFonts w:ascii="Arial" w:eastAsia="Arial" w:hAnsi="Arial" w:cs="Arial"/>
        </w:rPr>
      </w:pPr>
      <w:r w:rsidRPr="6D860E73">
        <w:rPr>
          <w:rFonts w:ascii="Arial" w:eastAsia="Arial" w:hAnsi="Arial" w:cs="Arial"/>
        </w:rPr>
        <w:t>Posteriormente, se desarrollaron pruebas de laboratorio para validar el producto: granulometría, compresión, lixiviación NAG, ABA, análisis químico ICP y mineralógico (DRX). Estas pruebas fueron realizadas en colaboración con instituciones técnicas como la PUCP y UTEC, asegurando estándares de rigurosidad.</w:t>
      </w:r>
    </w:p>
    <w:p w14:paraId="0A48FC36" w14:textId="408DE274" w:rsidR="37BEF8D3" w:rsidRDefault="37BEF8D3" w:rsidP="457DECFA">
      <w:pPr>
        <w:spacing w:before="240" w:after="240" w:line="276" w:lineRule="auto"/>
        <w:jc w:val="both"/>
        <w:rPr>
          <w:rFonts w:ascii="Arial" w:eastAsia="Arial" w:hAnsi="Arial" w:cs="Arial"/>
        </w:rPr>
      </w:pPr>
      <w:r w:rsidRPr="6D860E73">
        <w:rPr>
          <w:rFonts w:ascii="Arial" w:eastAsia="Arial" w:hAnsi="Arial" w:cs="Arial"/>
        </w:rPr>
        <w:t>Una vez identificada la formulación óptima, se procedió a la fabricación de bloques tipo lego y pandereta en una línea piloto de producción, utilizando maquinaria especializada instalada en el CTI Pasco. Paralelamente, se capacitó al equipo técnico en el manejo de la maquinaria y el control de calidad de los ladrillos.</w:t>
      </w:r>
    </w:p>
    <w:p w14:paraId="60513DD4" w14:textId="0C9C736C" w:rsidR="4F2F950F" w:rsidRDefault="4F2F950F" w:rsidP="6D860E73">
      <w:pPr>
        <w:spacing w:line="360" w:lineRule="auto"/>
        <w:rPr>
          <w:rFonts w:ascii="Arial" w:eastAsia="Arial" w:hAnsi="Arial" w:cs="Arial"/>
          <w:b/>
          <w:bCs/>
        </w:rPr>
      </w:pPr>
      <w:r w:rsidRPr="6D860E73">
        <w:rPr>
          <w:rFonts w:ascii="Arial" w:eastAsia="Arial" w:hAnsi="Arial" w:cs="Arial"/>
          <w:b/>
          <w:bCs/>
        </w:rPr>
        <w:lastRenderedPageBreak/>
        <w:t>4. Resultados alcanzados</w:t>
      </w:r>
    </w:p>
    <w:p w14:paraId="0788E8DB" w14:textId="30E21492" w:rsidR="6139A27A" w:rsidRDefault="6139A27A" w:rsidP="6D860E73">
      <w:pPr>
        <w:spacing w:line="276" w:lineRule="auto"/>
        <w:jc w:val="both"/>
        <w:rPr>
          <w:rFonts w:ascii="Arial" w:eastAsia="Arial" w:hAnsi="Arial" w:cs="Arial"/>
        </w:rPr>
      </w:pPr>
      <w:r w:rsidRPr="6D860E73">
        <w:rPr>
          <w:rFonts w:ascii="Arial" w:eastAsia="Arial" w:hAnsi="Arial" w:cs="Arial"/>
        </w:rPr>
        <w:t xml:space="preserve">El proyecto ha logrado un avance del 95 % en su ejecución. Se han fabricado ladrillos ecológicos con formulaciones que alcanzaron altos niveles de resistencia estructural, </w:t>
      </w:r>
      <w:r w:rsidR="0097562C">
        <w:rPr>
          <w:rFonts w:ascii="Arial" w:eastAsia="Arial" w:hAnsi="Arial" w:cs="Arial"/>
        </w:rPr>
        <w:t xml:space="preserve">cumpliendo con las normas técnicas </w:t>
      </w:r>
      <w:r w:rsidR="00BC467F">
        <w:rPr>
          <w:rFonts w:ascii="Arial" w:eastAsia="Arial" w:hAnsi="Arial" w:cs="Arial"/>
        </w:rPr>
        <w:t xml:space="preserve">de </w:t>
      </w:r>
      <w:proofErr w:type="spellStart"/>
      <w:r w:rsidR="00BC467F">
        <w:rPr>
          <w:rFonts w:ascii="Arial" w:eastAsia="Arial" w:hAnsi="Arial" w:cs="Arial"/>
        </w:rPr>
        <w:t>Arbañileria</w:t>
      </w:r>
      <w:proofErr w:type="spellEnd"/>
      <w:r w:rsidR="00BC467F">
        <w:rPr>
          <w:rFonts w:ascii="Arial" w:eastAsia="Arial" w:hAnsi="Arial" w:cs="Arial"/>
        </w:rPr>
        <w:t xml:space="preserve"> para ladrillos tipo I y II </w:t>
      </w:r>
      <w:r w:rsidRPr="6D860E73">
        <w:rPr>
          <w:rFonts w:ascii="Arial" w:eastAsia="Arial" w:hAnsi="Arial" w:cs="Arial"/>
        </w:rPr>
        <w:t xml:space="preserve">y demostrando su clasificación como </w:t>
      </w:r>
      <w:r w:rsidR="00BC467F">
        <w:rPr>
          <w:rFonts w:ascii="Arial" w:eastAsia="Arial" w:hAnsi="Arial" w:cs="Arial"/>
        </w:rPr>
        <w:t>ladrillo</w:t>
      </w:r>
      <w:r w:rsidRPr="6D860E73">
        <w:rPr>
          <w:rFonts w:ascii="Arial" w:eastAsia="Arial" w:hAnsi="Arial" w:cs="Arial"/>
        </w:rPr>
        <w:t xml:space="preserve"> no generador de ácido. La instalación de la maquinaria especializada y la puesta en marcha de la línea piloto han permitido validar el proceso </w:t>
      </w:r>
      <w:r w:rsidR="00090F0D">
        <w:rPr>
          <w:rFonts w:ascii="Arial" w:eastAsia="Arial" w:hAnsi="Arial" w:cs="Arial"/>
        </w:rPr>
        <w:t>de implementar esta solución para mitigar la acumulación de lodos</w:t>
      </w:r>
      <w:r w:rsidRPr="6D860E73">
        <w:rPr>
          <w:rFonts w:ascii="Arial" w:eastAsia="Arial" w:hAnsi="Arial" w:cs="Arial"/>
        </w:rPr>
        <w:t>, evidenciando su escalabilidad.</w:t>
      </w:r>
    </w:p>
    <w:p w14:paraId="285BF490" w14:textId="15DB7EFD" w:rsidR="4F2F950F" w:rsidRDefault="4F2F950F" w:rsidP="6D860E73">
      <w:pPr>
        <w:spacing w:line="360" w:lineRule="auto"/>
        <w:rPr>
          <w:rFonts w:ascii="Arial" w:eastAsia="Arial" w:hAnsi="Arial" w:cs="Arial"/>
          <w:b/>
          <w:bCs/>
        </w:rPr>
      </w:pPr>
      <w:r w:rsidRPr="6D860E73">
        <w:rPr>
          <w:rFonts w:ascii="Arial" w:eastAsia="Arial" w:hAnsi="Arial" w:cs="Arial"/>
          <w:b/>
          <w:bCs/>
        </w:rPr>
        <w:t>5. Conclusión y recomendaciones</w:t>
      </w:r>
    </w:p>
    <w:p w14:paraId="42247DB5" w14:textId="6AE59CA8" w:rsidR="61BFAE3C" w:rsidRDefault="61BFAE3C" w:rsidP="6D860E73">
      <w:pPr>
        <w:spacing w:line="276" w:lineRule="auto"/>
        <w:jc w:val="both"/>
        <w:rPr>
          <w:rFonts w:ascii="Arial" w:eastAsia="Arial" w:hAnsi="Arial" w:cs="Arial"/>
        </w:rPr>
      </w:pPr>
      <w:r w:rsidRPr="6D860E73">
        <w:rPr>
          <w:rFonts w:ascii="Arial" w:eastAsia="Arial" w:hAnsi="Arial" w:cs="Arial"/>
        </w:rPr>
        <w:t>LodoBricks representa una propuesta técnicamente viable, ambientalmente responsable y socialmente valiosa, que permite dar un nuevo uso a residuos peligrosos provenientes de la actividad minera. Su enfoque de economía circular no solo mitiga impactos negativos, sino que también promueve el desarrollo local mediante la producción de materiales de construcción sostenibles. Se recomienda consolidar la línea de producción, continuar investigando formulaciones con mayor porcentaje de lodo, e incorporar un análisis del ciclo de vida del producto para robustecer su viabilidad técnica, ambiental y económica a largo plazo.</w:t>
      </w:r>
    </w:p>
    <w:sectPr w:rsidR="61BFAE3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7884"/>
    <w:multiLevelType w:val="hybridMultilevel"/>
    <w:tmpl w:val="9580DE4E"/>
    <w:lvl w:ilvl="0" w:tplc="F2B481F0">
      <w:start w:val="1"/>
      <w:numFmt w:val="bullet"/>
      <w:lvlText w:val=""/>
      <w:lvlJc w:val="left"/>
      <w:pPr>
        <w:ind w:left="720" w:hanging="360"/>
      </w:pPr>
      <w:rPr>
        <w:rFonts w:ascii="Symbol" w:hAnsi="Symbol" w:hint="default"/>
      </w:rPr>
    </w:lvl>
    <w:lvl w:ilvl="1" w:tplc="391AE216">
      <w:start w:val="1"/>
      <w:numFmt w:val="bullet"/>
      <w:lvlText w:val="o"/>
      <w:lvlJc w:val="left"/>
      <w:pPr>
        <w:ind w:left="1440" w:hanging="360"/>
      </w:pPr>
      <w:rPr>
        <w:rFonts w:ascii="Courier New" w:hAnsi="Courier New" w:hint="default"/>
      </w:rPr>
    </w:lvl>
    <w:lvl w:ilvl="2" w:tplc="ECF893CA">
      <w:start w:val="1"/>
      <w:numFmt w:val="bullet"/>
      <w:lvlText w:val=""/>
      <w:lvlJc w:val="left"/>
      <w:pPr>
        <w:ind w:left="2160" w:hanging="360"/>
      </w:pPr>
      <w:rPr>
        <w:rFonts w:ascii="Wingdings" w:hAnsi="Wingdings" w:hint="default"/>
      </w:rPr>
    </w:lvl>
    <w:lvl w:ilvl="3" w:tplc="3C304B3C">
      <w:start w:val="1"/>
      <w:numFmt w:val="bullet"/>
      <w:lvlText w:val=""/>
      <w:lvlJc w:val="left"/>
      <w:pPr>
        <w:ind w:left="2880" w:hanging="360"/>
      </w:pPr>
      <w:rPr>
        <w:rFonts w:ascii="Symbol" w:hAnsi="Symbol" w:hint="default"/>
      </w:rPr>
    </w:lvl>
    <w:lvl w:ilvl="4" w:tplc="BBE4BB7A">
      <w:start w:val="1"/>
      <w:numFmt w:val="bullet"/>
      <w:lvlText w:val="o"/>
      <w:lvlJc w:val="left"/>
      <w:pPr>
        <w:ind w:left="3600" w:hanging="360"/>
      </w:pPr>
      <w:rPr>
        <w:rFonts w:ascii="Courier New" w:hAnsi="Courier New" w:hint="default"/>
      </w:rPr>
    </w:lvl>
    <w:lvl w:ilvl="5" w:tplc="F14EF758">
      <w:start w:val="1"/>
      <w:numFmt w:val="bullet"/>
      <w:lvlText w:val=""/>
      <w:lvlJc w:val="left"/>
      <w:pPr>
        <w:ind w:left="4320" w:hanging="360"/>
      </w:pPr>
      <w:rPr>
        <w:rFonts w:ascii="Wingdings" w:hAnsi="Wingdings" w:hint="default"/>
      </w:rPr>
    </w:lvl>
    <w:lvl w:ilvl="6" w:tplc="8A0EDE36">
      <w:start w:val="1"/>
      <w:numFmt w:val="bullet"/>
      <w:lvlText w:val=""/>
      <w:lvlJc w:val="left"/>
      <w:pPr>
        <w:ind w:left="5040" w:hanging="360"/>
      </w:pPr>
      <w:rPr>
        <w:rFonts w:ascii="Symbol" w:hAnsi="Symbol" w:hint="default"/>
      </w:rPr>
    </w:lvl>
    <w:lvl w:ilvl="7" w:tplc="52806588">
      <w:start w:val="1"/>
      <w:numFmt w:val="bullet"/>
      <w:lvlText w:val="o"/>
      <w:lvlJc w:val="left"/>
      <w:pPr>
        <w:ind w:left="5760" w:hanging="360"/>
      </w:pPr>
      <w:rPr>
        <w:rFonts w:ascii="Courier New" w:hAnsi="Courier New" w:hint="default"/>
      </w:rPr>
    </w:lvl>
    <w:lvl w:ilvl="8" w:tplc="805243B8">
      <w:start w:val="1"/>
      <w:numFmt w:val="bullet"/>
      <w:lvlText w:val=""/>
      <w:lvlJc w:val="left"/>
      <w:pPr>
        <w:ind w:left="6480" w:hanging="360"/>
      </w:pPr>
      <w:rPr>
        <w:rFonts w:ascii="Wingdings" w:hAnsi="Wingdings" w:hint="default"/>
      </w:rPr>
    </w:lvl>
  </w:abstractNum>
  <w:abstractNum w:abstractNumId="1" w15:restartNumberingAfterBreak="0">
    <w:nsid w:val="1603FD8E"/>
    <w:multiLevelType w:val="hybridMultilevel"/>
    <w:tmpl w:val="937C8ED8"/>
    <w:lvl w:ilvl="0" w:tplc="7A5215BC">
      <w:start w:val="1"/>
      <w:numFmt w:val="bullet"/>
      <w:lvlText w:val=""/>
      <w:lvlJc w:val="left"/>
      <w:pPr>
        <w:ind w:left="720" w:hanging="360"/>
      </w:pPr>
      <w:rPr>
        <w:rFonts w:ascii="Symbol" w:hAnsi="Symbol" w:hint="default"/>
      </w:rPr>
    </w:lvl>
    <w:lvl w:ilvl="1" w:tplc="3D0C538E">
      <w:start w:val="1"/>
      <w:numFmt w:val="bullet"/>
      <w:lvlText w:val="o"/>
      <w:lvlJc w:val="left"/>
      <w:pPr>
        <w:ind w:left="1440" w:hanging="360"/>
      </w:pPr>
      <w:rPr>
        <w:rFonts w:ascii="Courier New" w:hAnsi="Courier New" w:hint="default"/>
      </w:rPr>
    </w:lvl>
    <w:lvl w:ilvl="2" w:tplc="EED2A1FC">
      <w:start w:val="1"/>
      <w:numFmt w:val="bullet"/>
      <w:lvlText w:val=""/>
      <w:lvlJc w:val="left"/>
      <w:pPr>
        <w:ind w:left="2160" w:hanging="360"/>
      </w:pPr>
      <w:rPr>
        <w:rFonts w:ascii="Wingdings" w:hAnsi="Wingdings" w:hint="default"/>
      </w:rPr>
    </w:lvl>
    <w:lvl w:ilvl="3" w:tplc="BEFC56BC">
      <w:start w:val="1"/>
      <w:numFmt w:val="bullet"/>
      <w:lvlText w:val=""/>
      <w:lvlJc w:val="left"/>
      <w:pPr>
        <w:ind w:left="2880" w:hanging="360"/>
      </w:pPr>
      <w:rPr>
        <w:rFonts w:ascii="Symbol" w:hAnsi="Symbol" w:hint="default"/>
      </w:rPr>
    </w:lvl>
    <w:lvl w:ilvl="4" w:tplc="C016BD3A">
      <w:start w:val="1"/>
      <w:numFmt w:val="bullet"/>
      <w:lvlText w:val="o"/>
      <w:lvlJc w:val="left"/>
      <w:pPr>
        <w:ind w:left="3600" w:hanging="360"/>
      </w:pPr>
      <w:rPr>
        <w:rFonts w:ascii="Courier New" w:hAnsi="Courier New" w:hint="default"/>
      </w:rPr>
    </w:lvl>
    <w:lvl w:ilvl="5" w:tplc="130ABA04">
      <w:start w:val="1"/>
      <w:numFmt w:val="bullet"/>
      <w:lvlText w:val=""/>
      <w:lvlJc w:val="left"/>
      <w:pPr>
        <w:ind w:left="4320" w:hanging="360"/>
      </w:pPr>
      <w:rPr>
        <w:rFonts w:ascii="Wingdings" w:hAnsi="Wingdings" w:hint="default"/>
      </w:rPr>
    </w:lvl>
    <w:lvl w:ilvl="6" w:tplc="B29A7168">
      <w:start w:val="1"/>
      <w:numFmt w:val="bullet"/>
      <w:lvlText w:val=""/>
      <w:lvlJc w:val="left"/>
      <w:pPr>
        <w:ind w:left="5040" w:hanging="360"/>
      </w:pPr>
      <w:rPr>
        <w:rFonts w:ascii="Symbol" w:hAnsi="Symbol" w:hint="default"/>
      </w:rPr>
    </w:lvl>
    <w:lvl w:ilvl="7" w:tplc="3DF2D460">
      <w:start w:val="1"/>
      <w:numFmt w:val="bullet"/>
      <w:lvlText w:val="o"/>
      <w:lvlJc w:val="left"/>
      <w:pPr>
        <w:ind w:left="5760" w:hanging="360"/>
      </w:pPr>
      <w:rPr>
        <w:rFonts w:ascii="Courier New" w:hAnsi="Courier New" w:hint="default"/>
      </w:rPr>
    </w:lvl>
    <w:lvl w:ilvl="8" w:tplc="254C5DC6">
      <w:start w:val="1"/>
      <w:numFmt w:val="bullet"/>
      <w:lvlText w:val=""/>
      <w:lvlJc w:val="left"/>
      <w:pPr>
        <w:ind w:left="6480" w:hanging="360"/>
      </w:pPr>
      <w:rPr>
        <w:rFonts w:ascii="Wingdings" w:hAnsi="Wingdings" w:hint="default"/>
      </w:rPr>
    </w:lvl>
  </w:abstractNum>
  <w:abstractNum w:abstractNumId="2" w15:restartNumberingAfterBreak="0">
    <w:nsid w:val="266F7C67"/>
    <w:multiLevelType w:val="hybridMultilevel"/>
    <w:tmpl w:val="5F5EF12C"/>
    <w:lvl w:ilvl="0" w:tplc="CDEC5A26">
      <w:start w:val="1"/>
      <w:numFmt w:val="bullet"/>
      <w:lvlText w:val=""/>
      <w:lvlJc w:val="left"/>
      <w:pPr>
        <w:ind w:left="720" w:hanging="360"/>
      </w:pPr>
      <w:rPr>
        <w:rFonts w:ascii="Symbol" w:hAnsi="Symbol" w:hint="default"/>
      </w:rPr>
    </w:lvl>
    <w:lvl w:ilvl="1" w:tplc="00F8A0FE">
      <w:start w:val="1"/>
      <w:numFmt w:val="bullet"/>
      <w:lvlText w:val="o"/>
      <w:lvlJc w:val="left"/>
      <w:pPr>
        <w:ind w:left="1440" w:hanging="360"/>
      </w:pPr>
      <w:rPr>
        <w:rFonts w:ascii="Courier New" w:hAnsi="Courier New" w:hint="default"/>
      </w:rPr>
    </w:lvl>
    <w:lvl w:ilvl="2" w:tplc="D59A1AB6">
      <w:start w:val="1"/>
      <w:numFmt w:val="bullet"/>
      <w:lvlText w:val=""/>
      <w:lvlJc w:val="left"/>
      <w:pPr>
        <w:ind w:left="2160" w:hanging="360"/>
      </w:pPr>
      <w:rPr>
        <w:rFonts w:ascii="Wingdings" w:hAnsi="Wingdings" w:hint="default"/>
      </w:rPr>
    </w:lvl>
    <w:lvl w:ilvl="3" w:tplc="168669C6">
      <w:start w:val="1"/>
      <w:numFmt w:val="bullet"/>
      <w:lvlText w:val=""/>
      <w:lvlJc w:val="left"/>
      <w:pPr>
        <w:ind w:left="2880" w:hanging="360"/>
      </w:pPr>
      <w:rPr>
        <w:rFonts w:ascii="Symbol" w:hAnsi="Symbol" w:hint="default"/>
      </w:rPr>
    </w:lvl>
    <w:lvl w:ilvl="4" w:tplc="50BCCE92">
      <w:start w:val="1"/>
      <w:numFmt w:val="bullet"/>
      <w:lvlText w:val="o"/>
      <w:lvlJc w:val="left"/>
      <w:pPr>
        <w:ind w:left="3600" w:hanging="360"/>
      </w:pPr>
      <w:rPr>
        <w:rFonts w:ascii="Courier New" w:hAnsi="Courier New" w:hint="default"/>
      </w:rPr>
    </w:lvl>
    <w:lvl w:ilvl="5" w:tplc="735AD400">
      <w:start w:val="1"/>
      <w:numFmt w:val="bullet"/>
      <w:lvlText w:val=""/>
      <w:lvlJc w:val="left"/>
      <w:pPr>
        <w:ind w:left="4320" w:hanging="360"/>
      </w:pPr>
      <w:rPr>
        <w:rFonts w:ascii="Wingdings" w:hAnsi="Wingdings" w:hint="default"/>
      </w:rPr>
    </w:lvl>
    <w:lvl w:ilvl="6" w:tplc="BD4A3E76">
      <w:start w:val="1"/>
      <w:numFmt w:val="bullet"/>
      <w:lvlText w:val=""/>
      <w:lvlJc w:val="left"/>
      <w:pPr>
        <w:ind w:left="5040" w:hanging="360"/>
      </w:pPr>
      <w:rPr>
        <w:rFonts w:ascii="Symbol" w:hAnsi="Symbol" w:hint="default"/>
      </w:rPr>
    </w:lvl>
    <w:lvl w:ilvl="7" w:tplc="A9CCA180">
      <w:start w:val="1"/>
      <w:numFmt w:val="bullet"/>
      <w:lvlText w:val="o"/>
      <w:lvlJc w:val="left"/>
      <w:pPr>
        <w:ind w:left="5760" w:hanging="360"/>
      </w:pPr>
      <w:rPr>
        <w:rFonts w:ascii="Courier New" w:hAnsi="Courier New" w:hint="default"/>
      </w:rPr>
    </w:lvl>
    <w:lvl w:ilvl="8" w:tplc="3194571A">
      <w:start w:val="1"/>
      <w:numFmt w:val="bullet"/>
      <w:lvlText w:val=""/>
      <w:lvlJc w:val="left"/>
      <w:pPr>
        <w:ind w:left="6480" w:hanging="360"/>
      </w:pPr>
      <w:rPr>
        <w:rFonts w:ascii="Wingdings" w:hAnsi="Wingdings" w:hint="default"/>
      </w:rPr>
    </w:lvl>
  </w:abstractNum>
  <w:abstractNum w:abstractNumId="3" w15:restartNumberingAfterBreak="0">
    <w:nsid w:val="4493037C"/>
    <w:multiLevelType w:val="hybridMultilevel"/>
    <w:tmpl w:val="16AABCE4"/>
    <w:lvl w:ilvl="0" w:tplc="2CFAD752">
      <w:start w:val="1"/>
      <w:numFmt w:val="bullet"/>
      <w:lvlText w:val=""/>
      <w:lvlJc w:val="left"/>
      <w:pPr>
        <w:ind w:left="720" w:hanging="360"/>
      </w:pPr>
      <w:rPr>
        <w:rFonts w:ascii="Symbol" w:hAnsi="Symbol" w:hint="default"/>
      </w:rPr>
    </w:lvl>
    <w:lvl w:ilvl="1" w:tplc="ECDA0D24">
      <w:start w:val="1"/>
      <w:numFmt w:val="bullet"/>
      <w:lvlText w:val="o"/>
      <w:lvlJc w:val="left"/>
      <w:pPr>
        <w:ind w:left="1440" w:hanging="360"/>
      </w:pPr>
      <w:rPr>
        <w:rFonts w:ascii="Courier New" w:hAnsi="Courier New" w:hint="default"/>
      </w:rPr>
    </w:lvl>
    <w:lvl w:ilvl="2" w:tplc="620265F2">
      <w:start w:val="1"/>
      <w:numFmt w:val="bullet"/>
      <w:lvlText w:val=""/>
      <w:lvlJc w:val="left"/>
      <w:pPr>
        <w:ind w:left="2160" w:hanging="360"/>
      </w:pPr>
      <w:rPr>
        <w:rFonts w:ascii="Wingdings" w:hAnsi="Wingdings" w:hint="default"/>
      </w:rPr>
    </w:lvl>
    <w:lvl w:ilvl="3" w:tplc="4E068DE8">
      <w:start w:val="1"/>
      <w:numFmt w:val="bullet"/>
      <w:lvlText w:val=""/>
      <w:lvlJc w:val="left"/>
      <w:pPr>
        <w:ind w:left="2880" w:hanging="360"/>
      </w:pPr>
      <w:rPr>
        <w:rFonts w:ascii="Symbol" w:hAnsi="Symbol" w:hint="default"/>
      </w:rPr>
    </w:lvl>
    <w:lvl w:ilvl="4" w:tplc="846C832C">
      <w:start w:val="1"/>
      <w:numFmt w:val="bullet"/>
      <w:lvlText w:val="o"/>
      <w:lvlJc w:val="left"/>
      <w:pPr>
        <w:ind w:left="3600" w:hanging="360"/>
      </w:pPr>
      <w:rPr>
        <w:rFonts w:ascii="Courier New" w:hAnsi="Courier New" w:hint="default"/>
      </w:rPr>
    </w:lvl>
    <w:lvl w:ilvl="5" w:tplc="ABD6AF0E">
      <w:start w:val="1"/>
      <w:numFmt w:val="bullet"/>
      <w:lvlText w:val=""/>
      <w:lvlJc w:val="left"/>
      <w:pPr>
        <w:ind w:left="4320" w:hanging="360"/>
      </w:pPr>
      <w:rPr>
        <w:rFonts w:ascii="Wingdings" w:hAnsi="Wingdings" w:hint="default"/>
      </w:rPr>
    </w:lvl>
    <w:lvl w:ilvl="6" w:tplc="387A09FA">
      <w:start w:val="1"/>
      <w:numFmt w:val="bullet"/>
      <w:lvlText w:val=""/>
      <w:lvlJc w:val="left"/>
      <w:pPr>
        <w:ind w:left="5040" w:hanging="360"/>
      </w:pPr>
      <w:rPr>
        <w:rFonts w:ascii="Symbol" w:hAnsi="Symbol" w:hint="default"/>
      </w:rPr>
    </w:lvl>
    <w:lvl w:ilvl="7" w:tplc="0B9CAE14">
      <w:start w:val="1"/>
      <w:numFmt w:val="bullet"/>
      <w:lvlText w:val="o"/>
      <w:lvlJc w:val="left"/>
      <w:pPr>
        <w:ind w:left="5760" w:hanging="360"/>
      </w:pPr>
      <w:rPr>
        <w:rFonts w:ascii="Courier New" w:hAnsi="Courier New" w:hint="default"/>
      </w:rPr>
    </w:lvl>
    <w:lvl w:ilvl="8" w:tplc="CAC0E5AE">
      <w:start w:val="1"/>
      <w:numFmt w:val="bullet"/>
      <w:lvlText w:val=""/>
      <w:lvlJc w:val="left"/>
      <w:pPr>
        <w:ind w:left="6480" w:hanging="360"/>
      </w:pPr>
      <w:rPr>
        <w:rFonts w:ascii="Wingdings" w:hAnsi="Wingdings" w:hint="default"/>
      </w:rPr>
    </w:lvl>
  </w:abstractNum>
  <w:num w:numId="1" w16cid:durableId="398284665">
    <w:abstractNumId w:val="0"/>
  </w:num>
  <w:num w:numId="2" w16cid:durableId="539981008">
    <w:abstractNumId w:val="2"/>
  </w:num>
  <w:num w:numId="3" w16cid:durableId="377050827">
    <w:abstractNumId w:val="3"/>
  </w:num>
  <w:num w:numId="4" w16cid:durableId="1769420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D53759"/>
    <w:rsid w:val="00090F0D"/>
    <w:rsid w:val="00124BDA"/>
    <w:rsid w:val="0097562C"/>
    <w:rsid w:val="00BC467F"/>
    <w:rsid w:val="00F67EC7"/>
    <w:rsid w:val="00FD3380"/>
    <w:rsid w:val="01450DF1"/>
    <w:rsid w:val="01A9E073"/>
    <w:rsid w:val="0313A6B2"/>
    <w:rsid w:val="0B013557"/>
    <w:rsid w:val="0B6DE0A1"/>
    <w:rsid w:val="0B973EC1"/>
    <w:rsid w:val="0D3AFAF5"/>
    <w:rsid w:val="0FC105E6"/>
    <w:rsid w:val="1095D952"/>
    <w:rsid w:val="10EE0E5D"/>
    <w:rsid w:val="1124E7C9"/>
    <w:rsid w:val="11B7CECC"/>
    <w:rsid w:val="12CCC8C4"/>
    <w:rsid w:val="18E53E5E"/>
    <w:rsid w:val="1A44263E"/>
    <w:rsid w:val="1B62FD61"/>
    <w:rsid w:val="1B6CD4CA"/>
    <w:rsid w:val="1CF5E434"/>
    <w:rsid w:val="1E052DFA"/>
    <w:rsid w:val="1E522EF0"/>
    <w:rsid w:val="210CAEB1"/>
    <w:rsid w:val="21B0416F"/>
    <w:rsid w:val="21CDE51D"/>
    <w:rsid w:val="222F7B89"/>
    <w:rsid w:val="23A31E2A"/>
    <w:rsid w:val="240E39E4"/>
    <w:rsid w:val="2D743AB1"/>
    <w:rsid w:val="2E0BCF44"/>
    <w:rsid w:val="2E41D56A"/>
    <w:rsid w:val="2F69AA16"/>
    <w:rsid w:val="30BD1935"/>
    <w:rsid w:val="31771DE8"/>
    <w:rsid w:val="328C50C2"/>
    <w:rsid w:val="34B6B80B"/>
    <w:rsid w:val="36D84CA6"/>
    <w:rsid w:val="36F14517"/>
    <w:rsid w:val="37BEF8D3"/>
    <w:rsid w:val="38AC6B65"/>
    <w:rsid w:val="3A5DC461"/>
    <w:rsid w:val="3A6EFF14"/>
    <w:rsid w:val="3B8251F0"/>
    <w:rsid w:val="3C05F761"/>
    <w:rsid w:val="3CD01211"/>
    <w:rsid w:val="3D336511"/>
    <w:rsid w:val="3FA1A0D9"/>
    <w:rsid w:val="4141B5B6"/>
    <w:rsid w:val="4150CB04"/>
    <w:rsid w:val="440B43C9"/>
    <w:rsid w:val="450654BA"/>
    <w:rsid w:val="457DECFA"/>
    <w:rsid w:val="46768680"/>
    <w:rsid w:val="46FDA942"/>
    <w:rsid w:val="48028BC9"/>
    <w:rsid w:val="4A582A33"/>
    <w:rsid w:val="4C987A36"/>
    <w:rsid w:val="4D29FA5C"/>
    <w:rsid w:val="4DDD0520"/>
    <w:rsid w:val="4E047CEA"/>
    <w:rsid w:val="4E36C058"/>
    <w:rsid w:val="4F2F950F"/>
    <w:rsid w:val="56BA0681"/>
    <w:rsid w:val="5733780D"/>
    <w:rsid w:val="579F2EB5"/>
    <w:rsid w:val="57C0BD6B"/>
    <w:rsid w:val="5924C6DF"/>
    <w:rsid w:val="59851773"/>
    <w:rsid w:val="59A066F4"/>
    <w:rsid w:val="5D1A1985"/>
    <w:rsid w:val="5FABE6D6"/>
    <w:rsid w:val="60938EE1"/>
    <w:rsid w:val="60A98E61"/>
    <w:rsid w:val="60C9A8AC"/>
    <w:rsid w:val="6100CB18"/>
    <w:rsid w:val="6139A27A"/>
    <w:rsid w:val="61BFAE3C"/>
    <w:rsid w:val="61F8663A"/>
    <w:rsid w:val="62D99D07"/>
    <w:rsid w:val="64CC85B7"/>
    <w:rsid w:val="64D07C35"/>
    <w:rsid w:val="67A62033"/>
    <w:rsid w:val="6A3345B6"/>
    <w:rsid w:val="6C2C5053"/>
    <w:rsid w:val="6C497282"/>
    <w:rsid w:val="6D860E73"/>
    <w:rsid w:val="6DBAC1D7"/>
    <w:rsid w:val="6E3AD2C7"/>
    <w:rsid w:val="700746E1"/>
    <w:rsid w:val="763B3C16"/>
    <w:rsid w:val="788A5301"/>
    <w:rsid w:val="79C23266"/>
    <w:rsid w:val="7BBC6176"/>
    <w:rsid w:val="7D89CCD5"/>
    <w:rsid w:val="7E1E7A28"/>
    <w:rsid w:val="7E4F006F"/>
    <w:rsid w:val="7F3130C1"/>
    <w:rsid w:val="7F3E744A"/>
    <w:rsid w:val="7FD537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53759"/>
  <w15:chartTrackingRefBased/>
  <w15:docId w15:val="{B156082E-968D-4988-8898-F59A5C45D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34B6B80B"/>
    <w:rPr>
      <w:color w:val="467886"/>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457DEC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nte.Aguilar@amsac.p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ante.aguilar@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434EBA1E640E74CA2517B86E0AF1F22" ma:contentTypeVersion="13" ma:contentTypeDescription="Crear nuevo documento." ma:contentTypeScope="" ma:versionID="2cd4ceb83fd92a4f620107edd8c0f326">
  <xsd:schema xmlns:xsd="http://www.w3.org/2001/XMLSchema" xmlns:xs="http://www.w3.org/2001/XMLSchema" xmlns:p="http://schemas.microsoft.com/office/2006/metadata/properties" xmlns:ns2="6f8394e5-1a67-4509-9bab-61a8e3885612" xmlns:ns3="4670b81d-8968-43e9-bfe0-3258100c6a50" targetNamespace="http://schemas.microsoft.com/office/2006/metadata/properties" ma:root="true" ma:fieldsID="8cd0534fb14a44b83088bb87d6d6a6be" ns2:_="" ns3:_="">
    <xsd:import namespace="6f8394e5-1a67-4509-9bab-61a8e3885612"/>
    <xsd:import namespace="4670b81d-8968-43e9-bfe0-3258100c6a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394e5-1a67-4509-9bab-61a8e38856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f136364-d481-4ea5-9ac7-80593dc26de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70b81d-8968-43e9-bfe0-3258100c6a5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0ebbae2-2e4c-413c-b94a-df32007591f1}" ma:internalName="TaxCatchAll" ma:showField="CatchAllData" ma:web="4670b81d-8968-43e9-bfe0-3258100c6a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f8394e5-1a67-4509-9bab-61a8e3885612">
      <Terms xmlns="http://schemas.microsoft.com/office/infopath/2007/PartnerControls"/>
    </lcf76f155ced4ddcb4097134ff3c332f>
    <TaxCatchAll xmlns="4670b81d-8968-43e9-bfe0-3258100c6a50" xsi:nil="true"/>
  </documentManagement>
</p:properties>
</file>

<file path=customXml/itemProps1.xml><?xml version="1.0" encoding="utf-8"?>
<ds:datastoreItem xmlns:ds="http://schemas.openxmlformats.org/officeDocument/2006/customXml" ds:itemID="{694F64CE-DDB0-4740-B9EE-4A5CF3ECBD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8394e5-1a67-4509-9bab-61a8e3885612"/>
    <ds:schemaRef ds:uri="4670b81d-8968-43e9-bfe0-3258100c6a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6C2F74-E4B2-4B2F-9C58-4D08E3C6E160}">
  <ds:schemaRefs>
    <ds:schemaRef ds:uri="http://schemas.microsoft.com/sharepoint/v3/contenttype/forms"/>
  </ds:schemaRefs>
</ds:datastoreItem>
</file>

<file path=customXml/itemProps3.xml><?xml version="1.0" encoding="utf-8"?>
<ds:datastoreItem xmlns:ds="http://schemas.openxmlformats.org/officeDocument/2006/customXml" ds:itemID="{EAB62CF3-F14C-46D6-B2A0-05C4E730FF38}">
  <ds:schemaRefs>
    <ds:schemaRef ds:uri="http://schemas.microsoft.com/office/2006/metadata/properties"/>
    <ds:schemaRef ds:uri="http://schemas.microsoft.com/office/infopath/2007/PartnerControls"/>
    <ds:schemaRef ds:uri="6f8394e5-1a67-4509-9bab-61a8e3885612"/>
    <ds:schemaRef ds:uri="4670b81d-8968-43e9-bfe0-3258100c6a50"/>
  </ds:schemaRefs>
</ds:datastoreItem>
</file>

<file path=docProps/app.xml><?xml version="1.0" encoding="utf-8"?>
<Properties xmlns="http://schemas.openxmlformats.org/officeDocument/2006/extended-properties" xmlns:vt="http://schemas.openxmlformats.org/officeDocument/2006/docPropsVTypes">
  <Template>Normal</Template>
  <TotalTime>1165</TotalTime>
  <Pages>3</Pages>
  <Words>825</Words>
  <Characters>4541</Characters>
  <Application>Microsoft Office Word</Application>
  <DocSecurity>0</DocSecurity>
  <Lines>37</Lines>
  <Paragraphs>10</Paragraphs>
  <ScaleCrop>false</ScaleCrop>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Rashell Chirinos</dc:creator>
  <cp:keywords/>
  <dc:description/>
  <cp:lastModifiedBy>Soporte GIP</cp:lastModifiedBy>
  <cp:revision>5</cp:revision>
  <dcterms:created xsi:type="dcterms:W3CDTF">2025-04-14T21:50:00Z</dcterms:created>
  <dcterms:modified xsi:type="dcterms:W3CDTF">2025-04-27T20:31:00Z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0x010100B434EBA1E640E74CA2517B86E0AF1F22</vt:lpwstr>
  </property>
  <property fmtid="{D5CDD505-2E9C-101B-9397-08002B2CF9AE}" pid="3" name="Order">
    <vt:r8>281500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ies>
</file>