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3F80" w14:textId="377B4BEB" w:rsidR="00F1142D" w:rsidRDefault="00000000">
      <w:pPr>
        <w:pStyle w:val="Ttulo1"/>
      </w:pPr>
      <w:r>
        <w:t xml:space="preserve">Desarrollo y </w:t>
      </w:r>
      <w:proofErr w:type="spellStart"/>
      <w:r>
        <w:t>diversificación</w:t>
      </w:r>
      <w:proofErr w:type="spellEnd"/>
      <w:r>
        <w:t xml:space="preserve"> </w:t>
      </w:r>
      <w:proofErr w:type="spellStart"/>
      <w:r>
        <w:t>estratégica</w:t>
      </w:r>
      <w:proofErr w:type="spellEnd"/>
      <w:r>
        <w:t xml:space="preserve"> </w:t>
      </w:r>
      <w:proofErr w:type="spellStart"/>
      <w:r>
        <w:t>en</w:t>
      </w:r>
      <w:proofErr w:type="spellEnd"/>
      <w:r>
        <w:t xml:space="preserve"> la producción de fertilizantes fosfatados: </w:t>
      </w:r>
    </w:p>
    <w:p w14:paraId="576FE5B8" w14:textId="77777777" w:rsidR="00F1142D" w:rsidRDefault="00000000" w:rsidP="00B9754D">
      <w:pPr>
        <w:jc w:val="both"/>
      </w:pPr>
      <w:proofErr w:type="spellStart"/>
      <w:r>
        <w:t>Categoría</w:t>
      </w:r>
      <w:proofErr w:type="spellEnd"/>
      <w:r>
        <w:t xml:space="preserve">: </w:t>
      </w:r>
      <w:proofErr w:type="spellStart"/>
      <w:r>
        <w:t>Procesamiento</w:t>
      </w:r>
      <w:proofErr w:type="spellEnd"/>
      <w:r>
        <w:t xml:space="preserve"> de Minerales y Metalurgia Extractiva</w:t>
      </w:r>
    </w:p>
    <w:p w14:paraId="7ACCA3F9" w14:textId="77777777" w:rsidR="00F1142D" w:rsidRDefault="00000000" w:rsidP="00B9754D">
      <w:pPr>
        <w:jc w:val="both"/>
      </w:pPr>
      <w:r>
        <w:t>Tema: Optimización de procesos productivos en fertilizantes fosfatados</w:t>
      </w:r>
    </w:p>
    <w:p w14:paraId="17BB8963" w14:textId="17CC44C0" w:rsidR="00F1142D" w:rsidRDefault="00000000" w:rsidP="00B9754D">
      <w:pPr>
        <w:jc w:val="both"/>
      </w:pPr>
      <w:r>
        <w:t xml:space="preserve">El presente trabajo expone el modelo de negocio y las </w:t>
      </w:r>
      <w:proofErr w:type="spellStart"/>
      <w:r>
        <w:t>estrategias</w:t>
      </w:r>
      <w:proofErr w:type="spellEnd"/>
      <w:r>
        <w:t xml:space="preserve"> </w:t>
      </w:r>
      <w:proofErr w:type="spellStart"/>
      <w:proofErr w:type="gramStart"/>
      <w:r>
        <w:t>operativas</w:t>
      </w:r>
      <w:proofErr w:type="spellEnd"/>
      <w:r>
        <w:t xml:space="preserve"> ,</w:t>
      </w:r>
      <w:proofErr w:type="gramEnd"/>
      <w:r>
        <w:t xml:space="preserve"> </w:t>
      </w:r>
      <w:proofErr w:type="spellStart"/>
      <w:r>
        <w:t>una</w:t>
      </w:r>
      <w:proofErr w:type="spellEnd"/>
      <w:r>
        <w:t xml:space="preserve"> </w:t>
      </w:r>
      <w:proofErr w:type="spellStart"/>
      <w:r>
        <w:t>compañía</w:t>
      </w:r>
      <w:proofErr w:type="spellEnd"/>
      <w:r>
        <w:t xml:space="preserve"> </w:t>
      </w:r>
      <w:proofErr w:type="spellStart"/>
      <w:r>
        <w:t>minera</w:t>
      </w:r>
      <w:proofErr w:type="spellEnd"/>
      <w:r>
        <w:t xml:space="preserve"> internacional orientada a la producción de fertilizantes fosfatados y productos especiales. En un escenario global donde la demanda de fósforo como nutriente esencial para cultivos crece sostenidamente, Itafos ha consolidado un portafolio diversificado de activos que abarcan operaciones en América del Norte, Sudamérica y África Occidental.</w:t>
      </w:r>
      <w:r>
        <w:br/>
      </w:r>
      <w:r>
        <w:br/>
        <w:t>El objetivo principal fue presentar la estructura verticalmente integrada de Itafos y cómo esta permite mejorar la eficiencia operativa, asegurar la disponibilidad de insumos críticos y reducir costos logísticos, asegurando el suministro sostenible de fertilizantes. La metodología empleada consistió en el análisis comparativo de sus principales operaciones (Conda, Arraias y Farim), junto con el estudio de los recursos geológicos, capacidades de producción, costos operativos y cadenas logísticas.</w:t>
      </w:r>
      <w:r>
        <w:br/>
      </w:r>
      <w:r>
        <w:br/>
        <w:t>Entre los resultados destaca una capacidad consolidada de producción de 1.1 Mt/año de fertilizantes y una base de recursos fosfatados de más de 870 Mt. Las operaciones en Conda (EE.UU.) y Arraias (Brasil) han mostrado eficiencia en la integración mina-planta, mientras que el proyecto Farim (Guinea-Bisáu), actualmente en etapa de ejecución, resalta por sus leyes altas de P₂O₅ y bajo contenido de cadmio, ideal para el exigente mercado europeo.</w:t>
      </w:r>
      <w:r>
        <w:br/>
      </w:r>
      <w:r>
        <w:br/>
        <w:t>Como conclusión, Itafos representa un caso de éxito en diversificación geográfica y tecnológica en el sector fosfático, ofreciendo un modelo replicable en mercados emergentes con alta demanda agrícola. Se recomienda profundizar en modelos de integración y digitalización minera para fortalecer el enfoque sostenible de la industria.</w:t>
      </w:r>
    </w:p>
    <w:p w14:paraId="10924D3F" w14:textId="77777777" w:rsidR="00F1142D" w:rsidRDefault="00000000" w:rsidP="00B9754D">
      <w:pPr>
        <w:jc w:val="both"/>
      </w:pPr>
      <w:r>
        <w:t>Palabras clave: Fosfatos, fertilizantes, P₂O₅, verticalización, minería sostenible, eficiencia operativa.</w:t>
      </w:r>
    </w:p>
    <w:sectPr w:rsidR="00F114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6255019">
    <w:abstractNumId w:val="8"/>
  </w:num>
  <w:num w:numId="2" w16cid:durableId="2093962671">
    <w:abstractNumId w:val="6"/>
  </w:num>
  <w:num w:numId="3" w16cid:durableId="1696231663">
    <w:abstractNumId w:val="5"/>
  </w:num>
  <w:num w:numId="4" w16cid:durableId="733816826">
    <w:abstractNumId w:val="4"/>
  </w:num>
  <w:num w:numId="5" w16cid:durableId="1589463518">
    <w:abstractNumId w:val="7"/>
  </w:num>
  <w:num w:numId="6" w16cid:durableId="780421421">
    <w:abstractNumId w:val="3"/>
  </w:num>
  <w:num w:numId="7" w16cid:durableId="1630939380">
    <w:abstractNumId w:val="2"/>
  </w:num>
  <w:num w:numId="8" w16cid:durableId="1495415077">
    <w:abstractNumId w:val="1"/>
  </w:num>
  <w:num w:numId="9" w16cid:durableId="161724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DDC"/>
    <w:rsid w:val="0015074B"/>
    <w:rsid w:val="0029639D"/>
    <w:rsid w:val="00326F90"/>
    <w:rsid w:val="00560493"/>
    <w:rsid w:val="007C1557"/>
    <w:rsid w:val="0086018B"/>
    <w:rsid w:val="00AA1D8D"/>
    <w:rsid w:val="00B47730"/>
    <w:rsid w:val="00B9754D"/>
    <w:rsid w:val="00CB0664"/>
    <w:rsid w:val="00F1142D"/>
    <w:rsid w:val="00F833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E85A0C"/>
  <w14:defaultImageDpi w14:val="300"/>
  <w15:docId w15:val="{45869FEC-C847-4A54-8131-23A92ED9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1736</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Nelida Tantavilca Martinez</cp:lastModifiedBy>
  <cp:revision>2</cp:revision>
  <dcterms:created xsi:type="dcterms:W3CDTF">2025-05-12T22:49:00Z</dcterms:created>
  <dcterms:modified xsi:type="dcterms:W3CDTF">2025-05-12T22:49:00Z</dcterms:modified>
  <cp:category/>
</cp:coreProperties>
</file>