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57F2" w14:textId="12089001" w:rsidR="003F2ACF" w:rsidRPr="00B91129" w:rsidRDefault="00B91129" w:rsidP="00B91129">
      <w:pPr>
        <w:spacing w:line="360" w:lineRule="auto"/>
        <w:jc w:val="both"/>
        <w:rPr>
          <w:rFonts w:ascii="Arial" w:hAnsi="Arial" w:cs="Arial"/>
          <w:b/>
          <w:bCs/>
        </w:rPr>
      </w:pPr>
      <w:r w:rsidRPr="00B91129">
        <w:rPr>
          <w:rFonts w:ascii="Arial" w:hAnsi="Arial" w:cs="Arial"/>
          <w:b/>
          <w:bCs/>
        </w:rPr>
        <w:t>ARQUITECTURA DE CIBERSEGURIDAD OT PARA INFRAESTRUCTURA ELÉCTRICA CRÍTICA EN MINERÍA PERUANA</w:t>
      </w:r>
    </w:p>
    <w:p w14:paraId="16104371" w14:textId="7EDA42F3" w:rsidR="00B91129" w:rsidRPr="00B91129" w:rsidRDefault="00B91129" w:rsidP="00B91129">
      <w:pPr>
        <w:spacing w:line="360" w:lineRule="auto"/>
        <w:jc w:val="both"/>
        <w:rPr>
          <w:rFonts w:ascii="Arial" w:hAnsi="Arial" w:cs="Arial"/>
        </w:rPr>
      </w:pPr>
      <w:r w:rsidRPr="00B91129">
        <w:rPr>
          <w:rFonts w:ascii="Arial" w:hAnsi="Arial" w:cs="Arial"/>
        </w:rPr>
        <w:t>Categoría: Minería 4.0 / Ciberseguridad del manejo de sistemas de información en operaciones mineras.</w:t>
      </w:r>
    </w:p>
    <w:p w14:paraId="112D79A5" w14:textId="61AB4C8F" w:rsidR="00B91129" w:rsidRPr="00B91129" w:rsidRDefault="00B91129" w:rsidP="00B91129">
      <w:pPr>
        <w:spacing w:line="360" w:lineRule="auto"/>
        <w:jc w:val="both"/>
        <w:rPr>
          <w:rFonts w:ascii="Arial" w:hAnsi="Arial" w:cs="Arial"/>
          <w:b/>
          <w:bCs/>
        </w:rPr>
      </w:pPr>
      <w:r w:rsidRPr="00B91129">
        <w:rPr>
          <w:rFonts w:ascii="Arial" w:hAnsi="Arial" w:cs="Arial"/>
          <w:b/>
          <w:bCs/>
        </w:rPr>
        <w:t>1. Contexto</w:t>
      </w:r>
    </w:p>
    <w:p w14:paraId="5E972E0A" w14:textId="77777777" w:rsidR="00B91129" w:rsidRPr="00B91129" w:rsidRDefault="00B91129" w:rsidP="00B91129">
      <w:pPr>
        <w:spacing w:line="360" w:lineRule="auto"/>
        <w:jc w:val="both"/>
        <w:rPr>
          <w:rFonts w:ascii="Arial" w:hAnsi="Arial" w:cs="Arial"/>
        </w:rPr>
      </w:pPr>
      <w:r w:rsidRPr="00B91129">
        <w:rPr>
          <w:rFonts w:ascii="Arial" w:hAnsi="Arial" w:cs="Arial"/>
        </w:rPr>
        <w:t xml:space="preserve">En el Perú, muchas operaciones mineras ya han iniciado procesos de automatización y digitalización de sus sistemas eléctricos. Este avance, aunque necesario y positivo, también ha traído consigo nuevas superficies de exposición: </w:t>
      </w:r>
      <w:proofErr w:type="spellStart"/>
      <w:r w:rsidRPr="00B91129">
        <w:rPr>
          <w:rFonts w:ascii="Arial" w:hAnsi="Arial" w:cs="Arial"/>
        </w:rPr>
        <w:t>IEDs</w:t>
      </w:r>
      <w:proofErr w:type="spellEnd"/>
      <w:r w:rsidRPr="00B91129">
        <w:rPr>
          <w:rFonts w:ascii="Arial" w:hAnsi="Arial" w:cs="Arial"/>
        </w:rPr>
        <w:t xml:space="preserve"> conectados, centros de control abiertos a accesos remotos, y redes SCADA integradas con plataformas externas. Frente a este panorama, la ciberseguridad OT no puede seguir viéndose como un componente complementario. Debe estar en el centro de cualquier estrategia de continuidad, resiliencia y sostenibilidad operativa.</w:t>
      </w:r>
    </w:p>
    <w:p w14:paraId="69309DA1" w14:textId="44D55F63" w:rsidR="00B91129" w:rsidRPr="00B91129" w:rsidRDefault="00B91129" w:rsidP="00B91129">
      <w:pPr>
        <w:spacing w:line="360" w:lineRule="auto"/>
        <w:jc w:val="both"/>
        <w:rPr>
          <w:rFonts w:ascii="Arial" w:hAnsi="Arial" w:cs="Arial"/>
        </w:rPr>
      </w:pPr>
      <w:r w:rsidRPr="00B91129">
        <w:rPr>
          <w:rFonts w:ascii="Arial" w:hAnsi="Arial" w:cs="Arial"/>
        </w:rPr>
        <w:t>Así es como ciberataques como los registrados en subestaciones de potencia en Ucrania, que derivaron en cortes masivos de energía, han demostrado que los sistemas eléctricos ya no son inmunes al riesgo digital. En un entorno como el minero, donde la continuidad operativa depende directamente del suministro eléctrico confiable, proteger estos sistemas se ha vuelto una necesidad crítica, no una opción técnica.</w:t>
      </w:r>
    </w:p>
    <w:p w14:paraId="36E7F34B" w14:textId="42B1DDD9" w:rsidR="00B91129" w:rsidRPr="00B91129" w:rsidRDefault="00B91129" w:rsidP="00B91129">
      <w:pPr>
        <w:spacing w:line="360" w:lineRule="auto"/>
        <w:jc w:val="both"/>
        <w:rPr>
          <w:rFonts w:ascii="Arial" w:hAnsi="Arial" w:cs="Arial"/>
        </w:rPr>
      </w:pPr>
      <w:r w:rsidRPr="00B91129">
        <w:rPr>
          <w:rFonts w:ascii="Arial" w:hAnsi="Arial" w:cs="Arial"/>
        </w:rPr>
        <w:t>En muchas operaciones todavía persisten infraestructuras construidas en otra época: arquitecturas sin segmentación de red, sin monitoreo especializado de protocolos industriales, y con escasa visibilidad sobre los activos conectados. Esta situación no es producto de negligencia, sino del ritmo natural de evolución de la industria. Lo que ocurre es que hoy, ese ritmo requiere una actualización no solo técnica, sino también estratégica. Lo hoy que está en juego en los sistemas eléctricos mineros no es solo la protección de sistemas, sino la capacidad de operar con confianza, integrar nuevas tecnologías de forma segura y anticiparse a los desafíos de un entorno cada vez más interconectado. reales del sector, y alineada con estándares que entienden el corazón eléctrico de la operación minera.</w:t>
      </w:r>
    </w:p>
    <w:p w14:paraId="03B69C53" w14:textId="6A6EE146" w:rsidR="00B91129" w:rsidRPr="00963683" w:rsidRDefault="00B91129" w:rsidP="00B91129">
      <w:pPr>
        <w:spacing w:line="360" w:lineRule="auto"/>
        <w:jc w:val="both"/>
        <w:rPr>
          <w:rFonts w:ascii="Arial" w:hAnsi="Arial" w:cs="Arial"/>
          <w:b/>
          <w:bCs/>
        </w:rPr>
      </w:pPr>
      <w:r w:rsidRPr="00963683">
        <w:rPr>
          <w:rFonts w:ascii="Arial" w:hAnsi="Arial" w:cs="Arial"/>
          <w:b/>
          <w:bCs/>
        </w:rPr>
        <w:t>2. Objetivo</w:t>
      </w:r>
    </w:p>
    <w:p w14:paraId="37BB4047" w14:textId="4C39B9E8" w:rsidR="00B91129" w:rsidRPr="00B91129" w:rsidRDefault="00B91129" w:rsidP="00B91129">
      <w:pPr>
        <w:spacing w:line="360" w:lineRule="auto"/>
        <w:jc w:val="both"/>
        <w:rPr>
          <w:rFonts w:ascii="Arial" w:hAnsi="Arial" w:cs="Arial"/>
        </w:rPr>
      </w:pPr>
      <w:r w:rsidRPr="00B91129">
        <w:rPr>
          <w:rFonts w:ascii="Arial" w:hAnsi="Arial" w:cs="Arial"/>
        </w:rPr>
        <w:t xml:space="preserve">Este trabajo tiene como propósito presentar una arquitectura técnica y operativa de ciberseguridad OT, especialmente diseñada para sistemas eléctricos de potencia en minería. El objetivo es ofrecer una solución aplicable, alineada a estándares internacionales, que permita reducir riesgos cibernéticos sin frenar la automatización ni la integración digital de los sistemas eléctricos críticos. La propuesta busca convertirse en un modelo de referencia para proteger y habilitar la operación segura de activos como subestaciones, redes SCADA, centros de control, relés de protección e </w:t>
      </w:r>
      <w:proofErr w:type="spellStart"/>
      <w:r w:rsidRPr="00B91129">
        <w:rPr>
          <w:rFonts w:ascii="Arial" w:hAnsi="Arial" w:cs="Arial"/>
        </w:rPr>
        <w:t>IEDs</w:t>
      </w:r>
      <w:proofErr w:type="spellEnd"/>
      <w:r w:rsidRPr="00B91129">
        <w:rPr>
          <w:rFonts w:ascii="Arial" w:hAnsi="Arial" w:cs="Arial"/>
        </w:rPr>
        <w:t>.</w:t>
      </w:r>
    </w:p>
    <w:p w14:paraId="26688139" w14:textId="22B83A64" w:rsidR="00B91129" w:rsidRPr="00B91129" w:rsidRDefault="00B91129" w:rsidP="00B91129">
      <w:pPr>
        <w:spacing w:line="360" w:lineRule="auto"/>
        <w:jc w:val="both"/>
        <w:rPr>
          <w:rFonts w:ascii="Arial" w:hAnsi="Arial" w:cs="Arial"/>
          <w:lang w:val="es-US"/>
        </w:rPr>
      </w:pPr>
      <w:r w:rsidRPr="00B91129">
        <w:rPr>
          <w:rFonts w:ascii="Arial" w:hAnsi="Arial" w:cs="Arial"/>
          <w:lang w:val="es-US"/>
        </w:rPr>
        <w:lastRenderedPageBreak/>
        <w:t>Queremos que cada avance tecnológico no solo sume eficiencia, sino que también fortalezca la resiliencia de las operaciones frente a un entorno digital cada vez más desafiante.</w:t>
      </w:r>
    </w:p>
    <w:p w14:paraId="1D3B5B89" w14:textId="00648605" w:rsidR="00B91129" w:rsidRPr="00963683" w:rsidRDefault="00B91129" w:rsidP="00B91129">
      <w:pPr>
        <w:spacing w:line="360" w:lineRule="auto"/>
        <w:jc w:val="both"/>
        <w:rPr>
          <w:rFonts w:ascii="Arial" w:hAnsi="Arial" w:cs="Arial"/>
          <w:b/>
          <w:bCs/>
          <w:lang w:val="es-US"/>
        </w:rPr>
      </w:pPr>
      <w:r w:rsidRPr="00963683">
        <w:rPr>
          <w:rFonts w:ascii="Arial" w:hAnsi="Arial" w:cs="Arial"/>
          <w:b/>
          <w:bCs/>
          <w:lang w:val="es-US"/>
        </w:rPr>
        <w:t>3. Metodología</w:t>
      </w:r>
    </w:p>
    <w:p w14:paraId="1B70A260" w14:textId="77777777" w:rsidR="00B91129" w:rsidRPr="00B91129" w:rsidRDefault="00B91129" w:rsidP="00B91129">
      <w:pPr>
        <w:spacing w:line="360" w:lineRule="auto"/>
        <w:jc w:val="both"/>
        <w:rPr>
          <w:rFonts w:ascii="Arial" w:hAnsi="Arial" w:cs="Arial"/>
          <w:lang w:val="es-US"/>
        </w:rPr>
      </w:pPr>
      <w:r w:rsidRPr="00B91129">
        <w:rPr>
          <w:rFonts w:ascii="Arial" w:hAnsi="Arial" w:cs="Arial"/>
          <w:lang w:val="es-US"/>
        </w:rPr>
        <w:t xml:space="preserve">La arquitectura fue desarrollada a partir de la experiencia de campo en operaciones eléctricas mineras reales, análisis de riesgos técnicos y la revisión de estándares aplicables como IEC 62443, ISO/IEC 27019, NIST CSF, ISO 22301 e IEEE 1686. El enfoque utilizado combinó el modelamiento de superficies de exposición en sistemas eléctricos (subestaciones, tableros, </w:t>
      </w:r>
      <w:proofErr w:type="spellStart"/>
      <w:r w:rsidRPr="00B91129">
        <w:rPr>
          <w:rFonts w:ascii="Arial" w:hAnsi="Arial" w:cs="Arial"/>
          <w:lang w:val="es-US"/>
        </w:rPr>
        <w:t>RTUs</w:t>
      </w:r>
      <w:proofErr w:type="spellEnd"/>
      <w:r w:rsidRPr="00B91129">
        <w:rPr>
          <w:rFonts w:ascii="Arial" w:hAnsi="Arial" w:cs="Arial"/>
          <w:lang w:val="es-US"/>
        </w:rPr>
        <w:t>, etc.), con la definición de capacidades mínimas requeridas para alcanzar una operación segura. Se identificaron cinco pilares clave: visibilidad de activos, segmentación, monitoreo de protocolos, respuesta automatizada y continuidad operativa, sobre los cuales se construyó la arquitectura modular.</w:t>
      </w:r>
    </w:p>
    <w:p w14:paraId="22FFE8B2" w14:textId="17E3A722" w:rsidR="00B91129" w:rsidRPr="00963683" w:rsidRDefault="00B91129" w:rsidP="00B91129">
      <w:pPr>
        <w:spacing w:line="360" w:lineRule="auto"/>
        <w:jc w:val="both"/>
        <w:rPr>
          <w:rFonts w:ascii="Arial" w:hAnsi="Arial" w:cs="Arial"/>
          <w:b/>
          <w:bCs/>
          <w:lang w:val="es-US"/>
        </w:rPr>
      </w:pPr>
      <w:r w:rsidRPr="00963683">
        <w:rPr>
          <w:rFonts w:ascii="Arial" w:hAnsi="Arial" w:cs="Arial"/>
          <w:b/>
          <w:bCs/>
          <w:lang w:val="es-US"/>
        </w:rPr>
        <w:t>4. Resultados</w:t>
      </w:r>
    </w:p>
    <w:p w14:paraId="41E87AF0" w14:textId="7D9BFAF8" w:rsidR="00B91129" w:rsidRPr="00B91129" w:rsidRDefault="00B91129" w:rsidP="00B91129">
      <w:pPr>
        <w:spacing w:line="360" w:lineRule="auto"/>
        <w:jc w:val="both"/>
        <w:rPr>
          <w:rFonts w:ascii="Arial" w:hAnsi="Arial" w:cs="Arial"/>
        </w:rPr>
      </w:pPr>
      <w:r w:rsidRPr="00B91129">
        <w:rPr>
          <w:rFonts w:ascii="Arial" w:hAnsi="Arial" w:cs="Arial"/>
        </w:rPr>
        <w:t>El resultado principal de este trabajo es una arquitectura de ciberseguridad OT aplicada al sistema eléctrico minero, estructurada en capas técnicas y organizativas, con componentes escalables y adaptables a distintos niveles de madurez.</w:t>
      </w:r>
    </w:p>
    <w:p w14:paraId="467F085B" w14:textId="685BD87B" w:rsidR="00B91129" w:rsidRPr="00B91129" w:rsidRDefault="00B91129" w:rsidP="00B91129">
      <w:pPr>
        <w:spacing w:line="360" w:lineRule="auto"/>
        <w:jc w:val="both"/>
        <w:rPr>
          <w:rFonts w:ascii="Arial" w:hAnsi="Arial" w:cs="Arial"/>
        </w:rPr>
      </w:pPr>
      <w:r w:rsidRPr="00B91129">
        <w:rPr>
          <w:rFonts w:ascii="Arial" w:hAnsi="Arial" w:cs="Arial"/>
        </w:rPr>
        <w:t>A partir del análisis de vulnerabilidades comunes en estos sistemas como accesos no segmentados, dispositivos sin monitoreo, falta de respaldo o credenciales compartidas, esta arquitectura organiza sus capacidades en cinco pilares fundamentales, considerados como el estándar mínimo aceptable para una operación minera digital y segura:</w:t>
      </w:r>
    </w:p>
    <w:p w14:paraId="12706E7E" w14:textId="40AB721A"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 xml:space="preserve">Visibilidad de activos OT en tiempo real, con mapeo constante de </w:t>
      </w:r>
      <w:proofErr w:type="spellStart"/>
      <w:r w:rsidRPr="00B91129">
        <w:rPr>
          <w:rFonts w:ascii="Arial" w:hAnsi="Arial" w:cs="Arial"/>
        </w:rPr>
        <w:t>IEDs</w:t>
      </w:r>
      <w:proofErr w:type="spellEnd"/>
      <w:r w:rsidRPr="00B91129">
        <w:rPr>
          <w:rFonts w:ascii="Arial" w:hAnsi="Arial" w:cs="Arial"/>
        </w:rPr>
        <w:t xml:space="preserve">, </w:t>
      </w:r>
      <w:proofErr w:type="spellStart"/>
      <w:r w:rsidRPr="00B91129">
        <w:rPr>
          <w:rFonts w:ascii="Arial" w:hAnsi="Arial" w:cs="Arial"/>
        </w:rPr>
        <w:t>RTUs</w:t>
      </w:r>
      <w:proofErr w:type="spellEnd"/>
      <w:r w:rsidRPr="00B91129">
        <w:rPr>
          <w:rFonts w:ascii="Arial" w:hAnsi="Arial" w:cs="Arial"/>
        </w:rPr>
        <w:t xml:space="preserve">, </w:t>
      </w:r>
      <w:proofErr w:type="spellStart"/>
      <w:r w:rsidRPr="00B91129">
        <w:rPr>
          <w:rFonts w:ascii="Arial" w:hAnsi="Arial" w:cs="Arial"/>
        </w:rPr>
        <w:t>PLCs</w:t>
      </w:r>
      <w:proofErr w:type="spellEnd"/>
      <w:r w:rsidRPr="00B91129">
        <w:rPr>
          <w:rFonts w:ascii="Arial" w:hAnsi="Arial" w:cs="Arial"/>
        </w:rPr>
        <w:t xml:space="preserve"> y sistemas SCADA, permitiendo detectar cambios o accesos no autorizados.</w:t>
      </w:r>
    </w:p>
    <w:p w14:paraId="7E4B8CAB" w14:textId="53CF2CE1"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 xml:space="preserve">Segmentación lógica y física de redes industriales, mediante </w:t>
      </w:r>
      <w:proofErr w:type="spellStart"/>
      <w:r w:rsidRPr="00B91129">
        <w:rPr>
          <w:rFonts w:ascii="Arial" w:hAnsi="Arial" w:cs="Arial"/>
        </w:rPr>
        <w:t>VLANs</w:t>
      </w:r>
      <w:proofErr w:type="spellEnd"/>
      <w:r w:rsidRPr="00B91129">
        <w:rPr>
          <w:rFonts w:ascii="Arial" w:hAnsi="Arial" w:cs="Arial"/>
        </w:rPr>
        <w:t>, zonas DMZ y firewalls industriales para separar funciones de protección, control y supervisión.</w:t>
      </w:r>
    </w:p>
    <w:p w14:paraId="33608577" w14:textId="7DD5491A"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Monitoreo pasivo de protocolos industriales, que analiza el comportamiento en redes sin interferir con la operación, permitiendo detectar amenazas con antelación.</w:t>
      </w:r>
    </w:p>
    <w:p w14:paraId="18ECFE20" w14:textId="2ABF49C8"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Respuesta automatizada ante incidentes, con integración de reglas, alertas y mecanismos de contención que reducen los tiempos de reacción.</w:t>
      </w:r>
    </w:p>
    <w:p w14:paraId="153E23DA" w14:textId="38017594"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Continuidad operativa bajo marcos de resiliencia, aplicando estrategias de respaldo, redundancia y recuperación según ISO 22301.</w:t>
      </w:r>
    </w:p>
    <w:p w14:paraId="5DE11AB5" w14:textId="77777777" w:rsidR="00963683" w:rsidRPr="00963683" w:rsidRDefault="00963683" w:rsidP="00963683">
      <w:pPr>
        <w:spacing w:line="360" w:lineRule="auto"/>
        <w:jc w:val="both"/>
        <w:rPr>
          <w:rFonts w:ascii="Arial" w:hAnsi="Arial" w:cs="Arial"/>
        </w:rPr>
      </w:pPr>
      <w:r w:rsidRPr="00963683">
        <w:rPr>
          <w:rFonts w:ascii="Arial" w:hAnsi="Arial" w:cs="Arial"/>
        </w:rPr>
        <w:lastRenderedPageBreak/>
        <w:t>Esta propuesta ha sido validada mediante simulaciones y benchmarking con operaciones similares, demostrando viabilidad técnica, flexibilidad de adopción y alineamiento con las mejores prácticas del sector.</w:t>
      </w:r>
    </w:p>
    <w:p w14:paraId="038C00A5" w14:textId="341E77E0" w:rsidR="00B91129" w:rsidRPr="00963683" w:rsidRDefault="00B91129" w:rsidP="00B91129">
      <w:pPr>
        <w:spacing w:line="360" w:lineRule="auto"/>
        <w:jc w:val="both"/>
        <w:rPr>
          <w:rFonts w:ascii="Arial" w:hAnsi="Arial" w:cs="Arial"/>
          <w:b/>
          <w:bCs/>
        </w:rPr>
      </w:pPr>
      <w:r w:rsidRPr="00963683">
        <w:rPr>
          <w:rFonts w:ascii="Arial" w:hAnsi="Arial" w:cs="Arial"/>
          <w:b/>
          <w:bCs/>
        </w:rPr>
        <w:t>5. Conclusión</w:t>
      </w:r>
    </w:p>
    <w:p w14:paraId="7DB38D6B" w14:textId="77777777" w:rsidR="00B91129" w:rsidRPr="00B91129" w:rsidRDefault="00B91129" w:rsidP="00B91129">
      <w:pPr>
        <w:spacing w:line="360" w:lineRule="auto"/>
        <w:jc w:val="both"/>
        <w:rPr>
          <w:rFonts w:ascii="Arial" w:hAnsi="Arial" w:cs="Arial"/>
        </w:rPr>
      </w:pPr>
      <w:r w:rsidRPr="00B91129">
        <w:rPr>
          <w:rFonts w:ascii="Arial" w:hAnsi="Arial" w:cs="Arial"/>
        </w:rPr>
        <w:t>En un contexto donde los sistemas eléctricos son cada vez más interconectados y expuestos, y donde la minería demanda continuidad operativa sin interrupciones, la incorporación de ciberseguridad OT desde el diseño es imprescindible. La arquitectura propuesta no solo protege los activos eléctricos más sensibles, sino que habilita un entorno de operación resiliente y preparado para la integración segura de nuevas tecnologías. Se recomienda su adopción progresiva como parte del plan de transformación digital de las operaciones mineras, con el compromiso organizacional necesario para integrar áreas técnicas, tecnológicas y de seguridad bajo una visión común.</w:t>
      </w:r>
    </w:p>
    <w:p w14:paraId="78283D4A" w14:textId="0A5A1B07" w:rsidR="00B91129" w:rsidRPr="00963683" w:rsidRDefault="00B91129" w:rsidP="00B91129">
      <w:pPr>
        <w:rPr>
          <w:rFonts w:ascii="Arial" w:hAnsi="Arial" w:cs="Arial"/>
          <w:b/>
          <w:bCs/>
        </w:rPr>
      </w:pPr>
      <w:r w:rsidRPr="00963683">
        <w:rPr>
          <w:rFonts w:ascii="Arial" w:hAnsi="Arial" w:cs="Arial"/>
          <w:b/>
          <w:bCs/>
        </w:rPr>
        <w:t>6. Autores</w:t>
      </w:r>
    </w:p>
    <w:p w14:paraId="49B78AB0" w14:textId="77777777" w:rsidR="00963683" w:rsidRPr="00207280" w:rsidRDefault="00963683" w:rsidP="00963683">
      <w:pPr>
        <w:spacing w:line="360" w:lineRule="auto"/>
        <w:jc w:val="both"/>
        <w:rPr>
          <w:rFonts w:ascii="Arial" w:hAnsi="Arial" w:cs="Arial"/>
        </w:rPr>
      </w:pPr>
      <w:r w:rsidRPr="00207280">
        <w:rPr>
          <w:rFonts w:ascii="Arial" w:hAnsi="Arial" w:cs="Arial"/>
          <w:b/>
          <w:bCs/>
          <w:u w:val="single"/>
        </w:rPr>
        <w:t>Primer Autor</w:t>
      </w:r>
      <w:r w:rsidRPr="00207280">
        <w:rPr>
          <w:rFonts w:ascii="Arial" w:hAnsi="Arial" w:cs="Arial"/>
        </w:rPr>
        <w:t xml:space="preserve"> Ing. Carlos Gonzales Diaz. Ingeniero Industrial de la Universidad Ricardo Palma, con 04 años de experiencia en el desarrollo de nuevos negocios y soluciones de innovación en el sector minero y eléctrico; experiencia en la gestión de proyectos de tecnología, automatización y control. Actualmente es Coordinador de Innovación y Transformación Digital y CISO en la Compañía PROCETRADI S.A.C en Lima-Perú.</w:t>
      </w:r>
      <w:r>
        <w:rPr>
          <w:rFonts w:ascii="Arial" w:hAnsi="Arial" w:cs="Arial"/>
        </w:rPr>
        <w:t xml:space="preserve"> Correo corporativo: </w:t>
      </w:r>
      <w:r w:rsidRPr="00207280">
        <w:rPr>
          <w:rFonts w:ascii="Arial" w:hAnsi="Arial" w:cs="Arial"/>
        </w:rPr>
        <w:t>cgonzales@procetradi.com</w:t>
      </w:r>
      <w:r>
        <w:rPr>
          <w:rFonts w:ascii="Arial" w:hAnsi="Arial" w:cs="Arial"/>
        </w:rPr>
        <w:t xml:space="preserve"> / Celular: </w:t>
      </w:r>
      <w:r w:rsidRPr="00207280">
        <w:rPr>
          <w:rFonts w:ascii="Arial" w:hAnsi="Arial" w:cs="Arial"/>
        </w:rPr>
        <w:t>+51 955 120 348</w:t>
      </w:r>
    </w:p>
    <w:p w14:paraId="7705B086" w14:textId="7BCEAC38" w:rsidR="00963683" w:rsidRPr="00963683" w:rsidRDefault="00963683" w:rsidP="00963683">
      <w:pPr>
        <w:spacing w:line="360" w:lineRule="auto"/>
        <w:jc w:val="both"/>
        <w:rPr>
          <w:rFonts w:ascii="Arial" w:hAnsi="Arial" w:cs="Arial"/>
        </w:rPr>
      </w:pPr>
      <w:r w:rsidRPr="00207280">
        <w:rPr>
          <w:rFonts w:ascii="Arial" w:hAnsi="Arial" w:cs="Arial"/>
          <w:b/>
          <w:bCs/>
          <w:u w:val="single"/>
        </w:rPr>
        <w:t>Co Autor</w:t>
      </w:r>
      <w:r w:rsidRPr="00207280">
        <w:rPr>
          <w:rFonts w:ascii="Arial" w:hAnsi="Arial" w:cs="Arial"/>
        </w:rPr>
        <w:t xml:space="preserve"> </w:t>
      </w:r>
      <w:r w:rsidRPr="00963683">
        <w:rPr>
          <w:rFonts w:ascii="Arial" w:hAnsi="Arial" w:cs="Arial"/>
        </w:rPr>
        <w:t xml:space="preserve">Ing. Cesar Seminario Silva. Ingeniero Mecatrónico de la Universidad Ricardo Palma, con 3 años de experiencia en el desarrollo de diseño de arquitecturas de automatización, ofreciendo una propuesta de valor elevada en cada proyecto propuesto a distintos sectores de impacto en el Perú. Actualmente es Solution </w:t>
      </w:r>
      <w:proofErr w:type="spellStart"/>
      <w:r w:rsidRPr="00963683">
        <w:rPr>
          <w:rFonts w:ascii="Arial" w:hAnsi="Arial" w:cs="Arial"/>
        </w:rPr>
        <w:t>Builder</w:t>
      </w:r>
      <w:proofErr w:type="spellEnd"/>
      <w:r w:rsidRPr="00963683">
        <w:rPr>
          <w:rFonts w:ascii="Arial" w:hAnsi="Arial" w:cs="Arial"/>
        </w:rPr>
        <w:t xml:space="preserve"> </w:t>
      </w:r>
      <w:proofErr w:type="spellStart"/>
      <w:r w:rsidRPr="00963683">
        <w:rPr>
          <w:rFonts w:ascii="Arial" w:hAnsi="Arial" w:cs="Arial"/>
        </w:rPr>
        <w:t>Specialist</w:t>
      </w:r>
      <w:proofErr w:type="spellEnd"/>
      <w:r w:rsidRPr="00963683">
        <w:rPr>
          <w:rFonts w:ascii="Arial" w:hAnsi="Arial" w:cs="Arial"/>
        </w:rPr>
        <w:t xml:space="preserve"> </w:t>
      </w:r>
      <w:proofErr w:type="spellStart"/>
      <w:r w:rsidRPr="00963683">
        <w:rPr>
          <w:rFonts w:ascii="Arial" w:hAnsi="Arial" w:cs="Arial"/>
        </w:rPr>
        <w:t>Engineer</w:t>
      </w:r>
      <w:proofErr w:type="spellEnd"/>
      <w:r w:rsidRPr="00963683">
        <w:rPr>
          <w:rFonts w:ascii="Arial" w:hAnsi="Arial" w:cs="Arial"/>
        </w:rPr>
        <w:t xml:space="preserve"> en la Compañía PROCETRADI S.A.C en Lima-Perú</w:t>
      </w:r>
      <w:r w:rsidRPr="00207280">
        <w:rPr>
          <w:rFonts w:ascii="Arial" w:hAnsi="Arial" w:cs="Arial"/>
        </w:rPr>
        <w:t>.</w:t>
      </w:r>
      <w:r>
        <w:rPr>
          <w:rFonts w:ascii="Arial" w:hAnsi="Arial" w:cs="Arial"/>
        </w:rPr>
        <w:t xml:space="preserve"> Correo corporativo: </w:t>
      </w:r>
      <w:r w:rsidRPr="00963683">
        <w:rPr>
          <w:rFonts w:ascii="Arial" w:hAnsi="Arial" w:cs="Arial"/>
        </w:rPr>
        <w:t>cseminario@procetradi.com</w:t>
      </w:r>
      <w:r>
        <w:rPr>
          <w:rFonts w:ascii="Arial" w:hAnsi="Arial" w:cs="Arial"/>
        </w:rPr>
        <w:t xml:space="preserve"> / Celular: </w:t>
      </w:r>
      <w:r w:rsidRPr="00207280">
        <w:rPr>
          <w:rFonts w:ascii="Arial" w:hAnsi="Arial" w:cs="Arial"/>
        </w:rPr>
        <w:t xml:space="preserve">+51 </w:t>
      </w:r>
      <w:r w:rsidRPr="00963683">
        <w:rPr>
          <w:rFonts w:ascii="Arial" w:hAnsi="Arial" w:cs="Arial"/>
        </w:rPr>
        <w:t>970 809 873</w:t>
      </w:r>
    </w:p>
    <w:p w14:paraId="6B83C777" w14:textId="552D884D" w:rsidR="00B91129" w:rsidRPr="00963683" w:rsidRDefault="00963683" w:rsidP="00963683">
      <w:pPr>
        <w:spacing w:line="360" w:lineRule="auto"/>
        <w:jc w:val="both"/>
        <w:rPr>
          <w:rFonts w:ascii="Arial" w:hAnsi="Arial" w:cs="Arial"/>
        </w:rPr>
      </w:pPr>
      <w:r w:rsidRPr="00207280">
        <w:rPr>
          <w:rFonts w:ascii="Arial" w:hAnsi="Arial" w:cs="Arial"/>
          <w:b/>
          <w:bCs/>
          <w:u w:val="single"/>
        </w:rPr>
        <w:t>Co Autor</w:t>
      </w:r>
      <w:r w:rsidRPr="00207280">
        <w:rPr>
          <w:rFonts w:ascii="Arial" w:hAnsi="Arial" w:cs="Arial"/>
        </w:rPr>
        <w:t xml:space="preserve"> </w:t>
      </w:r>
      <w:proofErr w:type="spellStart"/>
      <w:r w:rsidRPr="00207280">
        <w:rPr>
          <w:rFonts w:ascii="Arial" w:hAnsi="Arial" w:cs="Arial"/>
        </w:rPr>
        <w:t>Mba</w:t>
      </w:r>
      <w:proofErr w:type="spellEnd"/>
      <w:r w:rsidRPr="00207280">
        <w:rPr>
          <w:rFonts w:ascii="Arial" w:hAnsi="Arial" w:cs="Arial"/>
        </w:rPr>
        <w:t>. Ing. CIP Will Medina Peralta. Ingeniero Electrónico de la Universidad Nacional de Ingeniería, con más de 25 años de experiencia en el desarrollo de negocios de ingeniería y soluciones, adaptando con facilidad tecnologías complejas de forma simple a distintos sectores de impacto en el Perú, garantizando su continuidad y continua innovación. Actualmente es CEO en la Compañía PROCETRADI S.A.C en Lima-Perú.</w:t>
      </w:r>
      <w:r>
        <w:rPr>
          <w:rFonts w:ascii="Arial" w:hAnsi="Arial" w:cs="Arial"/>
        </w:rPr>
        <w:t xml:space="preserve"> Correo corporativo: </w:t>
      </w:r>
      <w:r w:rsidRPr="00207280">
        <w:rPr>
          <w:rFonts w:ascii="Arial" w:hAnsi="Arial" w:cs="Arial"/>
        </w:rPr>
        <w:t>wmedina@procetradi.com</w:t>
      </w:r>
      <w:r>
        <w:rPr>
          <w:rFonts w:ascii="Arial" w:hAnsi="Arial" w:cs="Arial"/>
        </w:rPr>
        <w:t xml:space="preserve"> / Celular: </w:t>
      </w:r>
      <w:r w:rsidRPr="00207280">
        <w:rPr>
          <w:rFonts w:ascii="Arial" w:hAnsi="Arial" w:cs="Arial"/>
        </w:rPr>
        <w:t>+51 999 912 136</w:t>
      </w:r>
    </w:p>
    <w:sectPr w:rsidR="00B91129" w:rsidRPr="00963683" w:rsidSect="00B25809">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C2D1D"/>
    <w:multiLevelType w:val="hybridMultilevel"/>
    <w:tmpl w:val="CD9C84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3528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129"/>
    <w:rsid w:val="003C6315"/>
    <w:rsid w:val="003F2ACF"/>
    <w:rsid w:val="00710D57"/>
    <w:rsid w:val="008C42B9"/>
    <w:rsid w:val="008C46DC"/>
    <w:rsid w:val="009005E9"/>
    <w:rsid w:val="00963683"/>
    <w:rsid w:val="00AD4EB0"/>
    <w:rsid w:val="00B25809"/>
    <w:rsid w:val="00B911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5F46"/>
  <w15:chartTrackingRefBased/>
  <w15:docId w15:val="{725E8EA5-4200-4D5E-BB33-6AD7F23F0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1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1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11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11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11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11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11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11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11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11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11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11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11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11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11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11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11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1129"/>
    <w:rPr>
      <w:rFonts w:eastAsiaTheme="majorEastAsia" w:cstheme="majorBidi"/>
      <w:color w:val="272727" w:themeColor="text1" w:themeTint="D8"/>
    </w:rPr>
  </w:style>
  <w:style w:type="paragraph" w:styleId="Ttulo">
    <w:name w:val="Title"/>
    <w:basedOn w:val="Normal"/>
    <w:next w:val="Normal"/>
    <w:link w:val="TtuloCar"/>
    <w:uiPriority w:val="10"/>
    <w:qFormat/>
    <w:rsid w:val="00B91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11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11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11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1129"/>
    <w:pPr>
      <w:spacing w:before="160"/>
      <w:jc w:val="center"/>
    </w:pPr>
    <w:rPr>
      <w:i/>
      <w:iCs/>
      <w:color w:val="404040" w:themeColor="text1" w:themeTint="BF"/>
    </w:rPr>
  </w:style>
  <w:style w:type="character" w:customStyle="1" w:styleId="CitaCar">
    <w:name w:val="Cita Car"/>
    <w:basedOn w:val="Fuentedeprrafopredeter"/>
    <w:link w:val="Cita"/>
    <w:uiPriority w:val="29"/>
    <w:rsid w:val="00B91129"/>
    <w:rPr>
      <w:i/>
      <w:iCs/>
      <w:color w:val="404040" w:themeColor="text1" w:themeTint="BF"/>
    </w:rPr>
  </w:style>
  <w:style w:type="paragraph" w:styleId="Prrafodelista">
    <w:name w:val="List Paragraph"/>
    <w:basedOn w:val="Normal"/>
    <w:uiPriority w:val="34"/>
    <w:qFormat/>
    <w:rsid w:val="00B91129"/>
    <w:pPr>
      <w:ind w:left="720"/>
      <w:contextualSpacing/>
    </w:pPr>
  </w:style>
  <w:style w:type="character" w:styleId="nfasisintenso">
    <w:name w:val="Intense Emphasis"/>
    <w:basedOn w:val="Fuentedeprrafopredeter"/>
    <w:uiPriority w:val="21"/>
    <w:qFormat/>
    <w:rsid w:val="00B91129"/>
    <w:rPr>
      <w:i/>
      <w:iCs/>
      <w:color w:val="0F4761" w:themeColor="accent1" w:themeShade="BF"/>
    </w:rPr>
  </w:style>
  <w:style w:type="paragraph" w:styleId="Citadestacada">
    <w:name w:val="Intense Quote"/>
    <w:basedOn w:val="Normal"/>
    <w:next w:val="Normal"/>
    <w:link w:val="CitadestacadaCar"/>
    <w:uiPriority w:val="30"/>
    <w:qFormat/>
    <w:rsid w:val="00B91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1129"/>
    <w:rPr>
      <w:i/>
      <w:iCs/>
      <w:color w:val="0F4761" w:themeColor="accent1" w:themeShade="BF"/>
    </w:rPr>
  </w:style>
  <w:style w:type="character" w:styleId="Referenciaintensa">
    <w:name w:val="Intense Reference"/>
    <w:basedOn w:val="Fuentedeprrafopredeter"/>
    <w:uiPriority w:val="32"/>
    <w:qFormat/>
    <w:rsid w:val="00B911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032607">
      <w:bodyDiv w:val="1"/>
      <w:marLeft w:val="0"/>
      <w:marRight w:val="0"/>
      <w:marTop w:val="0"/>
      <w:marBottom w:val="0"/>
      <w:divBdr>
        <w:top w:val="none" w:sz="0" w:space="0" w:color="auto"/>
        <w:left w:val="none" w:sz="0" w:space="0" w:color="auto"/>
        <w:bottom w:val="none" w:sz="0" w:space="0" w:color="auto"/>
        <w:right w:val="none" w:sz="0" w:space="0" w:color="auto"/>
      </w:divBdr>
    </w:div>
    <w:div w:id="203248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Gonzales</dc:creator>
  <cp:keywords/>
  <dc:description/>
  <cp:lastModifiedBy>Carlos Gonzales</cp:lastModifiedBy>
  <cp:revision>1</cp:revision>
  <dcterms:created xsi:type="dcterms:W3CDTF">2025-04-15T23:03:00Z</dcterms:created>
  <dcterms:modified xsi:type="dcterms:W3CDTF">2025-04-15T23:31:00Z</dcterms:modified>
</cp:coreProperties>
</file>