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414E0" w14:textId="36A72867" w:rsidR="009E616A" w:rsidRPr="00071227" w:rsidRDefault="00071227" w:rsidP="009E616A">
      <w:pPr>
        <w:spacing w:line="360" w:lineRule="auto"/>
        <w:jc w:val="both"/>
        <w:rPr>
          <w:rFonts w:ascii="Arial" w:hAnsi="Arial" w:cs="Arial"/>
        </w:rPr>
      </w:pPr>
      <w:r w:rsidRPr="002B03CA">
        <w:rPr>
          <w:rFonts w:ascii="Arial" w:hAnsi="Arial" w:cs="Arial"/>
          <w:b/>
          <w:bCs/>
        </w:rPr>
        <w:t>Título</w:t>
      </w:r>
      <w:r w:rsidRPr="00071227">
        <w:rPr>
          <w:rFonts w:ascii="Arial" w:hAnsi="Arial" w:cs="Arial"/>
        </w:rPr>
        <w:t xml:space="preserve">: </w:t>
      </w:r>
      <w:r>
        <w:rPr>
          <w:rFonts w:ascii="Arial" w:hAnsi="Arial" w:cs="Arial"/>
        </w:rPr>
        <w:t xml:space="preserve">Cobriza: </w:t>
      </w:r>
      <w:r w:rsidR="009E616A" w:rsidRPr="009E616A">
        <w:rPr>
          <w:rFonts w:ascii="Arial" w:hAnsi="Arial" w:cs="Arial"/>
        </w:rPr>
        <w:t>Desarrollo de exploraciones con nuevas tecnologías tras 15 años de pausa</w:t>
      </w:r>
      <w:r>
        <w:rPr>
          <w:rFonts w:ascii="Arial" w:hAnsi="Arial" w:cs="Arial"/>
        </w:rPr>
        <w:t>.</w:t>
      </w:r>
    </w:p>
    <w:p w14:paraId="07803276" w14:textId="77777777" w:rsidR="00071227" w:rsidRPr="00071227" w:rsidRDefault="00071227" w:rsidP="00071227">
      <w:pPr>
        <w:spacing w:line="360" w:lineRule="auto"/>
        <w:jc w:val="both"/>
        <w:rPr>
          <w:rFonts w:ascii="Arial" w:hAnsi="Arial" w:cs="Arial"/>
        </w:rPr>
      </w:pPr>
      <w:r w:rsidRPr="002B03CA">
        <w:rPr>
          <w:rFonts w:ascii="Arial" w:hAnsi="Arial" w:cs="Arial"/>
          <w:b/>
          <w:bCs/>
        </w:rPr>
        <w:t>Tema</w:t>
      </w:r>
      <w:r w:rsidRPr="00071227">
        <w:rPr>
          <w:rFonts w:ascii="Arial" w:hAnsi="Arial" w:cs="Arial"/>
        </w:rPr>
        <w:t xml:space="preserve">: Desarrollo y evolución de nuevas tecnologías para la exploración y desarrollo de proyectos. </w:t>
      </w:r>
    </w:p>
    <w:p w14:paraId="550067E5" w14:textId="0A502313" w:rsidR="00071227" w:rsidRDefault="00071227" w:rsidP="00071227">
      <w:pPr>
        <w:spacing w:line="360" w:lineRule="auto"/>
        <w:jc w:val="both"/>
        <w:rPr>
          <w:rFonts w:ascii="Arial" w:hAnsi="Arial" w:cs="Arial"/>
        </w:rPr>
      </w:pPr>
      <w:r w:rsidRPr="001C2EE3">
        <w:rPr>
          <w:rFonts w:ascii="Arial" w:hAnsi="Arial" w:cs="Arial"/>
          <w:b/>
          <w:bCs/>
        </w:rPr>
        <w:t>Categoría</w:t>
      </w:r>
      <w:r>
        <w:rPr>
          <w:rFonts w:ascii="Arial" w:hAnsi="Arial" w:cs="Arial"/>
        </w:rPr>
        <w:t xml:space="preserve">: </w:t>
      </w:r>
      <w:r w:rsidRPr="00071227">
        <w:rPr>
          <w:rFonts w:ascii="Arial" w:hAnsi="Arial" w:cs="Arial"/>
        </w:rPr>
        <w:t>Geología y Exploraciones</w:t>
      </w:r>
    </w:p>
    <w:p w14:paraId="4DBE9E0D" w14:textId="51207C2C" w:rsidR="00071227" w:rsidRPr="00071227" w:rsidRDefault="00071227" w:rsidP="00071227">
      <w:pPr>
        <w:spacing w:line="360" w:lineRule="auto"/>
        <w:jc w:val="both"/>
        <w:rPr>
          <w:rFonts w:ascii="Arial" w:hAnsi="Arial" w:cs="Arial"/>
        </w:rPr>
      </w:pPr>
      <w:r w:rsidRPr="002B03CA">
        <w:rPr>
          <w:rFonts w:ascii="Arial" w:hAnsi="Arial" w:cs="Arial"/>
          <w:b/>
          <w:bCs/>
        </w:rPr>
        <w:t>Datos del autor</w:t>
      </w:r>
      <w:r w:rsidRPr="00071227">
        <w:rPr>
          <w:rFonts w:ascii="Arial" w:hAnsi="Arial" w:cs="Arial"/>
        </w:rPr>
        <w:t xml:space="preserve">: </w:t>
      </w:r>
      <w:r>
        <w:rPr>
          <w:rFonts w:ascii="Arial" w:hAnsi="Arial" w:cs="Arial"/>
        </w:rPr>
        <w:t>Eddy Zapana Yanarico</w:t>
      </w:r>
      <w:r w:rsidRPr="00071227">
        <w:rPr>
          <w:rFonts w:ascii="Arial" w:hAnsi="Arial" w:cs="Arial"/>
        </w:rPr>
        <w:t xml:space="preserve">, </w:t>
      </w:r>
      <w:r>
        <w:rPr>
          <w:rFonts w:ascii="Arial" w:hAnsi="Arial" w:cs="Arial"/>
        </w:rPr>
        <w:t>OCP Cobriza</w:t>
      </w:r>
      <w:r w:rsidRPr="00071227">
        <w:rPr>
          <w:rFonts w:ascii="Arial" w:hAnsi="Arial" w:cs="Arial"/>
        </w:rPr>
        <w:t xml:space="preserve">, </w:t>
      </w:r>
      <w:r w:rsidR="002B03CA">
        <w:rPr>
          <w:rFonts w:ascii="Arial" w:hAnsi="Arial" w:cs="Arial"/>
        </w:rPr>
        <w:t>Superintendente</w:t>
      </w:r>
      <w:r>
        <w:rPr>
          <w:rFonts w:ascii="Arial" w:hAnsi="Arial" w:cs="Arial"/>
        </w:rPr>
        <w:t xml:space="preserve"> de Exploraciones</w:t>
      </w:r>
      <w:r w:rsidRPr="00071227">
        <w:rPr>
          <w:rFonts w:ascii="Arial" w:hAnsi="Arial" w:cs="Arial"/>
        </w:rPr>
        <w:t>, AV. El Derby Nro. 250 Int. 3</w:t>
      </w:r>
      <w:r w:rsidR="002B03CA">
        <w:rPr>
          <w:rFonts w:ascii="Arial" w:hAnsi="Arial" w:cs="Arial"/>
        </w:rPr>
        <w:t>ro,</w:t>
      </w:r>
      <w:r w:rsidRPr="00071227">
        <w:rPr>
          <w:rFonts w:ascii="Arial" w:hAnsi="Arial" w:cs="Arial"/>
        </w:rPr>
        <w:t xml:space="preserve"> Urb. El Derby </w:t>
      </w:r>
      <w:r w:rsidR="002B03CA">
        <w:rPr>
          <w:rFonts w:ascii="Arial" w:hAnsi="Arial" w:cs="Arial"/>
        </w:rPr>
        <w:t>d</w:t>
      </w:r>
      <w:r w:rsidRPr="00071227">
        <w:rPr>
          <w:rFonts w:ascii="Arial" w:hAnsi="Arial" w:cs="Arial"/>
        </w:rPr>
        <w:t>e Monterrico</w:t>
      </w:r>
      <w:r w:rsidR="002B03CA">
        <w:rPr>
          <w:rFonts w:ascii="Arial" w:hAnsi="Arial" w:cs="Arial"/>
        </w:rPr>
        <w:t xml:space="preserve">, </w:t>
      </w:r>
      <w:r w:rsidRPr="00071227">
        <w:rPr>
          <w:rFonts w:ascii="Arial" w:hAnsi="Arial" w:cs="Arial"/>
        </w:rPr>
        <w:t xml:space="preserve">Lima - Santiago De Surco, </w:t>
      </w:r>
      <w:r w:rsidR="002B03CA">
        <w:rPr>
          <w:rFonts w:ascii="Arial" w:hAnsi="Arial" w:cs="Arial"/>
        </w:rPr>
        <w:t>ezapana@ocpperu.com</w:t>
      </w:r>
      <w:r w:rsidRPr="00071227">
        <w:rPr>
          <w:rFonts w:ascii="Arial" w:hAnsi="Arial" w:cs="Arial"/>
        </w:rPr>
        <w:t xml:space="preserve">, </w:t>
      </w:r>
      <w:r w:rsidR="00457D5F">
        <w:rPr>
          <w:rFonts w:ascii="Arial" w:hAnsi="Arial" w:cs="Arial"/>
        </w:rPr>
        <w:t>987958265</w:t>
      </w:r>
      <w:r w:rsidRPr="00071227">
        <w:rPr>
          <w:rFonts w:ascii="Arial" w:hAnsi="Arial" w:cs="Arial"/>
        </w:rPr>
        <w:t>.</w:t>
      </w:r>
    </w:p>
    <w:p w14:paraId="4F5BA256" w14:textId="2DD230F0" w:rsidR="00357D16" w:rsidRPr="002B03CA" w:rsidRDefault="00CD7E70" w:rsidP="00CD7E70">
      <w:pPr>
        <w:spacing w:line="360" w:lineRule="auto"/>
        <w:jc w:val="both"/>
        <w:rPr>
          <w:rFonts w:ascii="Arial" w:hAnsi="Arial" w:cs="Arial"/>
        </w:rPr>
      </w:pPr>
      <w:r w:rsidRPr="00CD7E70">
        <w:rPr>
          <w:rFonts w:ascii="Arial" w:hAnsi="Arial" w:cs="Arial"/>
        </w:rPr>
        <w:t xml:space="preserve">En octubre de 2022, Operadores Concentrados Peruanos SAC (OCP) adquirió la Mina Cobriza, </w:t>
      </w:r>
      <w:r w:rsidR="00D9759E">
        <w:rPr>
          <w:rFonts w:ascii="Arial" w:hAnsi="Arial" w:cs="Arial"/>
        </w:rPr>
        <w:t>además de</w:t>
      </w:r>
      <w:r w:rsidRPr="00CD7E70">
        <w:rPr>
          <w:rFonts w:ascii="Arial" w:hAnsi="Arial" w:cs="Arial"/>
        </w:rPr>
        <w:t xml:space="preserve"> 58 concesiones mineras </w:t>
      </w:r>
      <w:r w:rsidR="00D9759E" w:rsidRPr="00D9759E">
        <w:rPr>
          <w:rFonts w:ascii="Arial" w:hAnsi="Arial" w:cs="Arial"/>
        </w:rPr>
        <w:t xml:space="preserve">que en conjunto cubren un área </w:t>
      </w:r>
      <w:r w:rsidRPr="00CD7E70">
        <w:rPr>
          <w:rFonts w:ascii="Arial" w:hAnsi="Arial" w:cs="Arial"/>
        </w:rPr>
        <w:t>de 51,878 hectáreas</w:t>
      </w:r>
      <w:r w:rsidR="00357D16" w:rsidRPr="00357D16">
        <w:rPr>
          <w:rFonts w:ascii="Arial" w:hAnsi="Arial" w:cs="Arial"/>
        </w:rPr>
        <w:t>. Actualmente, la</w:t>
      </w:r>
      <w:r w:rsidR="00D9759E">
        <w:rPr>
          <w:rFonts w:ascii="Arial" w:hAnsi="Arial" w:cs="Arial"/>
        </w:rPr>
        <w:t>s</w:t>
      </w:r>
      <w:r w:rsidR="00357D16" w:rsidRPr="00357D16">
        <w:rPr>
          <w:rFonts w:ascii="Arial" w:hAnsi="Arial" w:cs="Arial"/>
        </w:rPr>
        <w:t xml:space="preserve"> actividad</w:t>
      </w:r>
      <w:r w:rsidR="00D9759E">
        <w:rPr>
          <w:rFonts w:ascii="Arial" w:hAnsi="Arial" w:cs="Arial"/>
        </w:rPr>
        <w:t>es</w:t>
      </w:r>
      <w:r w:rsidR="00357D16" w:rsidRPr="00357D16">
        <w:rPr>
          <w:rFonts w:ascii="Arial" w:hAnsi="Arial" w:cs="Arial"/>
        </w:rPr>
        <w:t xml:space="preserve"> minera</w:t>
      </w:r>
      <w:r w:rsidR="00D9759E">
        <w:rPr>
          <w:rFonts w:ascii="Arial" w:hAnsi="Arial" w:cs="Arial"/>
        </w:rPr>
        <w:t>s</w:t>
      </w:r>
      <w:r w:rsidR="00357D16" w:rsidRPr="00357D16">
        <w:rPr>
          <w:rFonts w:ascii="Arial" w:hAnsi="Arial" w:cs="Arial"/>
        </w:rPr>
        <w:t xml:space="preserve"> se </w:t>
      </w:r>
      <w:r w:rsidR="00D9759E">
        <w:rPr>
          <w:rFonts w:ascii="Arial" w:hAnsi="Arial" w:cs="Arial"/>
        </w:rPr>
        <w:t>llevan a cabo</w:t>
      </w:r>
      <w:r w:rsidR="00357D16" w:rsidRPr="00357D16">
        <w:rPr>
          <w:rFonts w:ascii="Arial" w:hAnsi="Arial" w:cs="Arial"/>
        </w:rPr>
        <w:t xml:space="preserve"> en tres de estas concesiones. Cabe destacar que las concesiones mineras fueron formuladas entre </w:t>
      </w:r>
      <w:r>
        <w:rPr>
          <w:rFonts w:ascii="Arial" w:hAnsi="Arial" w:cs="Arial"/>
        </w:rPr>
        <w:t xml:space="preserve">los años </w:t>
      </w:r>
      <w:r w:rsidR="00357D16" w:rsidRPr="00357D16">
        <w:rPr>
          <w:rFonts w:ascii="Arial" w:hAnsi="Arial" w:cs="Arial"/>
        </w:rPr>
        <w:t xml:space="preserve">1970 y 2006, y las concesiones sin actividad minera generan un costo anual </w:t>
      </w:r>
      <w:r w:rsidR="00A21C18">
        <w:rPr>
          <w:rFonts w:ascii="Arial" w:hAnsi="Arial" w:cs="Arial"/>
        </w:rPr>
        <w:t>alrededor</w:t>
      </w:r>
      <w:r w:rsidR="00A21C18" w:rsidRPr="00357D16">
        <w:rPr>
          <w:rFonts w:ascii="Arial" w:hAnsi="Arial" w:cs="Arial"/>
        </w:rPr>
        <w:t xml:space="preserve"> </w:t>
      </w:r>
      <w:r w:rsidR="00A21C18">
        <w:rPr>
          <w:rFonts w:ascii="Arial" w:hAnsi="Arial" w:cs="Arial"/>
        </w:rPr>
        <w:t>de un</w:t>
      </w:r>
      <w:r w:rsidR="00A21C18" w:rsidRPr="00357D16">
        <w:rPr>
          <w:rFonts w:ascii="Arial" w:hAnsi="Arial" w:cs="Arial"/>
        </w:rPr>
        <w:t xml:space="preserve"> millón de dólares</w:t>
      </w:r>
      <w:r w:rsidR="00A21C18" w:rsidRPr="00357D16">
        <w:rPr>
          <w:rFonts w:ascii="Arial" w:hAnsi="Arial" w:cs="Arial"/>
        </w:rPr>
        <w:t xml:space="preserve"> </w:t>
      </w:r>
      <w:r w:rsidR="00357D16" w:rsidRPr="00357D16">
        <w:rPr>
          <w:rFonts w:ascii="Arial" w:hAnsi="Arial" w:cs="Arial"/>
        </w:rPr>
        <w:t xml:space="preserve">por derechos de penalidad. Los titulares </w:t>
      </w:r>
      <w:r w:rsidR="00A21C18" w:rsidRPr="00357D16">
        <w:rPr>
          <w:rFonts w:ascii="Arial" w:hAnsi="Arial" w:cs="Arial"/>
        </w:rPr>
        <w:t xml:space="preserve">anteriores </w:t>
      </w:r>
      <w:r w:rsidR="00357D16" w:rsidRPr="00357D16">
        <w:rPr>
          <w:rFonts w:ascii="Arial" w:hAnsi="Arial" w:cs="Arial"/>
        </w:rPr>
        <w:t xml:space="preserve">de estas concesiones (Cerro de Pasco Corporation, CENTROMIN Perú, Doe Run Perú) </w:t>
      </w:r>
      <w:r w:rsidR="00A21C18">
        <w:rPr>
          <w:rFonts w:ascii="Arial" w:hAnsi="Arial" w:cs="Arial"/>
        </w:rPr>
        <w:t>realizaron</w:t>
      </w:r>
      <w:r w:rsidR="00357D16" w:rsidRPr="00357D16">
        <w:rPr>
          <w:rFonts w:ascii="Arial" w:hAnsi="Arial" w:cs="Arial"/>
        </w:rPr>
        <w:t xml:space="preserve"> exploraciones a escala regional y perforación diamantina hasta el año 2008.</w:t>
      </w:r>
    </w:p>
    <w:p w14:paraId="37ADA6AD" w14:textId="6374CDF9" w:rsidR="0078268D" w:rsidRPr="002B03CA" w:rsidRDefault="00AF71DF" w:rsidP="002B03CA">
      <w:pPr>
        <w:spacing w:line="360" w:lineRule="auto"/>
        <w:jc w:val="both"/>
        <w:rPr>
          <w:rFonts w:ascii="Arial" w:hAnsi="Arial" w:cs="Arial"/>
        </w:rPr>
      </w:pPr>
      <w:r w:rsidRPr="00AF71DF">
        <w:rPr>
          <w:rFonts w:ascii="Arial" w:hAnsi="Arial" w:cs="Arial"/>
        </w:rPr>
        <w:t>Con el objetivo de intensificar la exploración, OCP apuesta por la incorporación de tecnologías de vanguardia en la industria. Esta estrategia busca ampliar su portafolio de proyectos de exploración, incrementando recursos minerales, manten</w:t>
      </w:r>
      <w:r>
        <w:rPr>
          <w:rFonts w:ascii="Arial" w:hAnsi="Arial" w:cs="Arial"/>
        </w:rPr>
        <w:t>iendo</w:t>
      </w:r>
      <w:r w:rsidRPr="00AF71DF">
        <w:rPr>
          <w:rFonts w:ascii="Arial" w:hAnsi="Arial" w:cs="Arial"/>
        </w:rPr>
        <w:t xml:space="preserve"> un firme compromiso con la cultura </w:t>
      </w:r>
      <w:r w:rsidR="00463E33">
        <w:rPr>
          <w:rFonts w:ascii="Arial" w:hAnsi="Arial" w:cs="Arial"/>
        </w:rPr>
        <w:t>en</w:t>
      </w:r>
      <w:r w:rsidRPr="00AF71DF">
        <w:rPr>
          <w:rFonts w:ascii="Arial" w:hAnsi="Arial" w:cs="Arial"/>
        </w:rPr>
        <w:t xml:space="preserve"> seguridad y salud, la protección del medio ambiente y la responsabilidad social</w:t>
      </w:r>
      <w:r w:rsidR="00BF239B">
        <w:rPr>
          <w:rFonts w:ascii="Arial" w:hAnsi="Arial" w:cs="Arial"/>
        </w:rPr>
        <w:t>.</w:t>
      </w:r>
    </w:p>
    <w:p w14:paraId="34C3D8BB" w14:textId="0F522B65" w:rsidR="0078268D" w:rsidRDefault="00AF71DF" w:rsidP="002B03CA">
      <w:pPr>
        <w:spacing w:line="360" w:lineRule="auto"/>
        <w:jc w:val="both"/>
        <w:rPr>
          <w:rFonts w:ascii="Arial" w:hAnsi="Arial" w:cs="Arial"/>
        </w:rPr>
      </w:pPr>
      <w:r w:rsidRPr="00AF71DF">
        <w:rPr>
          <w:rFonts w:ascii="Arial" w:hAnsi="Arial" w:cs="Arial"/>
        </w:rPr>
        <w:t>Dada la topografía accidentada, con pendientes pronunciadas y de difícil acceso para el ser humano</w:t>
      </w:r>
      <w:r w:rsidR="00D80CC5">
        <w:rPr>
          <w:rFonts w:ascii="Arial" w:hAnsi="Arial" w:cs="Arial"/>
        </w:rPr>
        <w:t>; además con cobertura vegetal en algunas áreas</w:t>
      </w:r>
      <w:r w:rsidRPr="00AF71DF">
        <w:rPr>
          <w:rFonts w:ascii="Arial" w:hAnsi="Arial" w:cs="Arial"/>
        </w:rPr>
        <w:t xml:space="preserve">, el levantamiento topográfico detallado del área cubierta por las concesiones mineras </w:t>
      </w:r>
      <w:r w:rsidR="00C25CEC" w:rsidRPr="00C25CEC">
        <w:rPr>
          <w:rFonts w:ascii="Arial" w:hAnsi="Arial" w:cs="Arial"/>
        </w:rPr>
        <w:t>se ha realizado utilizando tecnología LIDAR y fotogrametría, empleando dron y avioneta</w:t>
      </w:r>
      <w:r w:rsidRPr="00AF71DF">
        <w:rPr>
          <w:rFonts w:ascii="Arial" w:hAnsi="Arial" w:cs="Arial"/>
        </w:rPr>
        <w:t xml:space="preserve">. </w:t>
      </w:r>
      <w:r w:rsidR="00C25CEC" w:rsidRPr="00C25CEC">
        <w:rPr>
          <w:rFonts w:ascii="Arial" w:hAnsi="Arial" w:cs="Arial"/>
        </w:rPr>
        <w:t xml:space="preserve">Este proceso ha generado resultados de alta precisión, </w:t>
      </w:r>
      <w:r w:rsidR="00604021">
        <w:rPr>
          <w:rFonts w:ascii="Arial" w:hAnsi="Arial" w:cs="Arial"/>
        </w:rPr>
        <w:t>como</w:t>
      </w:r>
      <w:r w:rsidR="00C25CEC" w:rsidRPr="00C25CEC">
        <w:rPr>
          <w:rFonts w:ascii="Arial" w:hAnsi="Arial" w:cs="Arial"/>
        </w:rPr>
        <w:t xml:space="preserve"> curvas de nivel con intervalos de 1 </w:t>
      </w:r>
      <w:r w:rsidR="00C25CEC" w:rsidRPr="00DF5080">
        <w:rPr>
          <w:rFonts w:ascii="Arial" w:hAnsi="Arial" w:cs="Arial"/>
        </w:rPr>
        <w:t xml:space="preserve">metro y ortofotos </w:t>
      </w:r>
      <w:r w:rsidR="00117281">
        <w:rPr>
          <w:rFonts w:ascii="Arial" w:hAnsi="Arial" w:cs="Arial"/>
        </w:rPr>
        <w:t>con</w:t>
      </w:r>
      <w:r w:rsidR="00C25CEC" w:rsidRPr="00DF5080">
        <w:rPr>
          <w:rFonts w:ascii="Arial" w:hAnsi="Arial" w:cs="Arial"/>
        </w:rPr>
        <w:t xml:space="preserve"> resolución excepcional</w:t>
      </w:r>
      <w:r w:rsidR="00DF5080" w:rsidRPr="00DF5080">
        <w:rPr>
          <w:rFonts w:ascii="Arial" w:hAnsi="Arial" w:cs="Arial"/>
        </w:rPr>
        <w:t xml:space="preserve"> (píxel 10 x 10cm)</w:t>
      </w:r>
      <w:r w:rsidR="0007047C" w:rsidRPr="00DF5080">
        <w:rPr>
          <w:rFonts w:ascii="Arial" w:hAnsi="Arial" w:cs="Arial"/>
        </w:rPr>
        <w:t>.</w:t>
      </w:r>
    </w:p>
    <w:p w14:paraId="53092855" w14:textId="76F054DA" w:rsidR="004D2612" w:rsidRDefault="00AF71DF" w:rsidP="002B03CA">
      <w:pPr>
        <w:spacing w:line="360" w:lineRule="auto"/>
        <w:jc w:val="both"/>
        <w:rPr>
          <w:rFonts w:ascii="Arial" w:hAnsi="Arial" w:cs="Arial"/>
        </w:rPr>
      </w:pPr>
      <w:r w:rsidRPr="00AF71DF">
        <w:rPr>
          <w:rFonts w:ascii="Arial" w:hAnsi="Arial" w:cs="Arial"/>
        </w:rPr>
        <w:t xml:space="preserve">La caracterización geológica se ha respaldado mediante estudios de microscopía electrónica de barrido (SEM), </w:t>
      </w:r>
      <w:r w:rsidR="00C653DE">
        <w:rPr>
          <w:rFonts w:ascii="Arial" w:hAnsi="Arial" w:cs="Arial"/>
        </w:rPr>
        <w:t>permitiendo</w:t>
      </w:r>
      <w:r w:rsidRPr="00AF71DF">
        <w:rPr>
          <w:rFonts w:ascii="Arial" w:hAnsi="Arial" w:cs="Arial"/>
        </w:rPr>
        <w:t xml:space="preserve"> identificar </w:t>
      </w:r>
      <w:r w:rsidR="00C653DE">
        <w:rPr>
          <w:rFonts w:ascii="Arial" w:hAnsi="Arial" w:cs="Arial"/>
        </w:rPr>
        <w:t>minerales de interés comercial y ensambles minerales para plantear el tipo de depósito mineral</w:t>
      </w:r>
      <w:r w:rsidRPr="00AF71DF">
        <w:rPr>
          <w:rFonts w:ascii="Arial" w:hAnsi="Arial" w:cs="Arial"/>
        </w:rPr>
        <w:t xml:space="preserve">. Al contrastar </w:t>
      </w:r>
      <w:r w:rsidR="00C653DE">
        <w:rPr>
          <w:rFonts w:ascii="Arial" w:hAnsi="Arial" w:cs="Arial"/>
        </w:rPr>
        <w:t>los</w:t>
      </w:r>
      <w:r w:rsidRPr="00AF71DF">
        <w:rPr>
          <w:rFonts w:ascii="Arial" w:hAnsi="Arial" w:cs="Arial"/>
        </w:rPr>
        <w:t xml:space="preserve"> </w:t>
      </w:r>
      <w:r w:rsidR="00C653DE">
        <w:rPr>
          <w:rFonts w:ascii="Arial" w:hAnsi="Arial" w:cs="Arial"/>
        </w:rPr>
        <w:t>minerales de interés comercial</w:t>
      </w:r>
      <w:r w:rsidRPr="00AF71DF">
        <w:rPr>
          <w:rFonts w:ascii="Arial" w:hAnsi="Arial" w:cs="Arial"/>
        </w:rPr>
        <w:t xml:space="preserve"> con los análisis </w:t>
      </w:r>
      <w:r w:rsidR="000A5910">
        <w:rPr>
          <w:rFonts w:ascii="Arial" w:hAnsi="Arial" w:cs="Arial"/>
        </w:rPr>
        <w:t xml:space="preserve">geoquímicos y </w:t>
      </w:r>
      <w:r w:rsidRPr="00AF71DF">
        <w:rPr>
          <w:rFonts w:ascii="Arial" w:hAnsi="Arial" w:cs="Arial"/>
        </w:rPr>
        <w:t xml:space="preserve">de cobre secuencial, se </w:t>
      </w:r>
      <w:r w:rsidR="00446DA1">
        <w:rPr>
          <w:rFonts w:ascii="Arial" w:hAnsi="Arial" w:cs="Arial"/>
        </w:rPr>
        <w:t xml:space="preserve">determinó </w:t>
      </w:r>
      <w:r w:rsidRPr="00AF71DF">
        <w:rPr>
          <w:rFonts w:ascii="Arial" w:hAnsi="Arial" w:cs="Arial"/>
        </w:rPr>
        <w:t xml:space="preserve">mineralización de cobre tipo </w:t>
      </w:r>
      <w:r w:rsidR="00446DA1">
        <w:rPr>
          <w:rFonts w:ascii="Arial" w:hAnsi="Arial" w:cs="Arial"/>
        </w:rPr>
        <w:t>“</w:t>
      </w:r>
      <w:r w:rsidRPr="00AF71DF">
        <w:rPr>
          <w:rFonts w:ascii="Arial" w:hAnsi="Arial" w:cs="Arial"/>
        </w:rPr>
        <w:t>sulfuro primario</w:t>
      </w:r>
      <w:r w:rsidR="00446DA1">
        <w:rPr>
          <w:rFonts w:ascii="Arial" w:hAnsi="Arial" w:cs="Arial"/>
        </w:rPr>
        <w:t>”</w:t>
      </w:r>
      <w:r w:rsidRPr="00AF71DF">
        <w:rPr>
          <w:rFonts w:ascii="Arial" w:hAnsi="Arial" w:cs="Arial"/>
        </w:rPr>
        <w:t xml:space="preserve"> (calcopirita) con propiedades óptimas para su posible procesamiento en la planta actual</w:t>
      </w:r>
      <w:r w:rsidR="000A5910">
        <w:rPr>
          <w:rFonts w:ascii="Arial" w:hAnsi="Arial" w:cs="Arial"/>
        </w:rPr>
        <w:t>, como es el</w:t>
      </w:r>
      <w:r w:rsidRPr="00AF71DF">
        <w:rPr>
          <w:rFonts w:ascii="Arial" w:hAnsi="Arial" w:cs="Arial"/>
        </w:rPr>
        <w:t xml:space="preserve"> caso del Target de Exploración Cobriza DC</w:t>
      </w:r>
      <w:r w:rsidR="005C5727">
        <w:rPr>
          <w:rFonts w:ascii="Arial" w:hAnsi="Arial" w:cs="Arial"/>
        </w:rPr>
        <w:t>.</w:t>
      </w:r>
    </w:p>
    <w:p w14:paraId="5806141A" w14:textId="5F4991BC" w:rsidR="001F6877" w:rsidRDefault="001F6877" w:rsidP="002B03CA">
      <w:pPr>
        <w:spacing w:line="360" w:lineRule="auto"/>
        <w:jc w:val="both"/>
        <w:rPr>
          <w:rFonts w:ascii="Arial" w:hAnsi="Arial" w:cs="Arial"/>
        </w:rPr>
      </w:pPr>
      <w:r w:rsidRPr="001F6877">
        <w:rPr>
          <w:rFonts w:ascii="Arial" w:hAnsi="Arial" w:cs="Arial"/>
        </w:rPr>
        <w:lastRenderedPageBreak/>
        <w:t xml:space="preserve">La prospección geofísica mediante magnetometría </w:t>
      </w:r>
      <w:r w:rsidR="00446DA1">
        <w:rPr>
          <w:rFonts w:ascii="Arial" w:hAnsi="Arial" w:cs="Arial"/>
        </w:rPr>
        <w:t>se realizó</w:t>
      </w:r>
      <w:r w:rsidRPr="001F6877">
        <w:rPr>
          <w:rFonts w:ascii="Arial" w:hAnsi="Arial" w:cs="Arial"/>
        </w:rPr>
        <w:t xml:space="preserve"> con vehículo aéreo no tripulado</w:t>
      </w:r>
      <w:r w:rsidR="00446DA1">
        <w:rPr>
          <w:rFonts w:ascii="Arial" w:hAnsi="Arial" w:cs="Arial"/>
        </w:rPr>
        <w:t>,</w:t>
      </w:r>
      <w:r w:rsidRPr="001F6877">
        <w:rPr>
          <w:rFonts w:ascii="Arial" w:hAnsi="Arial" w:cs="Arial"/>
        </w:rPr>
        <w:t xml:space="preserve"> considerando el contexto geológico como la complejidad del terreno por </w:t>
      </w:r>
      <w:r>
        <w:rPr>
          <w:rFonts w:ascii="Arial" w:hAnsi="Arial" w:cs="Arial"/>
        </w:rPr>
        <w:t xml:space="preserve">sus </w:t>
      </w:r>
      <w:r w:rsidRPr="001F6877">
        <w:rPr>
          <w:rFonts w:ascii="Arial" w:hAnsi="Arial" w:cs="Arial"/>
        </w:rPr>
        <w:t xml:space="preserve">restricciones de accesibilidad. Durante la adquisición de datos, se alcanzó un rendimiento </w:t>
      </w:r>
      <w:r>
        <w:rPr>
          <w:rFonts w:ascii="Arial" w:hAnsi="Arial" w:cs="Arial"/>
        </w:rPr>
        <w:t>promedio</w:t>
      </w:r>
      <w:r w:rsidRPr="001F6877">
        <w:rPr>
          <w:rFonts w:ascii="Arial" w:hAnsi="Arial" w:cs="Arial"/>
        </w:rPr>
        <w:t xml:space="preserve"> con una velocidad de vuelo de 8.3 metros por segundo y un intervalo de 20 lecturas por segundo </w:t>
      </w:r>
      <w:r>
        <w:rPr>
          <w:rFonts w:ascii="Arial" w:hAnsi="Arial" w:cs="Arial"/>
        </w:rPr>
        <w:t>por el</w:t>
      </w:r>
      <w:r w:rsidRPr="001F6877">
        <w:rPr>
          <w:rFonts w:ascii="Arial" w:hAnsi="Arial" w:cs="Arial"/>
        </w:rPr>
        <w:t xml:space="preserve"> equipo móvil, </w:t>
      </w:r>
      <w:r w:rsidR="00446DA1">
        <w:rPr>
          <w:rFonts w:ascii="Arial" w:hAnsi="Arial" w:cs="Arial"/>
        </w:rPr>
        <w:t>permitiendo</w:t>
      </w:r>
      <w:r w:rsidRPr="001F6877">
        <w:rPr>
          <w:rFonts w:ascii="Arial" w:hAnsi="Arial" w:cs="Arial"/>
        </w:rPr>
        <w:t xml:space="preserve"> cubrir </w:t>
      </w:r>
      <w:r>
        <w:rPr>
          <w:rFonts w:ascii="Arial" w:hAnsi="Arial" w:cs="Arial"/>
        </w:rPr>
        <w:t>el total</w:t>
      </w:r>
      <w:r w:rsidRPr="001F6877">
        <w:rPr>
          <w:rFonts w:ascii="Arial" w:hAnsi="Arial" w:cs="Arial"/>
        </w:rPr>
        <w:t xml:space="preserve"> del área de estudio programad</w:t>
      </w:r>
      <w:r>
        <w:rPr>
          <w:rFonts w:ascii="Arial" w:hAnsi="Arial" w:cs="Arial"/>
        </w:rPr>
        <w:t>o</w:t>
      </w:r>
      <w:r w:rsidRPr="001F6877">
        <w:rPr>
          <w:rFonts w:ascii="Arial" w:hAnsi="Arial" w:cs="Arial"/>
        </w:rPr>
        <w:t xml:space="preserve">. </w:t>
      </w:r>
      <w:r>
        <w:rPr>
          <w:rFonts w:ascii="Arial" w:hAnsi="Arial" w:cs="Arial"/>
        </w:rPr>
        <w:t xml:space="preserve">Los resultados obtenidos han sido datos geofísicos de alta resolución y calidad, </w:t>
      </w:r>
      <w:r w:rsidR="00446DA1">
        <w:rPr>
          <w:rFonts w:ascii="Arial" w:hAnsi="Arial" w:cs="Arial"/>
        </w:rPr>
        <w:t>para</w:t>
      </w:r>
      <w:r>
        <w:rPr>
          <w:rFonts w:ascii="Arial" w:hAnsi="Arial" w:cs="Arial"/>
        </w:rPr>
        <w:t xml:space="preserve"> realizar interpretaciones en dos y tres dimensiones</w:t>
      </w:r>
      <w:r w:rsidR="00446DA1">
        <w:rPr>
          <w:rFonts w:ascii="Arial" w:hAnsi="Arial" w:cs="Arial"/>
        </w:rPr>
        <w:t xml:space="preserve">, delimitando </w:t>
      </w:r>
      <w:r>
        <w:rPr>
          <w:rFonts w:ascii="Arial" w:hAnsi="Arial" w:cs="Arial"/>
        </w:rPr>
        <w:t>blancos</w:t>
      </w:r>
      <w:r w:rsidRPr="001F6877">
        <w:rPr>
          <w:rFonts w:ascii="Arial" w:hAnsi="Arial" w:cs="Arial"/>
        </w:rPr>
        <w:t xml:space="preserve"> de exploración </w:t>
      </w:r>
      <w:r>
        <w:rPr>
          <w:rFonts w:ascii="Arial" w:hAnsi="Arial" w:cs="Arial"/>
        </w:rPr>
        <w:t>al Oeste y Sur de la Mina Cobriza</w:t>
      </w:r>
      <w:r w:rsidRPr="001F6877">
        <w:rPr>
          <w:rFonts w:ascii="Arial" w:hAnsi="Arial" w:cs="Arial"/>
        </w:rPr>
        <w:t xml:space="preserve">, </w:t>
      </w:r>
      <w:r>
        <w:rPr>
          <w:rFonts w:ascii="Arial" w:hAnsi="Arial" w:cs="Arial"/>
        </w:rPr>
        <w:t xml:space="preserve">denominados </w:t>
      </w:r>
      <w:r w:rsidRPr="001F6877">
        <w:rPr>
          <w:rFonts w:ascii="Arial" w:hAnsi="Arial" w:cs="Arial"/>
        </w:rPr>
        <w:t>Cobriza DC y Chojec, respectivamente.</w:t>
      </w:r>
    </w:p>
    <w:p w14:paraId="3E52904C" w14:textId="7A7DD15E" w:rsidR="00616EC9" w:rsidRDefault="001F6877" w:rsidP="008B602D">
      <w:pPr>
        <w:spacing w:line="360" w:lineRule="auto"/>
        <w:jc w:val="both"/>
        <w:rPr>
          <w:rFonts w:ascii="Arial" w:hAnsi="Arial" w:cs="Arial"/>
        </w:rPr>
      </w:pPr>
      <w:r w:rsidRPr="001F6877">
        <w:rPr>
          <w:rFonts w:ascii="Arial" w:hAnsi="Arial" w:cs="Arial"/>
        </w:rPr>
        <w:t xml:space="preserve">La prospección geofísica mediante polarización inducida </w:t>
      </w:r>
      <w:r w:rsidR="009D0AFF">
        <w:rPr>
          <w:rFonts w:ascii="Arial" w:hAnsi="Arial" w:cs="Arial"/>
        </w:rPr>
        <w:t>en tres dimensiones</w:t>
      </w:r>
      <w:r w:rsidR="009D0AFF" w:rsidRPr="001F6877">
        <w:rPr>
          <w:rFonts w:ascii="Arial" w:hAnsi="Arial" w:cs="Arial"/>
        </w:rPr>
        <w:t xml:space="preserve"> </w:t>
      </w:r>
      <w:r w:rsidRPr="001F6877">
        <w:rPr>
          <w:rFonts w:ascii="Arial" w:hAnsi="Arial" w:cs="Arial"/>
        </w:rPr>
        <w:t>(IP</w:t>
      </w:r>
      <w:r w:rsidR="009D0AFF">
        <w:rPr>
          <w:rFonts w:ascii="Arial" w:hAnsi="Arial" w:cs="Arial"/>
        </w:rPr>
        <w:t>3D</w:t>
      </w:r>
      <w:r w:rsidRPr="001F6877">
        <w:rPr>
          <w:rFonts w:ascii="Arial" w:hAnsi="Arial" w:cs="Arial"/>
        </w:rPr>
        <w:t>)</w:t>
      </w:r>
      <w:r w:rsidR="008B602D">
        <w:rPr>
          <w:rFonts w:ascii="Arial" w:hAnsi="Arial" w:cs="Arial"/>
        </w:rPr>
        <w:t>,</w:t>
      </w:r>
      <w:r w:rsidR="00F96601">
        <w:rPr>
          <w:rFonts w:ascii="Arial" w:hAnsi="Arial" w:cs="Arial"/>
        </w:rPr>
        <w:t xml:space="preserve"> </w:t>
      </w:r>
      <w:r w:rsidR="008B602D">
        <w:rPr>
          <w:rFonts w:ascii="Arial" w:hAnsi="Arial" w:cs="Arial"/>
        </w:rPr>
        <w:t>se realiza</w:t>
      </w:r>
      <w:r w:rsidR="00446DA1">
        <w:rPr>
          <w:rFonts w:ascii="Arial" w:hAnsi="Arial" w:cs="Arial"/>
        </w:rPr>
        <w:t>ron</w:t>
      </w:r>
      <w:r w:rsidR="008B602D">
        <w:rPr>
          <w:rFonts w:ascii="Arial" w:hAnsi="Arial" w:cs="Arial"/>
        </w:rPr>
        <w:t xml:space="preserve"> para mejorar la calidad de datos</w:t>
      </w:r>
      <w:r w:rsidR="00D92EF3">
        <w:rPr>
          <w:rFonts w:ascii="Arial" w:hAnsi="Arial" w:cs="Arial"/>
        </w:rPr>
        <w:t>,</w:t>
      </w:r>
      <w:r w:rsidR="008B602D">
        <w:rPr>
          <w:rFonts w:ascii="Arial" w:hAnsi="Arial" w:cs="Arial"/>
        </w:rPr>
        <w:t xml:space="preserve"> definir con alta resolución los modelos de inversión 3D</w:t>
      </w:r>
      <w:r w:rsidR="001B62FC">
        <w:rPr>
          <w:rFonts w:ascii="Arial" w:hAnsi="Arial" w:cs="Arial"/>
        </w:rPr>
        <w:t xml:space="preserve"> e</w:t>
      </w:r>
      <w:r w:rsidR="008B602D">
        <w:rPr>
          <w:rFonts w:ascii="Arial" w:hAnsi="Arial" w:cs="Arial"/>
        </w:rPr>
        <w:t xml:space="preserve"> </w:t>
      </w:r>
      <w:r w:rsidR="00D92EF3">
        <w:rPr>
          <w:rFonts w:ascii="Arial" w:hAnsi="Arial" w:cs="Arial"/>
        </w:rPr>
        <w:t xml:space="preserve">incrementar la profundidad de investigación hasta 800 metros, </w:t>
      </w:r>
      <w:r w:rsidR="008B602D">
        <w:rPr>
          <w:rFonts w:ascii="Arial" w:hAnsi="Arial" w:cs="Arial"/>
        </w:rPr>
        <w:t>debido a</w:t>
      </w:r>
      <w:r w:rsidR="00F96601" w:rsidRPr="00F96601">
        <w:rPr>
          <w:rFonts w:ascii="Arial" w:hAnsi="Arial" w:cs="Arial"/>
        </w:rPr>
        <w:t xml:space="preserve">l contexto geológico </w:t>
      </w:r>
      <w:r w:rsidR="00F96601">
        <w:rPr>
          <w:rFonts w:ascii="Arial" w:hAnsi="Arial" w:cs="Arial"/>
        </w:rPr>
        <w:t>y</w:t>
      </w:r>
      <w:r w:rsidR="00F96601" w:rsidRPr="00F96601">
        <w:rPr>
          <w:rFonts w:ascii="Arial" w:hAnsi="Arial" w:cs="Arial"/>
        </w:rPr>
        <w:t xml:space="preserve"> la complejidad del terreno</w:t>
      </w:r>
      <w:r w:rsidR="00F96601">
        <w:rPr>
          <w:rFonts w:ascii="Arial" w:hAnsi="Arial" w:cs="Arial"/>
        </w:rPr>
        <w:t xml:space="preserve"> e</w:t>
      </w:r>
      <w:r w:rsidR="00F96601" w:rsidRPr="00F96601">
        <w:rPr>
          <w:rFonts w:ascii="Arial" w:hAnsi="Arial" w:cs="Arial"/>
        </w:rPr>
        <w:t>n el Proyecto de Exploración Pukatoro</w:t>
      </w:r>
      <w:r w:rsidR="00F96601">
        <w:rPr>
          <w:rFonts w:ascii="Arial" w:hAnsi="Arial" w:cs="Arial"/>
        </w:rPr>
        <w:t xml:space="preserve">. </w:t>
      </w:r>
      <w:r w:rsidR="008B602D">
        <w:rPr>
          <w:rFonts w:ascii="Arial" w:hAnsi="Arial" w:cs="Arial"/>
        </w:rPr>
        <w:t>Los resultados de este estudio (</w:t>
      </w:r>
      <w:r w:rsidR="00AE0DA1">
        <w:rPr>
          <w:rFonts w:ascii="Arial" w:hAnsi="Arial" w:cs="Arial"/>
        </w:rPr>
        <w:t>anomalías de alta cargabilidad</w:t>
      </w:r>
      <w:r w:rsidR="008B602D">
        <w:rPr>
          <w:rFonts w:ascii="Arial" w:hAnsi="Arial" w:cs="Arial"/>
        </w:rPr>
        <w:t>)</w:t>
      </w:r>
      <w:r w:rsidR="005C5727">
        <w:rPr>
          <w:rFonts w:ascii="Arial" w:hAnsi="Arial" w:cs="Arial"/>
        </w:rPr>
        <w:t xml:space="preserve"> permitieron ratificar </w:t>
      </w:r>
      <w:r w:rsidR="00AE0DA1">
        <w:rPr>
          <w:rFonts w:ascii="Arial" w:hAnsi="Arial" w:cs="Arial"/>
        </w:rPr>
        <w:t xml:space="preserve">la ocurrencia de sulfuros interceptados mediante perforación </w:t>
      </w:r>
      <w:r w:rsidR="00AE0DA1" w:rsidRPr="00457D5F">
        <w:rPr>
          <w:rFonts w:ascii="Arial" w:hAnsi="Arial" w:cs="Arial"/>
        </w:rPr>
        <w:t xml:space="preserve">diamantina </w:t>
      </w:r>
      <w:r w:rsidR="005C5727" w:rsidRPr="00457D5F">
        <w:rPr>
          <w:rFonts w:ascii="Arial" w:hAnsi="Arial" w:cs="Arial"/>
        </w:rPr>
        <w:t xml:space="preserve">y </w:t>
      </w:r>
      <w:r w:rsidR="00AE0DA1" w:rsidRPr="00457D5F">
        <w:rPr>
          <w:rFonts w:ascii="Arial" w:hAnsi="Arial" w:cs="Arial"/>
        </w:rPr>
        <w:t xml:space="preserve">determinar </w:t>
      </w:r>
      <w:r w:rsidR="00D92EF3" w:rsidRPr="00457D5F">
        <w:rPr>
          <w:rFonts w:ascii="Arial" w:hAnsi="Arial" w:cs="Arial"/>
        </w:rPr>
        <w:t>la</w:t>
      </w:r>
      <w:r w:rsidR="00AE0DA1" w:rsidRPr="00457D5F">
        <w:rPr>
          <w:rFonts w:ascii="Arial" w:hAnsi="Arial" w:cs="Arial"/>
        </w:rPr>
        <w:t xml:space="preserve"> continuidad</w:t>
      </w:r>
      <w:r w:rsidR="00D92EF3" w:rsidRPr="00457D5F">
        <w:rPr>
          <w:rFonts w:ascii="Arial" w:hAnsi="Arial" w:cs="Arial"/>
        </w:rPr>
        <w:t xml:space="preserve"> de mineralización en un emplazamiento tipo</w:t>
      </w:r>
      <w:r w:rsidR="00AE0DA1" w:rsidRPr="00457D5F">
        <w:rPr>
          <w:rFonts w:ascii="Arial" w:hAnsi="Arial" w:cs="Arial"/>
        </w:rPr>
        <w:t xml:space="preserve"> manto</w:t>
      </w:r>
      <w:r w:rsidR="005C5727">
        <w:rPr>
          <w:rFonts w:ascii="Arial" w:hAnsi="Arial" w:cs="Arial"/>
        </w:rPr>
        <w:t xml:space="preserve">; además, </w:t>
      </w:r>
      <w:r w:rsidR="00D92EF3">
        <w:rPr>
          <w:rFonts w:ascii="Arial" w:hAnsi="Arial" w:cs="Arial"/>
        </w:rPr>
        <w:t>las</w:t>
      </w:r>
      <w:r w:rsidR="00856F7E">
        <w:rPr>
          <w:rFonts w:ascii="Arial" w:hAnsi="Arial" w:cs="Arial"/>
        </w:rPr>
        <w:t xml:space="preserve"> </w:t>
      </w:r>
      <w:r w:rsidR="005C5727">
        <w:rPr>
          <w:rFonts w:ascii="Arial" w:hAnsi="Arial" w:cs="Arial"/>
        </w:rPr>
        <w:t xml:space="preserve">anomalías </w:t>
      </w:r>
      <w:r w:rsidR="00D92EF3">
        <w:rPr>
          <w:rFonts w:ascii="Arial" w:hAnsi="Arial" w:cs="Arial"/>
        </w:rPr>
        <w:t xml:space="preserve">de alta cargabilidad </w:t>
      </w:r>
      <w:r w:rsidR="00AE0DA1">
        <w:rPr>
          <w:rFonts w:ascii="Arial" w:hAnsi="Arial" w:cs="Arial"/>
        </w:rPr>
        <w:t xml:space="preserve">por debajo de </w:t>
      </w:r>
      <w:r w:rsidR="00D92EF3">
        <w:rPr>
          <w:rFonts w:ascii="Arial" w:hAnsi="Arial" w:cs="Arial"/>
        </w:rPr>
        <w:t xml:space="preserve">los </w:t>
      </w:r>
      <w:r w:rsidR="00AE0DA1">
        <w:rPr>
          <w:rFonts w:ascii="Arial" w:hAnsi="Arial" w:cs="Arial"/>
        </w:rPr>
        <w:t>400 metros de profundidad</w:t>
      </w:r>
      <w:r w:rsidR="00D87249">
        <w:rPr>
          <w:rFonts w:ascii="Arial" w:hAnsi="Arial" w:cs="Arial"/>
        </w:rPr>
        <w:t>,</w:t>
      </w:r>
      <w:r w:rsidR="00AE0DA1">
        <w:rPr>
          <w:rFonts w:ascii="Arial" w:hAnsi="Arial" w:cs="Arial"/>
        </w:rPr>
        <w:t xml:space="preserve"> </w:t>
      </w:r>
      <w:r w:rsidR="00D87249">
        <w:rPr>
          <w:rFonts w:ascii="Arial" w:hAnsi="Arial" w:cs="Arial"/>
        </w:rPr>
        <w:t>revelan la posibilidad de</w:t>
      </w:r>
      <w:r w:rsidR="00AE0DA1">
        <w:rPr>
          <w:rFonts w:ascii="Arial" w:hAnsi="Arial" w:cs="Arial"/>
        </w:rPr>
        <w:t xml:space="preserve"> mineralización diseminad</w:t>
      </w:r>
      <w:r w:rsidR="00D87249">
        <w:rPr>
          <w:rFonts w:ascii="Arial" w:hAnsi="Arial" w:cs="Arial"/>
        </w:rPr>
        <w:t xml:space="preserve">a </w:t>
      </w:r>
      <w:r w:rsidR="00D87249" w:rsidRPr="00D92EF3">
        <w:rPr>
          <w:rFonts w:ascii="Arial" w:hAnsi="Arial" w:cs="Arial"/>
        </w:rPr>
        <w:t xml:space="preserve">perteneciente a un </w:t>
      </w:r>
      <w:r w:rsidR="00AE0DA1">
        <w:rPr>
          <w:rFonts w:ascii="Arial" w:hAnsi="Arial" w:cs="Arial"/>
        </w:rPr>
        <w:t>“sistema tipo pórfido”, queda</w:t>
      </w:r>
      <w:r w:rsidR="00D92EF3">
        <w:rPr>
          <w:rFonts w:ascii="Arial" w:hAnsi="Arial" w:cs="Arial"/>
        </w:rPr>
        <w:t>ndo</w:t>
      </w:r>
      <w:r w:rsidR="00AE0DA1">
        <w:rPr>
          <w:rFonts w:ascii="Arial" w:hAnsi="Arial" w:cs="Arial"/>
        </w:rPr>
        <w:t xml:space="preserve"> abierto </w:t>
      </w:r>
      <w:r w:rsidR="00D92EF3">
        <w:rPr>
          <w:rFonts w:ascii="Arial" w:hAnsi="Arial" w:cs="Arial"/>
        </w:rPr>
        <w:t xml:space="preserve">nuevas oportunidades </w:t>
      </w:r>
      <w:r w:rsidR="00AE0DA1">
        <w:rPr>
          <w:rFonts w:ascii="Arial" w:hAnsi="Arial" w:cs="Arial"/>
        </w:rPr>
        <w:t xml:space="preserve">para continuar </w:t>
      </w:r>
      <w:r w:rsidR="009D0AFF">
        <w:rPr>
          <w:rFonts w:ascii="Arial" w:hAnsi="Arial" w:cs="Arial"/>
        </w:rPr>
        <w:t>las exploraciones</w:t>
      </w:r>
      <w:r w:rsidR="00AE0DA1">
        <w:rPr>
          <w:rFonts w:ascii="Arial" w:hAnsi="Arial" w:cs="Arial"/>
        </w:rPr>
        <w:t>.</w:t>
      </w:r>
    </w:p>
    <w:p w14:paraId="6B533456" w14:textId="537EE5C0" w:rsidR="0078268D" w:rsidRDefault="00D87249" w:rsidP="002B03CA">
      <w:pPr>
        <w:spacing w:line="360" w:lineRule="auto"/>
        <w:jc w:val="both"/>
        <w:rPr>
          <w:rFonts w:ascii="Arial" w:hAnsi="Arial" w:cs="Arial"/>
        </w:rPr>
      </w:pPr>
      <w:r w:rsidRPr="00D87249">
        <w:rPr>
          <w:rFonts w:ascii="Arial" w:hAnsi="Arial" w:cs="Arial"/>
        </w:rPr>
        <w:t>La implementación de nuevas tecnologías durante las etapas tempranas de la exploración minera ha permitido definir y priorizar los Targets de Exploración</w:t>
      </w:r>
      <w:r w:rsidR="00AF71DF" w:rsidRPr="00AF71DF">
        <w:rPr>
          <w:rFonts w:ascii="Arial" w:hAnsi="Arial" w:cs="Arial"/>
        </w:rPr>
        <w:t xml:space="preserve"> con mayor rapidez y eficiencia, optimizando costos y delimitando áreas de alto interés geológico para </w:t>
      </w:r>
      <w:r w:rsidR="00AF71DF">
        <w:rPr>
          <w:rFonts w:ascii="Arial" w:hAnsi="Arial" w:cs="Arial"/>
        </w:rPr>
        <w:t>continuar con</w:t>
      </w:r>
      <w:r w:rsidR="00AF71DF" w:rsidRPr="00AF71DF">
        <w:rPr>
          <w:rFonts w:ascii="Arial" w:hAnsi="Arial" w:cs="Arial"/>
        </w:rPr>
        <w:t xml:space="preserve"> las </w:t>
      </w:r>
      <w:r>
        <w:rPr>
          <w:rFonts w:ascii="Arial" w:hAnsi="Arial" w:cs="Arial"/>
        </w:rPr>
        <w:t>siguientes etapas exploración</w:t>
      </w:r>
      <w:r w:rsidR="00616EC9">
        <w:rPr>
          <w:rFonts w:ascii="Arial" w:hAnsi="Arial" w:cs="Arial"/>
        </w:rPr>
        <w:t xml:space="preserve">. </w:t>
      </w:r>
      <w:r w:rsidR="00856F7E">
        <w:rPr>
          <w:rFonts w:ascii="Arial" w:hAnsi="Arial" w:cs="Arial"/>
        </w:rPr>
        <w:t xml:space="preserve">(1) </w:t>
      </w:r>
      <w:r w:rsidR="00616EC9">
        <w:rPr>
          <w:rFonts w:ascii="Arial" w:hAnsi="Arial" w:cs="Arial"/>
        </w:rPr>
        <w:t>Cobriza DC</w:t>
      </w:r>
      <w:r w:rsidR="00856F7E">
        <w:rPr>
          <w:rFonts w:ascii="Arial" w:hAnsi="Arial" w:cs="Arial"/>
        </w:rPr>
        <w:t>, con potencial de m</w:t>
      </w:r>
      <w:r w:rsidR="00856F7E" w:rsidRPr="00856F7E">
        <w:rPr>
          <w:rFonts w:ascii="Arial" w:hAnsi="Arial" w:cs="Arial"/>
        </w:rPr>
        <w:t xml:space="preserve">ineralización Cu-Ag, tipo skarn </w:t>
      </w:r>
      <w:r w:rsidR="00856F7E">
        <w:rPr>
          <w:rFonts w:ascii="Arial" w:hAnsi="Arial" w:cs="Arial"/>
        </w:rPr>
        <w:t>–</w:t>
      </w:r>
      <w:r w:rsidR="00856F7E" w:rsidRPr="00856F7E">
        <w:rPr>
          <w:rFonts w:ascii="Arial" w:hAnsi="Arial" w:cs="Arial"/>
        </w:rPr>
        <w:t xml:space="preserve"> manto</w:t>
      </w:r>
      <w:r w:rsidR="00856F7E">
        <w:rPr>
          <w:rFonts w:ascii="Arial" w:hAnsi="Arial" w:cs="Arial"/>
        </w:rPr>
        <w:t>.</w:t>
      </w:r>
      <w:r w:rsidR="0078268D">
        <w:rPr>
          <w:rFonts w:ascii="Arial" w:hAnsi="Arial" w:cs="Arial"/>
        </w:rPr>
        <w:t xml:space="preserve"> </w:t>
      </w:r>
      <w:r w:rsidR="00856F7E">
        <w:rPr>
          <w:rFonts w:ascii="Arial" w:hAnsi="Arial" w:cs="Arial"/>
        </w:rPr>
        <w:t>(2) Chojec, con potencial de m</w:t>
      </w:r>
      <w:r w:rsidR="00856F7E" w:rsidRPr="00856F7E">
        <w:rPr>
          <w:rFonts w:ascii="Arial" w:hAnsi="Arial" w:cs="Arial"/>
        </w:rPr>
        <w:t xml:space="preserve">ineralización </w:t>
      </w:r>
      <w:r w:rsidR="00856F7E">
        <w:rPr>
          <w:rFonts w:ascii="Arial" w:hAnsi="Arial" w:cs="Arial"/>
        </w:rPr>
        <w:t xml:space="preserve">polimetálica </w:t>
      </w:r>
      <w:r w:rsidR="00856F7E" w:rsidRPr="00856F7E">
        <w:rPr>
          <w:rFonts w:ascii="Arial" w:hAnsi="Arial" w:cs="Arial"/>
        </w:rPr>
        <w:t>Ag-Pb&gt;Zn±Au, tipo vetas (“cordillerano”) y mantos</w:t>
      </w:r>
      <w:r w:rsidR="00103EE5">
        <w:rPr>
          <w:rFonts w:ascii="Arial" w:hAnsi="Arial" w:cs="Arial"/>
        </w:rPr>
        <w:t xml:space="preserve">. </w:t>
      </w:r>
      <w:r w:rsidR="00856F7E">
        <w:rPr>
          <w:rFonts w:ascii="Arial" w:hAnsi="Arial" w:cs="Arial"/>
        </w:rPr>
        <w:t>(3) Pukatoro, con potencial de m</w:t>
      </w:r>
      <w:r w:rsidR="00856F7E" w:rsidRPr="00856F7E">
        <w:rPr>
          <w:rFonts w:ascii="Arial" w:hAnsi="Arial" w:cs="Arial"/>
        </w:rPr>
        <w:t>ineralización Cu-Ag, tipo Skarn – manto, y posible mineralización diseminado “sistema tipo pórfido”</w:t>
      </w:r>
      <w:r w:rsidR="00122EE3">
        <w:rPr>
          <w:rFonts w:ascii="Arial" w:hAnsi="Arial" w:cs="Arial"/>
        </w:rPr>
        <w:t>.</w:t>
      </w:r>
    </w:p>
    <w:p w14:paraId="6E21D728" w14:textId="0F4D546C" w:rsidR="00457D5F" w:rsidRPr="00071227" w:rsidRDefault="00457D5F" w:rsidP="002B03CA">
      <w:pPr>
        <w:spacing w:line="360" w:lineRule="auto"/>
        <w:jc w:val="both"/>
        <w:rPr>
          <w:rFonts w:ascii="Arial" w:hAnsi="Arial" w:cs="Arial"/>
        </w:rPr>
      </w:pPr>
      <w:r>
        <w:rPr>
          <w:rFonts w:ascii="Arial" w:hAnsi="Arial" w:cs="Arial"/>
        </w:rPr>
        <w:t>Por último, e</w:t>
      </w:r>
      <w:r w:rsidRPr="00457D5F">
        <w:rPr>
          <w:rFonts w:ascii="Arial" w:hAnsi="Arial" w:cs="Arial"/>
        </w:rPr>
        <w:t xml:space="preserve">s importante resaltar </w:t>
      </w:r>
      <w:r>
        <w:rPr>
          <w:rFonts w:ascii="Arial" w:hAnsi="Arial" w:cs="Arial"/>
        </w:rPr>
        <w:t>que e</w:t>
      </w:r>
      <w:r w:rsidR="00AF71DF" w:rsidRPr="00AF71DF">
        <w:rPr>
          <w:rFonts w:ascii="Arial" w:hAnsi="Arial" w:cs="Arial"/>
        </w:rPr>
        <w:t xml:space="preserve">l uso de vehículos aéreos no tripulados </w:t>
      </w:r>
      <w:r w:rsidRPr="00457D5F">
        <w:rPr>
          <w:rFonts w:ascii="Arial" w:hAnsi="Arial" w:cs="Arial"/>
        </w:rPr>
        <w:t>en los levantamientos topográficos y geofísicos no solo proporciona ventajas técnicas y operativas significativas</w:t>
      </w:r>
      <w:r w:rsidR="00AF71DF" w:rsidRPr="00AF71DF">
        <w:rPr>
          <w:rFonts w:ascii="Arial" w:hAnsi="Arial" w:cs="Arial"/>
        </w:rPr>
        <w:t>, también protege la integridad de las personas y garantiza el respeto al tránsito por la propiedad superficial</w:t>
      </w:r>
      <w:r w:rsidR="00A2020C">
        <w:rPr>
          <w:rFonts w:ascii="Arial" w:hAnsi="Arial" w:cs="Arial"/>
        </w:rPr>
        <w:t>.</w:t>
      </w:r>
    </w:p>
    <w:sectPr w:rsidR="00457D5F" w:rsidRPr="0007122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7D55CC"/>
    <w:multiLevelType w:val="hybridMultilevel"/>
    <w:tmpl w:val="8170191A"/>
    <w:lvl w:ilvl="0" w:tplc="513E1ECE">
      <w:start w:val="1"/>
      <w:numFmt w:val="bullet"/>
      <w:lvlText w:val="•"/>
      <w:lvlJc w:val="left"/>
      <w:pPr>
        <w:tabs>
          <w:tab w:val="num" w:pos="720"/>
        </w:tabs>
        <w:ind w:left="720" w:hanging="360"/>
      </w:pPr>
      <w:rPr>
        <w:rFonts w:ascii="Arial" w:hAnsi="Arial" w:hint="default"/>
      </w:rPr>
    </w:lvl>
    <w:lvl w:ilvl="1" w:tplc="31E0B034" w:tentative="1">
      <w:start w:val="1"/>
      <w:numFmt w:val="bullet"/>
      <w:lvlText w:val="•"/>
      <w:lvlJc w:val="left"/>
      <w:pPr>
        <w:tabs>
          <w:tab w:val="num" w:pos="1440"/>
        </w:tabs>
        <w:ind w:left="1440" w:hanging="360"/>
      </w:pPr>
      <w:rPr>
        <w:rFonts w:ascii="Arial" w:hAnsi="Arial" w:hint="default"/>
      </w:rPr>
    </w:lvl>
    <w:lvl w:ilvl="2" w:tplc="40C67928" w:tentative="1">
      <w:start w:val="1"/>
      <w:numFmt w:val="bullet"/>
      <w:lvlText w:val="•"/>
      <w:lvlJc w:val="left"/>
      <w:pPr>
        <w:tabs>
          <w:tab w:val="num" w:pos="2160"/>
        </w:tabs>
        <w:ind w:left="2160" w:hanging="360"/>
      </w:pPr>
      <w:rPr>
        <w:rFonts w:ascii="Arial" w:hAnsi="Arial" w:hint="default"/>
      </w:rPr>
    </w:lvl>
    <w:lvl w:ilvl="3" w:tplc="6624D56E" w:tentative="1">
      <w:start w:val="1"/>
      <w:numFmt w:val="bullet"/>
      <w:lvlText w:val="•"/>
      <w:lvlJc w:val="left"/>
      <w:pPr>
        <w:tabs>
          <w:tab w:val="num" w:pos="2880"/>
        </w:tabs>
        <w:ind w:left="2880" w:hanging="360"/>
      </w:pPr>
      <w:rPr>
        <w:rFonts w:ascii="Arial" w:hAnsi="Arial" w:hint="default"/>
      </w:rPr>
    </w:lvl>
    <w:lvl w:ilvl="4" w:tplc="88B6483C" w:tentative="1">
      <w:start w:val="1"/>
      <w:numFmt w:val="bullet"/>
      <w:lvlText w:val="•"/>
      <w:lvlJc w:val="left"/>
      <w:pPr>
        <w:tabs>
          <w:tab w:val="num" w:pos="3600"/>
        </w:tabs>
        <w:ind w:left="3600" w:hanging="360"/>
      </w:pPr>
      <w:rPr>
        <w:rFonts w:ascii="Arial" w:hAnsi="Arial" w:hint="default"/>
      </w:rPr>
    </w:lvl>
    <w:lvl w:ilvl="5" w:tplc="B03CA25E" w:tentative="1">
      <w:start w:val="1"/>
      <w:numFmt w:val="bullet"/>
      <w:lvlText w:val="•"/>
      <w:lvlJc w:val="left"/>
      <w:pPr>
        <w:tabs>
          <w:tab w:val="num" w:pos="4320"/>
        </w:tabs>
        <w:ind w:left="4320" w:hanging="360"/>
      </w:pPr>
      <w:rPr>
        <w:rFonts w:ascii="Arial" w:hAnsi="Arial" w:hint="default"/>
      </w:rPr>
    </w:lvl>
    <w:lvl w:ilvl="6" w:tplc="6B2CD560" w:tentative="1">
      <w:start w:val="1"/>
      <w:numFmt w:val="bullet"/>
      <w:lvlText w:val="•"/>
      <w:lvlJc w:val="left"/>
      <w:pPr>
        <w:tabs>
          <w:tab w:val="num" w:pos="5040"/>
        </w:tabs>
        <w:ind w:left="5040" w:hanging="360"/>
      </w:pPr>
      <w:rPr>
        <w:rFonts w:ascii="Arial" w:hAnsi="Arial" w:hint="default"/>
      </w:rPr>
    </w:lvl>
    <w:lvl w:ilvl="7" w:tplc="44D62990" w:tentative="1">
      <w:start w:val="1"/>
      <w:numFmt w:val="bullet"/>
      <w:lvlText w:val="•"/>
      <w:lvlJc w:val="left"/>
      <w:pPr>
        <w:tabs>
          <w:tab w:val="num" w:pos="5760"/>
        </w:tabs>
        <w:ind w:left="5760" w:hanging="360"/>
      </w:pPr>
      <w:rPr>
        <w:rFonts w:ascii="Arial" w:hAnsi="Arial" w:hint="default"/>
      </w:rPr>
    </w:lvl>
    <w:lvl w:ilvl="8" w:tplc="F06848B0" w:tentative="1">
      <w:start w:val="1"/>
      <w:numFmt w:val="bullet"/>
      <w:lvlText w:val="•"/>
      <w:lvlJc w:val="left"/>
      <w:pPr>
        <w:tabs>
          <w:tab w:val="num" w:pos="6480"/>
        </w:tabs>
        <w:ind w:left="6480" w:hanging="360"/>
      </w:pPr>
      <w:rPr>
        <w:rFonts w:ascii="Arial" w:hAnsi="Arial" w:hint="default"/>
      </w:rPr>
    </w:lvl>
  </w:abstractNum>
  <w:num w:numId="1" w16cid:durableId="2128304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227"/>
    <w:rsid w:val="0007047C"/>
    <w:rsid w:val="00071227"/>
    <w:rsid w:val="000949DD"/>
    <w:rsid w:val="000A5910"/>
    <w:rsid w:val="000B168E"/>
    <w:rsid w:val="000C4D02"/>
    <w:rsid w:val="00103EE5"/>
    <w:rsid w:val="00117281"/>
    <w:rsid w:val="00122EE3"/>
    <w:rsid w:val="001B62FC"/>
    <w:rsid w:val="001C2EE3"/>
    <w:rsid w:val="001F6877"/>
    <w:rsid w:val="0029018A"/>
    <w:rsid w:val="002B03CA"/>
    <w:rsid w:val="00357D16"/>
    <w:rsid w:val="00446DA1"/>
    <w:rsid w:val="00457D5F"/>
    <w:rsid w:val="00463E33"/>
    <w:rsid w:val="004A3A3F"/>
    <w:rsid w:val="004C0793"/>
    <w:rsid w:val="004D2612"/>
    <w:rsid w:val="004F71CF"/>
    <w:rsid w:val="005807D4"/>
    <w:rsid w:val="005C5727"/>
    <w:rsid w:val="00604021"/>
    <w:rsid w:val="00616EC9"/>
    <w:rsid w:val="0068284B"/>
    <w:rsid w:val="00746FED"/>
    <w:rsid w:val="007572B5"/>
    <w:rsid w:val="0078268D"/>
    <w:rsid w:val="007F14CB"/>
    <w:rsid w:val="00856F7E"/>
    <w:rsid w:val="008B602D"/>
    <w:rsid w:val="008C12B9"/>
    <w:rsid w:val="008E5A5B"/>
    <w:rsid w:val="00943242"/>
    <w:rsid w:val="009754CC"/>
    <w:rsid w:val="009D0AFF"/>
    <w:rsid w:val="009E616A"/>
    <w:rsid w:val="00A13B1F"/>
    <w:rsid w:val="00A2020C"/>
    <w:rsid w:val="00A21C18"/>
    <w:rsid w:val="00A651F9"/>
    <w:rsid w:val="00AA0615"/>
    <w:rsid w:val="00AB4979"/>
    <w:rsid w:val="00AE08EE"/>
    <w:rsid w:val="00AE0DA1"/>
    <w:rsid w:val="00AF71DF"/>
    <w:rsid w:val="00BF239B"/>
    <w:rsid w:val="00C25CEC"/>
    <w:rsid w:val="00C653DE"/>
    <w:rsid w:val="00CD7E70"/>
    <w:rsid w:val="00D448DA"/>
    <w:rsid w:val="00D80CC5"/>
    <w:rsid w:val="00D87249"/>
    <w:rsid w:val="00D92EF3"/>
    <w:rsid w:val="00D9759E"/>
    <w:rsid w:val="00DB20BA"/>
    <w:rsid w:val="00DE1E8F"/>
    <w:rsid w:val="00DF5080"/>
    <w:rsid w:val="00E6049D"/>
    <w:rsid w:val="00E855FB"/>
    <w:rsid w:val="00F96601"/>
    <w:rsid w:val="00FA2C25"/>
    <w:rsid w:val="00FE4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867D4"/>
  <w15:chartTrackingRefBased/>
  <w15:docId w15:val="{6059EDCE-8263-4004-9E54-B717D0015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712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712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7122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7122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7122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7122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122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122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122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122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7122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7122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7122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7122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7122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122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122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1227"/>
    <w:rPr>
      <w:rFonts w:eastAsiaTheme="majorEastAsia" w:cstheme="majorBidi"/>
      <w:color w:val="272727" w:themeColor="text1" w:themeTint="D8"/>
    </w:rPr>
  </w:style>
  <w:style w:type="paragraph" w:styleId="Ttulo">
    <w:name w:val="Title"/>
    <w:basedOn w:val="Normal"/>
    <w:next w:val="Normal"/>
    <w:link w:val="TtuloCar"/>
    <w:uiPriority w:val="10"/>
    <w:qFormat/>
    <w:rsid w:val="000712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122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122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122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1227"/>
    <w:pPr>
      <w:spacing w:before="160"/>
      <w:jc w:val="center"/>
    </w:pPr>
    <w:rPr>
      <w:i/>
      <w:iCs/>
      <w:color w:val="404040" w:themeColor="text1" w:themeTint="BF"/>
    </w:rPr>
  </w:style>
  <w:style w:type="character" w:customStyle="1" w:styleId="CitaCar">
    <w:name w:val="Cita Car"/>
    <w:basedOn w:val="Fuentedeprrafopredeter"/>
    <w:link w:val="Cita"/>
    <w:uiPriority w:val="29"/>
    <w:rsid w:val="00071227"/>
    <w:rPr>
      <w:i/>
      <w:iCs/>
      <w:color w:val="404040" w:themeColor="text1" w:themeTint="BF"/>
    </w:rPr>
  </w:style>
  <w:style w:type="paragraph" w:styleId="Prrafodelista">
    <w:name w:val="List Paragraph"/>
    <w:basedOn w:val="Normal"/>
    <w:uiPriority w:val="34"/>
    <w:qFormat/>
    <w:rsid w:val="00071227"/>
    <w:pPr>
      <w:ind w:left="720"/>
      <w:contextualSpacing/>
    </w:pPr>
  </w:style>
  <w:style w:type="character" w:styleId="nfasisintenso">
    <w:name w:val="Intense Emphasis"/>
    <w:basedOn w:val="Fuentedeprrafopredeter"/>
    <w:uiPriority w:val="21"/>
    <w:qFormat/>
    <w:rsid w:val="00071227"/>
    <w:rPr>
      <w:i/>
      <w:iCs/>
      <w:color w:val="0F4761" w:themeColor="accent1" w:themeShade="BF"/>
    </w:rPr>
  </w:style>
  <w:style w:type="paragraph" w:styleId="Citadestacada">
    <w:name w:val="Intense Quote"/>
    <w:basedOn w:val="Normal"/>
    <w:next w:val="Normal"/>
    <w:link w:val="CitadestacadaCar"/>
    <w:uiPriority w:val="30"/>
    <w:qFormat/>
    <w:rsid w:val="000712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71227"/>
    <w:rPr>
      <w:i/>
      <w:iCs/>
      <w:color w:val="0F4761" w:themeColor="accent1" w:themeShade="BF"/>
    </w:rPr>
  </w:style>
  <w:style w:type="character" w:styleId="Referenciaintensa">
    <w:name w:val="Intense Reference"/>
    <w:basedOn w:val="Fuentedeprrafopredeter"/>
    <w:uiPriority w:val="32"/>
    <w:qFormat/>
    <w:rsid w:val="000712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871</TotalTime>
  <Pages>2</Pages>
  <Words>760</Words>
  <Characters>4181</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Eddy Zapana Yanarico</dc:creator>
  <cp:keywords/>
  <dc:description/>
  <cp:lastModifiedBy>Eddy Zapana Yanarico</cp:lastModifiedBy>
  <cp:revision>65</cp:revision>
  <dcterms:created xsi:type="dcterms:W3CDTF">2025-04-14T15:25:00Z</dcterms:created>
  <dcterms:modified xsi:type="dcterms:W3CDTF">2025-04-26T13:50:00Z</dcterms:modified>
</cp:coreProperties>
</file>