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EAC" w:rsidRPr="0061347A" w:rsidRDefault="00FA4EAC" w:rsidP="00FA4EAC">
      <w:pPr>
        <w:spacing w:after="0"/>
        <w:jc w:val="both"/>
        <w:rPr>
          <w:rFonts w:cs="Times New Roman"/>
          <w:b/>
          <w:sz w:val="32"/>
          <w:szCs w:val="24"/>
        </w:rPr>
      </w:pPr>
      <w:r w:rsidRPr="0061347A">
        <w:rPr>
          <w:rFonts w:cs="Times New Roman"/>
          <w:b/>
          <w:sz w:val="32"/>
          <w:szCs w:val="24"/>
        </w:rPr>
        <w:t>Autoeficacia Profesional y la Rentabilidad de las Empresas</w:t>
      </w:r>
      <w:r w:rsidR="00FE49B2" w:rsidRPr="0061347A">
        <w:rPr>
          <w:rFonts w:cs="Times New Roman"/>
          <w:b/>
          <w:sz w:val="32"/>
          <w:szCs w:val="24"/>
        </w:rPr>
        <w:t xml:space="preserve"> Mineras Peruanas Potenciada por la Gestión de Conocimiento.</w:t>
      </w:r>
    </w:p>
    <w:p w:rsidR="00F97268" w:rsidRPr="0061347A" w:rsidRDefault="00F97268" w:rsidP="00F85C95">
      <w:pPr>
        <w:spacing w:after="0"/>
        <w:jc w:val="both"/>
        <w:rPr>
          <w:rFonts w:cs="Times New Roman"/>
          <w:b/>
          <w:szCs w:val="24"/>
        </w:rPr>
      </w:pPr>
    </w:p>
    <w:p w:rsidR="00426590" w:rsidRPr="0061347A" w:rsidRDefault="00DB243F" w:rsidP="00426590">
      <w:pPr>
        <w:spacing w:after="0" w:line="240" w:lineRule="auto"/>
        <w:rPr>
          <w:rFonts w:cs="Times New Roman"/>
          <w:sz w:val="28"/>
          <w:szCs w:val="24"/>
        </w:rPr>
      </w:pPr>
      <w:r w:rsidRPr="0061347A">
        <w:rPr>
          <w:rFonts w:cs="Times New Roman"/>
          <w:sz w:val="28"/>
          <w:szCs w:val="24"/>
        </w:rPr>
        <w:t>Nelson Zarzosa</w:t>
      </w:r>
      <w:r w:rsidR="00330970" w:rsidRPr="0061347A">
        <w:rPr>
          <w:rFonts w:cs="Times New Roman"/>
          <w:sz w:val="28"/>
          <w:szCs w:val="24"/>
        </w:rPr>
        <w:t>*</w:t>
      </w:r>
    </w:p>
    <w:p w:rsidR="00F97268" w:rsidRPr="0061347A" w:rsidRDefault="00F97268" w:rsidP="00F85C95">
      <w:pPr>
        <w:spacing w:after="0" w:line="240" w:lineRule="auto"/>
        <w:jc w:val="both"/>
        <w:rPr>
          <w:rFonts w:cs="Times New Roman"/>
          <w:sz w:val="22"/>
          <w:szCs w:val="24"/>
        </w:rPr>
      </w:pPr>
      <w:r w:rsidRPr="0061347A">
        <w:rPr>
          <w:rFonts w:cs="Times New Roman"/>
          <w:sz w:val="22"/>
          <w:szCs w:val="24"/>
        </w:rPr>
        <w:t>CENTRUM Catolica Graduate Business School, Lima, Peru – Pontificia Universidad Catolica del Peru, Lima, Peru.</w:t>
      </w:r>
    </w:p>
    <w:p w:rsidR="005F4D8A" w:rsidRPr="0061347A" w:rsidRDefault="005F4D8A" w:rsidP="00F85C95">
      <w:pPr>
        <w:spacing w:after="0" w:line="240" w:lineRule="auto"/>
        <w:jc w:val="both"/>
        <w:rPr>
          <w:rFonts w:cs="Times New Roman"/>
          <w:sz w:val="22"/>
          <w:szCs w:val="24"/>
        </w:rPr>
      </w:pPr>
    </w:p>
    <w:p w:rsidR="005F4D8A" w:rsidRPr="0061347A" w:rsidRDefault="005F4D8A" w:rsidP="005F4D8A">
      <w:pPr>
        <w:spacing w:after="0" w:line="240" w:lineRule="auto"/>
        <w:rPr>
          <w:rFonts w:cs="Times New Roman"/>
          <w:b/>
          <w:bCs/>
          <w:sz w:val="22"/>
        </w:rPr>
      </w:pPr>
      <w:r w:rsidRPr="0061347A">
        <w:rPr>
          <w:rFonts w:cs="Times New Roman"/>
          <w:b/>
          <w:bCs/>
          <w:sz w:val="22"/>
        </w:rPr>
        <w:t>Declaración de intereses en conflicto</w:t>
      </w:r>
    </w:p>
    <w:p w:rsidR="005F4D8A" w:rsidRPr="0061347A" w:rsidRDefault="006825EC" w:rsidP="005F4D8A">
      <w:pPr>
        <w:spacing w:after="0" w:line="240" w:lineRule="auto"/>
        <w:jc w:val="both"/>
        <w:rPr>
          <w:rFonts w:cs="Times New Roman"/>
          <w:bCs/>
          <w:sz w:val="22"/>
        </w:rPr>
      </w:pPr>
      <w:r>
        <w:rPr>
          <w:rFonts w:cs="Times New Roman"/>
          <w:bCs/>
          <w:sz w:val="22"/>
        </w:rPr>
        <w:t xml:space="preserve">El autor declara </w:t>
      </w:r>
      <w:r w:rsidR="005F4D8A" w:rsidRPr="0061347A">
        <w:rPr>
          <w:rFonts w:cs="Times New Roman"/>
          <w:bCs/>
          <w:sz w:val="22"/>
        </w:rPr>
        <w:t>que no existen posibles conflictos de intereses con respecto a la investigación, autoría y/o publicación de este artículo.</w:t>
      </w:r>
    </w:p>
    <w:p w:rsidR="005F4D8A" w:rsidRPr="0061347A" w:rsidRDefault="005F4D8A" w:rsidP="005F4D8A">
      <w:pPr>
        <w:spacing w:after="0" w:line="240" w:lineRule="auto"/>
        <w:jc w:val="both"/>
        <w:rPr>
          <w:rFonts w:cs="Times New Roman"/>
          <w:bCs/>
          <w:sz w:val="22"/>
        </w:rPr>
      </w:pPr>
    </w:p>
    <w:p w:rsidR="005F4D8A" w:rsidRPr="0061347A" w:rsidRDefault="005F4D8A" w:rsidP="005F4D8A">
      <w:pPr>
        <w:spacing w:after="0" w:line="240" w:lineRule="auto"/>
        <w:rPr>
          <w:rFonts w:cs="Times New Roman"/>
          <w:b/>
          <w:bCs/>
          <w:sz w:val="22"/>
        </w:rPr>
      </w:pPr>
      <w:r w:rsidRPr="0061347A">
        <w:rPr>
          <w:rFonts w:cs="Times New Roman"/>
          <w:b/>
          <w:bCs/>
          <w:sz w:val="22"/>
        </w:rPr>
        <w:t>Fondos</w:t>
      </w:r>
    </w:p>
    <w:p w:rsidR="005F4D8A" w:rsidRPr="0061347A" w:rsidRDefault="006825EC" w:rsidP="005F4D8A">
      <w:pPr>
        <w:spacing w:after="0" w:line="240" w:lineRule="auto"/>
        <w:jc w:val="both"/>
        <w:rPr>
          <w:rFonts w:cs="Times New Roman"/>
          <w:bCs/>
          <w:sz w:val="22"/>
        </w:rPr>
      </w:pPr>
      <w:r>
        <w:rPr>
          <w:rFonts w:cs="Times New Roman"/>
          <w:bCs/>
          <w:sz w:val="22"/>
        </w:rPr>
        <w:t xml:space="preserve">El autor </w:t>
      </w:r>
      <w:r w:rsidR="005F4D8A" w:rsidRPr="0061347A">
        <w:rPr>
          <w:rFonts w:cs="Times New Roman"/>
          <w:bCs/>
          <w:sz w:val="22"/>
        </w:rPr>
        <w:t>no recibi</w:t>
      </w:r>
      <w:r>
        <w:rPr>
          <w:rFonts w:cs="Times New Roman"/>
          <w:bCs/>
          <w:sz w:val="22"/>
        </w:rPr>
        <w:t xml:space="preserve">ó </w:t>
      </w:r>
      <w:r w:rsidR="005F4D8A" w:rsidRPr="0061347A">
        <w:rPr>
          <w:rFonts w:cs="Times New Roman"/>
          <w:bCs/>
          <w:sz w:val="22"/>
        </w:rPr>
        <w:t>apoyo financiero para la investigación, autoría y/o publicación de este artículo.</w:t>
      </w:r>
    </w:p>
    <w:p w:rsidR="005F4D8A" w:rsidRPr="0061347A" w:rsidRDefault="005F4D8A" w:rsidP="005F4D8A">
      <w:pPr>
        <w:spacing w:after="0" w:line="240" w:lineRule="auto"/>
        <w:rPr>
          <w:rFonts w:cs="Times New Roman"/>
          <w:sz w:val="22"/>
          <w:szCs w:val="24"/>
        </w:rPr>
      </w:pPr>
    </w:p>
    <w:p w:rsidR="007226AD" w:rsidRPr="0061347A" w:rsidRDefault="007226AD" w:rsidP="007226AD">
      <w:pPr>
        <w:spacing w:after="0" w:line="240" w:lineRule="auto"/>
        <w:rPr>
          <w:rFonts w:cs="Times New Roman"/>
          <w:b/>
          <w:bCs/>
          <w:sz w:val="22"/>
        </w:rPr>
      </w:pPr>
      <w:r w:rsidRPr="0061347A">
        <w:rPr>
          <w:rFonts w:cs="Times New Roman"/>
          <w:b/>
          <w:bCs/>
          <w:sz w:val="22"/>
        </w:rPr>
        <w:t>Declaración de disponibilidad de datos</w:t>
      </w:r>
    </w:p>
    <w:p w:rsidR="007226AD" w:rsidRPr="0061347A" w:rsidRDefault="007226AD" w:rsidP="007226AD">
      <w:pPr>
        <w:spacing w:after="0" w:line="240" w:lineRule="auto"/>
        <w:jc w:val="both"/>
        <w:rPr>
          <w:rFonts w:cs="Times New Roman"/>
          <w:bCs/>
          <w:sz w:val="22"/>
        </w:rPr>
      </w:pPr>
      <w:r w:rsidRPr="0061347A">
        <w:rPr>
          <w:rFonts w:cs="Times New Roman"/>
          <w:bCs/>
          <w:sz w:val="22"/>
        </w:rPr>
        <w:t>Los datos que respaldan los hallazgos de este estudio están disponibles del autor correspondiente, NZ, previa solicitud razonable.</w:t>
      </w:r>
    </w:p>
    <w:p w:rsidR="00E07119" w:rsidRPr="0061347A" w:rsidRDefault="00E07119" w:rsidP="00426590">
      <w:pPr>
        <w:spacing w:after="0" w:line="240" w:lineRule="auto"/>
        <w:rPr>
          <w:rFonts w:cs="Times New Roman"/>
          <w:sz w:val="22"/>
          <w:szCs w:val="24"/>
        </w:rPr>
      </w:pPr>
    </w:p>
    <w:p w:rsidR="00834B21" w:rsidRPr="0061347A" w:rsidRDefault="00834B21" w:rsidP="00426590">
      <w:pPr>
        <w:spacing w:after="0" w:line="240" w:lineRule="auto"/>
        <w:rPr>
          <w:rFonts w:cs="Times New Roman"/>
          <w:sz w:val="22"/>
          <w:szCs w:val="24"/>
        </w:rPr>
      </w:pPr>
    </w:p>
    <w:p w:rsidR="004B0156" w:rsidRPr="0061347A" w:rsidRDefault="00A9123C" w:rsidP="00426590">
      <w:pPr>
        <w:pStyle w:val="Ttulo1"/>
        <w:spacing w:before="0" w:line="240" w:lineRule="auto"/>
        <w:rPr>
          <w:rFonts w:cs="Times New Roman"/>
          <w:sz w:val="26"/>
          <w:szCs w:val="26"/>
        </w:rPr>
      </w:pPr>
      <w:r w:rsidRPr="0061347A">
        <w:rPr>
          <w:rFonts w:cs="Times New Roman"/>
          <w:sz w:val="26"/>
          <w:szCs w:val="26"/>
        </w:rPr>
        <w:t>Resumen</w:t>
      </w:r>
    </w:p>
    <w:p w:rsidR="00834B21" w:rsidRPr="0061347A" w:rsidRDefault="00834B21" w:rsidP="00426590">
      <w:pPr>
        <w:pStyle w:val="Ttulo1"/>
        <w:spacing w:before="0" w:line="240" w:lineRule="auto"/>
        <w:rPr>
          <w:rFonts w:cs="Times New Roman"/>
          <w:sz w:val="26"/>
          <w:szCs w:val="26"/>
        </w:rPr>
      </w:pPr>
    </w:p>
    <w:p w:rsidR="007B3359" w:rsidRPr="0061347A" w:rsidRDefault="007B3359" w:rsidP="00426590">
      <w:pPr>
        <w:pStyle w:val="Ttulo1"/>
        <w:spacing w:before="0" w:line="240" w:lineRule="auto"/>
        <w:rPr>
          <w:rFonts w:cs="Times New Roman"/>
          <w:sz w:val="26"/>
          <w:szCs w:val="26"/>
        </w:rPr>
      </w:pPr>
    </w:p>
    <w:p w:rsidR="00D729B8" w:rsidRPr="0061347A" w:rsidRDefault="007E2ADA" w:rsidP="007B3359">
      <w:pPr>
        <w:jc w:val="both"/>
        <w:rPr>
          <w:rFonts w:cs="Times New Roman"/>
          <w:szCs w:val="24"/>
        </w:rPr>
      </w:pPr>
      <w:r w:rsidRPr="0061347A">
        <w:rPr>
          <w:rFonts w:cs="Times New Roman"/>
          <w:szCs w:val="24"/>
        </w:rPr>
        <w:t xml:space="preserve">El </w:t>
      </w:r>
      <w:r w:rsidR="00D729B8" w:rsidRPr="0061347A">
        <w:rPr>
          <w:rFonts w:cs="Times New Roman"/>
          <w:szCs w:val="24"/>
        </w:rPr>
        <w:t xml:space="preserve">presente </w:t>
      </w:r>
      <w:r w:rsidR="00E978A2" w:rsidRPr="0061347A">
        <w:rPr>
          <w:rFonts w:cs="Times New Roman"/>
          <w:szCs w:val="24"/>
        </w:rPr>
        <w:t xml:space="preserve">estudio </w:t>
      </w:r>
      <w:r w:rsidR="00B27CBB" w:rsidRPr="0061347A">
        <w:rPr>
          <w:rFonts w:cs="Times New Roman"/>
          <w:szCs w:val="24"/>
        </w:rPr>
        <w:t xml:space="preserve">analizó por primera vez </w:t>
      </w:r>
      <w:r w:rsidR="00E978A2" w:rsidRPr="0061347A">
        <w:rPr>
          <w:rFonts w:cs="Times New Roman"/>
          <w:szCs w:val="24"/>
        </w:rPr>
        <w:t>el efecto mediador de la gestión de</w:t>
      </w:r>
      <w:r w:rsidR="009E2381" w:rsidRPr="0061347A">
        <w:rPr>
          <w:rFonts w:cs="Times New Roman"/>
          <w:szCs w:val="24"/>
        </w:rPr>
        <w:t>l</w:t>
      </w:r>
      <w:r w:rsidR="00E978A2" w:rsidRPr="0061347A">
        <w:rPr>
          <w:rFonts w:cs="Times New Roman"/>
          <w:szCs w:val="24"/>
        </w:rPr>
        <w:t xml:space="preserve"> conocimiento </w:t>
      </w:r>
      <w:r w:rsidR="00B27CBB" w:rsidRPr="0061347A">
        <w:rPr>
          <w:rFonts w:cs="Times New Roman"/>
          <w:szCs w:val="24"/>
        </w:rPr>
        <w:t xml:space="preserve">en la relación </w:t>
      </w:r>
      <w:r w:rsidR="00E978A2" w:rsidRPr="0061347A">
        <w:rPr>
          <w:rFonts w:cs="Times New Roman"/>
          <w:szCs w:val="24"/>
        </w:rPr>
        <w:t xml:space="preserve">entre la autoeficacia profesional y la rentabilidad de las </w:t>
      </w:r>
      <w:r w:rsidR="00B27CBB" w:rsidRPr="0061347A">
        <w:rPr>
          <w:rFonts w:cs="Times New Roman"/>
          <w:szCs w:val="24"/>
        </w:rPr>
        <w:t>empresas</w:t>
      </w:r>
      <w:r w:rsidR="00630BCB" w:rsidRPr="0061347A">
        <w:rPr>
          <w:rFonts w:cs="Times New Roman"/>
          <w:szCs w:val="24"/>
        </w:rPr>
        <w:t>.</w:t>
      </w:r>
      <w:r w:rsidR="00A52308" w:rsidRPr="0061347A">
        <w:rPr>
          <w:rFonts w:cs="Times New Roman"/>
          <w:szCs w:val="24"/>
        </w:rPr>
        <w:t xml:space="preserve"> Los datos se recolectaron usando </w:t>
      </w:r>
      <w:r w:rsidR="00630BCB" w:rsidRPr="0061347A">
        <w:rPr>
          <w:rFonts w:cs="Times New Roman"/>
          <w:szCs w:val="24"/>
        </w:rPr>
        <w:t>un censo de las</w:t>
      </w:r>
      <w:r w:rsidR="005F6F70" w:rsidRPr="0061347A">
        <w:rPr>
          <w:rFonts w:cs="Times New Roman"/>
          <w:szCs w:val="24"/>
        </w:rPr>
        <w:t xml:space="preserve"> 50</w:t>
      </w:r>
      <w:r w:rsidR="00630BCB" w:rsidRPr="0061347A">
        <w:rPr>
          <w:rFonts w:cs="Times New Roman"/>
          <w:szCs w:val="24"/>
        </w:rPr>
        <w:t xml:space="preserve"> empresas formales de la gran y mediana minería peruana. La técnica estadística</w:t>
      </w:r>
      <w:r w:rsidR="00B41BA1" w:rsidRPr="0061347A">
        <w:rPr>
          <w:rFonts w:cs="Times New Roman"/>
          <w:szCs w:val="24"/>
        </w:rPr>
        <w:t xml:space="preserve"> multivariante </w:t>
      </w:r>
      <w:r w:rsidR="00630BCB" w:rsidRPr="0061347A">
        <w:rPr>
          <w:rFonts w:cs="Times New Roman"/>
          <w:szCs w:val="24"/>
        </w:rPr>
        <w:t>utilizada</w:t>
      </w:r>
      <w:r w:rsidR="00B27CBB" w:rsidRPr="0061347A">
        <w:rPr>
          <w:rFonts w:cs="Times New Roman"/>
          <w:szCs w:val="24"/>
        </w:rPr>
        <w:t xml:space="preserve"> para</w:t>
      </w:r>
      <w:r w:rsidR="001B3B85" w:rsidRPr="0061347A">
        <w:rPr>
          <w:rFonts w:cs="Times New Roman"/>
          <w:szCs w:val="24"/>
        </w:rPr>
        <w:t xml:space="preserve"> el análisis de los datos y </w:t>
      </w:r>
      <w:r w:rsidR="00B27CBB" w:rsidRPr="0061347A">
        <w:rPr>
          <w:rFonts w:cs="Times New Roman"/>
          <w:szCs w:val="24"/>
        </w:rPr>
        <w:t xml:space="preserve">la comprobación de las hipótesis de investigación </w:t>
      </w:r>
      <w:r w:rsidR="00934344" w:rsidRPr="0061347A">
        <w:rPr>
          <w:rFonts w:cs="Times New Roman"/>
          <w:szCs w:val="24"/>
        </w:rPr>
        <w:t xml:space="preserve">fue </w:t>
      </w:r>
      <w:r w:rsidR="00057E96" w:rsidRPr="0061347A">
        <w:rPr>
          <w:rFonts w:cs="Times New Roman"/>
          <w:szCs w:val="24"/>
        </w:rPr>
        <w:t>el modelado de ecuaciones estructurales basado en mínimos cuadrados parciales (PLS-SEM)</w:t>
      </w:r>
      <w:r w:rsidR="00934344" w:rsidRPr="0061347A">
        <w:rPr>
          <w:rFonts w:cs="Times New Roman"/>
          <w:szCs w:val="24"/>
        </w:rPr>
        <w:t xml:space="preserve"> usando </w:t>
      </w:r>
      <w:r w:rsidR="00F344D4" w:rsidRPr="0061347A">
        <w:rPr>
          <w:rFonts w:cs="Times New Roman"/>
          <w:szCs w:val="24"/>
        </w:rPr>
        <w:t>el software</w:t>
      </w:r>
      <w:r w:rsidR="00F344D4" w:rsidRPr="0061347A">
        <w:rPr>
          <w:rFonts w:cs="Times New Roman"/>
          <w:i/>
          <w:szCs w:val="24"/>
        </w:rPr>
        <w:t xml:space="preserve"> </w:t>
      </w:r>
      <w:r w:rsidR="00F344D4" w:rsidRPr="0061347A">
        <w:rPr>
          <w:rFonts w:cs="Times New Roman"/>
          <w:szCs w:val="24"/>
        </w:rPr>
        <w:t xml:space="preserve">SmartPLS </w:t>
      </w:r>
      <w:r w:rsidR="00934344" w:rsidRPr="0061347A">
        <w:rPr>
          <w:rFonts w:cs="Times New Roman"/>
          <w:szCs w:val="24"/>
        </w:rPr>
        <w:t xml:space="preserve">v </w:t>
      </w:r>
      <w:r w:rsidR="00F344D4" w:rsidRPr="0061347A">
        <w:rPr>
          <w:rFonts w:cs="Times New Roman"/>
          <w:szCs w:val="24"/>
        </w:rPr>
        <w:t>4</w:t>
      </w:r>
      <w:r w:rsidR="00934344" w:rsidRPr="0061347A">
        <w:rPr>
          <w:rFonts w:cs="Times New Roman"/>
          <w:szCs w:val="24"/>
        </w:rPr>
        <w:t xml:space="preserve">. </w:t>
      </w:r>
      <w:r w:rsidR="00E2108E" w:rsidRPr="0061347A">
        <w:rPr>
          <w:rFonts w:cs="Times New Roman"/>
          <w:szCs w:val="24"/>
        </w:rPr>
        <w:t>Los resultados muestran que existe un efecto mediador complementario estadísticamente significativo de la gestión del conocimiento en la relación entre la autoeficacia profesional y la rentabilidad de las empresas. Estos resultados indican la importancia relevante de las estrategias vinculadas al constructo gestión del conocimiento, que tanto los académicos como para los ejecutivos de las organizaciones deberían tener en consideración, puesto que juega un rol mediador comprobado en la rentabilidad.</w:t>
      </w:r>
    </w:p>
    <w:p w:rsidR="001957EE" w:rsidRPr="0061347A" w:rsidRDefault="00F85C95" w:rsidP="000F5AF9">
      <w:pPr>
        <w:spacing w:line="240" w:lineRule="auto"/>
        <w:jc w:val="both"/>
        <w:rPr>
          <w:rFonts w:cs="Times New Roman"/>
          <w:szCs w:val="24"/>
        </w:rPr>
      </w:pPr>
      <w:r w:rsidRPr="0061347A">
        <w:rPr>
          <w:rFonts w:cs="Times New Roman"/>
          <w:b/>
          <w:szCs w:val="24"/>
        </w:rPr>
        <w:t>Palabras Clave</w:t>
      </w:r>
      <w:r w:rsidR="00652064" w:rsidRPr="0061347A">
        <w:rPr>
          <w:rFonts w:cs="Times New Roman"/>
          <w:b/>
          <w:szCs w:val="24"/>
        </w:rPr>
        <w:t xml:space="preserve"> </w:t>
      </w:r>
      <w:r w:rsidR="00531A3A" w:rsidRPr="0061347A">
        <w:rPr>
          <w:rFonts w:cs="Times New Roman"/>
          <w:szCs w:val="24"/>
        </w:rPr>
        <w:t>Gestión del c</w:t>
      </w:r>
      <w:r w:rsidR="006826FB" w:rsidRPr="0061347A">
        <w:rPr>
          <w:rFonts w:cs="Times New Roman"/>
          <w:szCs w:val="24"/>
        </w:rPr>
        <w:t>onocimiento</w:t>
      </w:r>
      <w:r w:rsidR="004A7187" w:rsidRPr="0061347A">
        <w:rPr>
          <w:rFonts w:cs="Times New Roman"/>
          <w:szCs w:val="24"/>
        </w:rPr>
        <w:t>;</w:t>
      </w:r>
      <w:r w:rsidR="00066697" w:rsidRPr="0061347A">
        <w:rPr>
          <w:rFonts w:cs="Times New Roman"/>
          <w:szCs w:val="24"/>
        </w:rPr>
        <w:t xml:space="preserve"> </w:t>
      </w:r>
      <w:r w:rsidR="00531A3A" w:rsidRPr="0061347A">
        <w:rPr>
          <w:rFonts w:cs="Times New Roman"/>
          <w:szCs w:val="24"/>
        </w:rPr>
        <w:t>a</w:t>
      </w:r>
      <w:r w:rsidR="006826FB" w:rsidRPr="0061347A">
        <w:rPr>
          <w:rFonts w:cs="Times New Roman"/>
          <w:szCs w:val="24"/>
        </w:rPr>
        <w:t xml:space="preserve">utoeficacia </w:t>
      </w:r>
      <w:r w:rsidR="00531A3A" w:rsidRPr="0061347A">
        <w:rPr>
          <w:rFonts w:cs="Times New Roman"/>
          <w:szCs w:val="24"/>
        </w:rPr>
        <w:t>p</w:t>
      </w:r>
      <w:r w:rsidR="006826FB" w:rsidRPr="0061347A">
        <w:rPr>
          <w:rFonts w:cs="Times New Roman"/>
          <w:szCs w:val="24"/>
        </w:rPr>
        <w:t>rofesional</w:t>
      </w:r>
      <w:r w:rsidR="004A7187" w:rsidRPr="0061347A">
        <w:rPr>
          <w:rFonts w:cs="Times New Roman"/>
          <w:szCs w:val="24"/>
        </w:rPr>
        <w:t>;</w:t>
      </w:r>
      <w:r w:rsidR="00066697" w:rsidRPr="0061347A">
        <w:rPr>
          <w:rFonts w:cs="Times New Roman"/>
          <w:szCs w:val="24"/>
        </w:rPr>
        <w:t xml:space="preserve"> </w:t>
      </w:r>
      <w:r w:rsidR="00531A3A" w:rsidRPr="0061347A">
        <w:rPr>
          <w:rFonts w:cs="Times New Roman"/>
          <w:szCs w:val="24"/>
        </w:rPr>
        <w:t>rentabilidad</w:t>
      </w:r>
      <w:r w:rsidR="00180AE3" w:rsidRPr="0061347A">
        <w:rPr>
          <w:rFonts w:cs="Times New Roman"/>
          <w:szCs w:val="24"/>
        </w:rPr>
        <w:t xml:space="preserve">; </w:t>
      </w:r>
      <w:r w:rsidR="00531A3A" w:rsidRPr="0061347A">
        <w:rPr>
          <w:rFonts w:cs="Times New Roman"/>
          <w:szCs w:val="24"/>
        </w:rPr>
        <w:t>e</w:t>
      </w:r>
      <w:r w:rsidR="006826FB" w:rsidRPr="0061347A">
        <w:rPr>
          <w:rFonts w:cs="Times New Roman"/>
          <w:szCs w:val="24"/>
        </w:rPr>
        <w:t>mpresas</w:t>
      </w:r>
      <w:r w:rsidR="00212439" w:rsidRPr="0061347A">
        <w:rPr>
          <w:rFonts w:cs="Times New Roman"/>
          <w:szCs w:val="24"/>
        </w:rPr>
        <w:t xml:space="preserve"> mineras, Per</w:t>
      </w:r>
      <w:r w:rsidR="00F4622D" w:rsidRPr="0061347A">
        <w:rPr>
          <w:rFonts w:cs="Times New Roman"/>
          <w:szCs w:val="24"/>
        </w:rPr>
        <w:t>u</w:t>
      </w:r>
      <w:r w:rsidR="00212439" w:rsidRPr="0061347A">
        <w:rPr>
          <w:rFonts w:cs="Times New Roman"/>
          <w:szCs w:val="24"/>
        </w:rPr>
        <w:t>.</w:t>
      </w:r>
    </w:p>
    <w:p w:rsidR="003234CD" w:rsidRPr="0061347A" w:rsidRDefault="003234CD" w:rsidP="003234CD">
      <w:pPr>
        <w:spacing w:after="0" w:line="240" w:lineRule="auto"/>
      </w:pPr>
      <w:r w:rsidRPr="0061347A">
        <w:t>___________________</w:t>
      </w:r>
    </w:p>
    <w:p w:rsidR="003234CD" w:rsidRPr="0061347A" w:rsidRDefault="003234CD" w:rsidP="003234CD">
      <w:pPr>
        <w:pStyle w:val="Piedepgina"/>
        <w:jc w:val="both"/>
        <w:rPr>
          <w:rFonts w:cs="Times New Roman"/>
          <w:bCs/>
          <w:sz w:val="22"/>
        </w:rPr>
      </w:pPr>
      <w:r w:rsidRPr="0061347A">
        <w:rPr>
          <w:rFonts w:cs="Times New Roman"/>
          <w:sz w:val="22"/>
        </w:rPr>
        <w:t>* Autor de correspondencia: Nelson Zarzosa, CENTRUM Catolica Graduate Business School, Lima, Peru – Pontificia Universidad Catolica del Peru, Lima, Peru.</w:t>
      </w:r>
      <w:r w:rsidRPr="0061347A">
        <w:rPr>
          <w:rFonts w:cs="Times New Roman"/>
          <w:bCs/>
          <w:sz w:val="22"/>
        </w:rPr>
        <w:t xml:space="preserve"> Tel: 051-962189642, email: </w:t>
      </w:r>
      <w:hyperlink r:id="rId8" w:history="1">
        <w:r w:rsidRPr="0061347A">
          <w:rPr>
            <w:rStyle w:val="Hipervnculo"/>
            <w:rFonts w:cs="Times New Roman"/>
            <w:bCs/>
            <w:color w:val="auto"/>
            <w:sz w:val="22"/>
            <w:u w:val="none"/>
          </w:rPr>
          <w:t>nzarzosa@pucp.pe</w:t>
        </w:r>
      </w:hyperlink>
      <w:r w:rsidRPr="0061347A">
        <w:rPr>
          <w:rFonts w:cs="Times New Roman"/>
          <w:bCs/>
          <w:sz w:val="22"/>
        </w:rPr>
        <w:t>.</w:t>
      </w:r>
    </w:p>
    <w:p w:rsidR="00834B21" w:rsidRPr="0061347A" w:rsidRDefault="00834B21" w:rsidP="003234CD">
      <w:pPr>
        <w:pStyle w:val="Piedepgina"/>
        <w:jc w:val="both"/>
        <w:rPr>
          <w:rFonts w:cs="Times New Roman"/>
          <w:bCs/>
          <w:sz w:val="22"/>
        </w:rPr>
      </w:pPr>
    </w:p>
    <w:p w:rsidR="00FE49B2" w:rsidRDefault="00FE49B2" w:rsidP="003234CD">
      <w:pPr>
        <w:pStyle w:val="Piedepgina"/>
        <w:jc w:val="both"/>
        <w:rPr>
          <w:rFonts w:cs="Times New Roman"/>
          <w:bCs/>
          <w:sz w:val="22"/>
        </w:rPr>
      </w:pPr>
    </w:p>
    <w:p w:rsidR="004D6CE1" w:rsidRPr="0061347A" w:rsidRDefault="004D6CE1" w:rsidP="003234CD">
      <w:pPr>
        <w:pStyle w:val="Piedepgina"/>
        <w:jc w:val="both"/>
        <w:rPr>
          <w:rFonts w:cs="Times New Roman"/>
          <w:bCs/>
          <w:sz w:val="22"/>
        </w:rPr>
      </w:pPr>
    </w:p>
    <w:p w:rsidR="00FE49B2" w:rsidRPr="0061347A" w:rsidRDefault="00FE49B2" w:rsidP="003234CD">
      <w:pPr>
        <w:pStyle w:val="Piedepgina"/>
        <w:jc w:val="both"/>
        <w:rPr>
          <w:rFonts w:cs="Times New Roman"/>
          <w:bCs/>
          <w:sz w:val="22"/>
        </w:rPr>
      </w:pPr>
    </w:p>
    <w:p w:rsidR="00FE49B2" w:rsidRPr="0061347A" w:rsidRDefault="00FE49B2" w:rsidP="003234CD">
      <w:pPr>
        <w:pStyle w:val="Piedepgina"/>
        <w:jc w:val="both"/>
        <w:rPr>
          <w:rFonts w:cs="Times New Roman"/>
          <w:bCs/>
          <w:sz w:val="22"/>
        </w:rPr>
      </w:pPr>
    </w:p>
    <w:p w:rsidR="00A9123C" w:rsidRPr="0061347A" w:rsidRDefault="00C97F0A" w:rsidP="007B3359">
      <w:pPr>
        <w:pStyle w:val="Ttulo2"/>
        <w:numPr>
          <w:ilvl w:val="0"/>
          <w:numId w:val="3"/>
        </w:numPr>
        <w:spacing w:line="240" w:lineRule="auto"/>
        <w:ind w:left="426" w:hanging="426"/>
        <w:rPr>
          <w:rFonts w:cs="Times New Roman"/>
          <w:sz w:val="26"/>
        </w:rPr>
      </w:pPr>
      <w:r w:rsidRPr="0061347A">
        <w:rPr>
          <w:rFonts w:cs="Times New Roman"/>
          <w:sz w:val="26"/>
        </w:rPr>
        <w:lastRenderedPageBreak/>
        <w:t>Antecedentes</w:t>
      </w:r>
    </w:p>
    <w:p w:rsidR="001066E4" w:rsidRPr="0061347A" w:rsidRDefault="001428F8" w:rsidP="007F608D">
      <w:pPr>
        <w:spacing w:after="0"/>
        <w:ind w:firstLine="426"/>
        <w:jc w:val="both"/>
      </w:pPr>
      <w:r w:rsidRPr="0061347A">
        <w:t>L</w:t>
      </w:r>
      <w:r w:rsidR="009D6CD8" w:rsidRPr="0061347A">
        <w:t xml:space="preserve">a </w:t>
      </w:r>
      <w:r w:rsidR="009D6CD8" w:rsidRPr="0061347A">
        <w:rPr>
          <w:rFonts w:cs="Times New Roman"/>
          <w:szCs w:val="24"/>
        </w:rPr>
        <w:t>rentabilidad</w:t>
      </w:r>
      <w:r w:rsidR="009D6CD8" w:rsidRPr="0061347A">
        <w:t xml:space="preserve"> de las empresas, la gestión del conocimient</w:t>
      </w:r>
      <w:r w:rsidR="00592AA6" w:rsidRPr="0061347A">
        <w:t xml:space="preserve">o y la autoeficacia profesional han sido estudiados </w:t>
      </w:r>
      <w:r w:rsidR="009D6CD8" w:rsidRPr="0061347A">
        <w:t>en entornos empresariales diversos, considerando distintos enfoques y metodologías, buscando contribuir con el entendimiento teórico y práctico de</w:t>
      </w:r>
      <w:r w:rsidR="00CA291E" w:rsidRPr="0061347A">
        <w:t xml:space="preserve"> sus relaciones en</w:t>
      </w:r>
      <w:r w:rsidR="009D6CD8" w:rsidRPr="0061347A">
        <w:t xml:space="preserve"> la gestión de </w:t>
      </w:r>
      <w:r w:rsidR="00BE777C" w:rsidRPr="0061347A">
        <w:t xml:space="preserve">las </w:t>
      </w:r>
      <w:r w:rsidR="009D6CD8" w:rsidRPr="0061347A">
        <w:t>empresas</w:t>
      </w:r>
      <w:r w:rsidR="00910708" w:rsidRPr="0061347A">
        <w:t xml:space="preserve"> grandes, medianas y pequeñas </w:t>
      </w:r>
      <w:r w:rsidR="009D6CD8" w:rsidRPr="0061347A">
        <w:t xml:space="preserve">(Alavi &amp; Leidner, 2001; Bandura, 1978; Bodhanwala &amp; Bodhanwala, 2018; Benischke, 2019; Chión et al., 2020; </w:t>
      </w:r>
      <w:r w:rsidR="00E733FD" w:rsidRPr="0061347A">
        <w:t>Hock-</w:t>
      </w:r>
      <w:r w:rsidR="009D6CD8" w:rsidRPr="0061347A">
        <w:t>Doepgen et al., 2021; Gold et al., 2001;</w:t>
      </w:r>
      <w:r w:rsidR="00113BE7" w:rsidRPr="0061347A">
        <w:t xml:space="preserve"> Jasin et al. 2024; </w:t>
      </w:r>
      <w:r w:rsidR="009D6CD8" w:rsidRPr="0061347A">
        <w:t>Kang, 2020; Moriano et al., 2012)</w:t>
      </w:r>
      <w:r w:rsidR="00DB2027" w:rsidRPr="0061347A">
        <w:t>.</w:t>
      </w:r>
    </w:p>
    <w:p w:rsidR="007D4FA0" w:rsidRPr="0061347A" w:rsidRDefault="00DB2027" w:rsidP="009B3D32">
      <w:pPr>
        <w:spacing w:after="0"/>
        <w:ind w:firstLine="426"/>
        <w:jc w:val="both"/>
      </w:pPr>
      <w:r w:rsidRPr="0061347A">
        <w:t>Esta investigación estudió el efecto mediador de la gestión del conocimiento en la relación entre la autoeficacia profesional y la rentabilidad de las empresas.</w:t>
      </w:r>
      <w:r w:rsidR="000E2AB0" w:rsidRPr="0061347A">
        <w:t xml:space="preserve"> </w:t>
      </w:r>
      <w:r w:rsidRPr="0061347A">
        <w:t xml:space="preserve">Estudios anteriores encontraron que </w:t>
      </w:r>
      <w:r w:rsidR="007D4FA0" w:rsidRPr="0061347A">
        <w:t>la gestión del conocimiento se relaciona con la autoeficacia de los profesionales (Cassia &amp; Magno, 2021) y</w:t>
      </w:r>
      <w:r w:rsidR="00A531B0" w:rsidRPr="0061347A">
        <w:t xml:space="preserve"> que</w:t>
      </w:r>
      <w:r w:rsidR="007D4FA0" w:rsidRPr="0061347A">
        <w:t>,</w:t>
      </w:r>
      <w:r w:rsidRPr="0061347A">
        <w:t xml:space="preserve"> </w:t>
      </w:r>
      <w:r w:rsidR="007D4FA0" w:rsidRPr="0061347A">
        <w:t>la autoeficacia profesional influye en la rentabilidad de las empresas (</w:t>
      </w:r>
      <w:r w:rsidR="00C677C2" w:rsidRPr="0061347A">
        <w:rPr>
          <w:rFonts w:cs="Times New Roman"/>
          <w:szCs w:val="24"/>
        </w:rPr>
        <w:t xml:space="preserve">Cassia &amp; Magno, 2021; </w:t>
      </w:r>
      <w:r w:rsidR="007D4FA0" w:rsidRPr="0061347A">
        <w:t>Lepold et al., 2018</w:t>
      </w:r>
      <w:r w:rsidR="00C677C2" w:rsidRPr="0061347A">
        <w:t xml:space="preserve">; </w:t>
      </w:r>
      <w:r w:rsidR="00C677C2" w:rsidRPr="0061347A">
        <w:rPr>
          <w:rFonts w:cs="Times New Roman"/>
          <w:szCs w:val="24"/>
        </w:rPr>
        <w:t>Marshall et al., 2023</w:t>
      </w:r>
      <w:r w:rsidR="007D4FA0" w:rsidRPr="0061347A">
        <w:t>)</w:t>
      </w:r>
      <w:r w:rsidR="00CD12E0" w:rsidRPr="0061347A">
        <w:t xml:space="preserve">, así como, </w:t>
      </w:r>
      <w:r w:rsidR="00866595" w:rsidRPr="0061347A">
        <w:t xml:space="preserve">la </w:t>
      </w:r>
      <w:r w:rsidR="00CD12E0" w:rsidRPr="0061347A">
        <w:t>autoeficacia tiene un efecto positivo en la gestión del conocimiento al enfatizar el intercambio de conocimiento tácito y explícito entre docentes (Hoang &amp; Le, 2024).</w:t>
      </w:r>
      <w:r w:rsidRPr="0061347A">
        <w:t xml:space="preserve"> Además, se encontró</w:t>
      </w:r>
      <w:r w:rsidR="007D4FA0" w:rsidRPr="0061347A">
        <w:t xml:space="preserve"> que la autoeficacia tiene </w:t>
      </w:r>
      <w:r w:rsidRPr="0061347A">
        <w:t xml:space="preserve">una </w:t>
      </w:r>
      <w:r w:rsidR="007D4FA0" w:rsidRPr="0061347A">
        <w:t>relación positiva con el rendimiento de los empleados (Yagil et al., 2023)</w:t>
      </w:r>
      <w:r w:rsidR="00F7697B" w:rsidRPr="0061347A">
        <w:t xml:space="preserve"> y q</w:t>
      </w:r>
      <w:r w:rsidR="007D4FA0" w:rsidRPr="0061347A">
        <w:t>ue la gestión del conocimiento está relacionada con la rentabilidad de las empresas (Cillo et al., 2022; Nakash &amp; Bouhnik, 2022).</w:t>
      </w:r>
      <w:r w:rsidR="00F56235" w:rsidRPr="0061347A">
        <w:t xml:space="preserve"> Sin embargo, la literatura no muestra estudios que incluyan la mediación de la gestión del conocimiento en la aludida relación.</w:t>
      </w:r>
    </w:p>
    <w:p w:rsidR="00F56235" w:rsidRPr="0061347A" w:rsidRDefault="00133018" w:rsidP="00F56235">
      <w:pPr>
        <w:spacing w:after="0"/>
        <w:ind w:firstLine="426"/>
        <w:jc w:val="both"/>
      </w:pPr>
      <w:r w:rsidRPr="0061347A">
        <w:t>Como afirm</w:t>
      </w:r>
      <w:r w:rsidR="00F816F6" w:rsidRPr="0061347A">
        <w:t>ó</w:t>
      </w:r>
      <w:r w:rsidRPr="0061347A">
        <w:t xml:space="preserve"> Bandura (1978)</w:t>
      </w:r>
      <w:r w:rsidR="00023412" w:rsidRPr="0061347A">
        <w:t xml:space="preserve">, </w:t>
      </w:r>
      <w:r w:rsidRPr="0061347A">
        <w:t>la autoeficacia del profesional determina la motivación</w:t>
      </w:r>
      <w:r w:rsidR="00EF11D1" w:rsidRPr="0061347A">
        <w:t xml:space="preserve">, </w:t>
      </w:r>
      <w:r w:rsidR="00EF11D1" w:rsidRPr="0061347A">
        <w:rPr>
          <w:rFonts w:cs="Times New Roman"/>
          <w:szCs w:val="24"/>
        </w:rPr>
        <w:t>el esfuerzo y la persistencia frente a dificultades</w:t>
      </w:r>
      <w:r w:rsidR="00B3315F" w:rsidRPr="0061347A">
        <w:t xml:space="preserve">. </w:t>
      </w:r>
      <w:r w:rsidRPr="0061347A">
        <w:t xml:space="preserve">Adicionalmente, Bernales-Turpo et al. (2022) demostraron que </w:t>
      </w:r>
      <w:r w:rsidR="00F56235" w:rsidRPr="0061347A">
        <w:t>la autoeficacia del profesional se relaciona positivamente con el desempeño laboral.</w:t>
      </w:r>
    </w:p>
    <w:p w:rsidR="004E79D3" w:rsidRPr="0061347A" w:rsidRDefault="002C5056" w:rsidP="00141E2B">
      <w:pPr>
        <w:spacing w:after="0"/>
        <w:ind w:firstLine="426"/>
        <w:jc w:val="both"/>
        <w:rPr>
          <w:rFonts w:cs="Times New Roman"/>
          <w:szCs w:val="24"/>
        </w:rPr>
      </w:pPr>
      <w:r w:rsidRPr="0061347A">
        <w:rPr>
          <w:rFonts w:cs="Times New Roman"/>
          <w:szCs w:val="24"/>
        </w:rPr>
        <w:t xml:space="preserve">Por lo </w:t>
      </w:r>
      <w:r w:rsidRPr="0061347A">
        <w:t>tanto</w:t>
      </w:r>
      <w:r w:rsidRPr="0061347A">
        <w:rPr>
          <w:rFonts w:cs="Times New Roman"/>
          <w:szCs w:val="24"/>
        </w:rPr>
        <w:t>, la investigación per sé busca</w:t>
      </w:r>
      <w:r w:rsidR="00CA7037" w:rsidRPr="0061347A">
        <w:rPr>
          <w:rFonts w:cs="Times New Roman"/>
          <w:szCs w:val="24"/>
        </w:rPr>
        <w:t xml:space="preserve"> cubrir</w:t>
      </w:r>
      <w:r w:rsidR="00A82795" w:rsidRPr="0061347A">
        <w:rPr>
          <w:rFonts w:cs="Times New Roman"/>
          <w:szCs w:val="24"/>
        </w:rPr>
        <w:t xml:space="preserve"> </w:t>
      </w:r>
      <w:r w:rsidRPr="0061347A">
        <w:rPr>
          <w:rFonts w:cs="Times New Roman"/>
          <w:szCs w:val="24"/>
        </w:rPr>
        <w:t>el vacío de conocimiento existente,</w:t>
      </w:r>
      <w:r w:rsidR="004E79D3" w:rsidRPr="0061347A">
        <w:rPr>
          <w:rFonts w:cs="Times New Roman"/>
          <w:szCs w:val="24"/>
        </w:rPr>
        <w:t xml:space="preserve"> tal y como </w:t>
      </w:r>
      <w:r w:rsidR="00CC7533" w:rsidRPr="0061347A">
        <w:rPr>
          <w:rFonts w:cs="Times New Roman"/>
          <w:szCs w:val="24"/>
        </w:rPr>
        <w:t xml:space="preserve">fue </w:t>
      </w:r>
      <w:r w:rsidRPr="0061347A">
        <w:rPr>
          <w:rFonts w:cs="Times New Roman"/>
          <w:szCs w:val="24"/>
        </w:rPr>
        <w:t>sugerido por Cassia y Magno (2021),</w:t>
      </w:r>
      <w:r w:rsidR="004E79D3" w:rsidRPr="0061347A">
        <w:rPr>
          <w:rFonts w:cs="Times New Roman"/>
          <w:szCs w:val="24"/>
        </w:rPr>
        <w:t xml:space="preserve"> quienes recomendaron la necesidad de estudiar </w:t>
      </w:r>
      <w:r w:rsidRPr="0061347A">
        <w:rPr>
          <w:rFonts w:cs="Times New Roman"/>
          <w:szCs w:val="24"/>
        </w:rPr>
        <w:t>la relación</w:t>
      </w:r>
      <w:r w:rsidR="004E79D3" w:rsidRPr="0061347A">
        <w:rPr>
          <w:rFonts w:cs="Times New Roman"/>
          <w:szCs w:val="24"/>
        </w:rPr>
        <w:t xml:space="preserve"> entre </w:t>
      </w:r>
      <w:r w:rsidRPr="0061347A">
        <w:rPr>
          <w:rFonts w:cs="Times New Roman"/>
          <w:szCs w:val="24"/>
        </w:rPr>
        <w:t xml:space="preserve">la autoeficacia profesional </w:t>
      </w:r>
      <w:r w:rsidR="004E79D3" w:rsidRPr="0061347A">
        <w:rPr>
          <w:rFonts w:cs="Times New Roman"/>
          <w:szCs w:val="24"/>
        </w:rPr>
        <w:t xml:space="preserve">y </w:t>
      </w:r>
      <w:r w:rsidRPr="0061347A">
        <w:rPr>
          <w:rFonts w:cs="Times New Roman"/>
          <w:szCs w:val="24"/>
        </w:rPr>
        <w:t xml:space="preserve">la rentabilidad de las empresas </w:t>
      </w:r>
      <w:r w:rsidR="00204C99" w:rsidRPr="0061347A">
        <w:rPr>
          <w:rFonts w:cs="Times New Roman"/>
          <w:szCs w:val="24"/>
        </w:rPr>
        <w:t>y</w:t>
      </w:r>
      <w:r w:rsidRPr="0061347A">
        <w:rPr>
          <w:rFonts w:cs="Times New Roman"/>
          <w:szCs w:val="24"/>
        </w:rPr>
        <w:t xml:space="preserve"> la mediación de la gestión de conocimiento</w:t>
      </w:r>
      <w:r w:rsidR="00141E2B" w:rsidRPr="0061347A">
        <w:rPr>
          <w:rFonts w:cs="Times New Roman"/>
          <w:szCs w:val="24"/>
        </w:rPr>
        <w:t xml:space="preserve"> en esa relación.</w:t>
      </w:r>
    </w:p>
    <w:p w:rsidR="004E79D3" w:rsidRPr="0061347A" w:rsidRDefault="004E79D3" w:rsidP="00141E2B">
      <w:pPr>
        <w:spacing w:after="0"/>
        <w:ind w:firstLine="426"/>
        <w:jc w:val="both"/>
        <w:rPr>
          <w:rFonts w:cs="Times New Roman"/>
          <w:szCs w:val="24"/>
        </w:rPr>
      </w:pPr>
    </w:p>
    <w:p w:rsidR="002415A0" w:rsidRPr="0061347A" w:rsidRDefault="009F341F" w:rsidP="007B3359">
      <w:pPr>
        <w:pStyle w:val="Ttulo2"/>
        <w:numPr>
          <w:ilvl w:val="0"/>
          <w:numId w:val="3"/>
        </w:numPr>
        <w:spacing w:before="0" w:line="240" w:lineRule="auto"/>
        <w:ind w:left="426" w:hanging="426"/>
        <w:rPr>
          <w:rFonts w:cs="Times New Roman"/>
          <w:sz w:val="26"/>
        </w:rPr>
      </w:pPr>
      <w:r w:rsidRPr="0061347A">
        <w:rPr>
          <w:rFonts w:cs="Times New Roman"/>
          <w:sz w:val="26"/>
        </w:rPr>
        <w:t xml:space="preserve">Revisión de la Literatura </w:t>
      </w:r>
      <w:r w:rsidR="002B7B21" w:rsidRPr="0061347A">
        <w:rPr>
          <w:rFonts w:cs="Times New Roman"/>
          <w:sz w:val="26"/>
        </w:rPr>
        <w:t xml:space="preserve">e </w:t>
      </w:r>
      <w:r w:rsidR="009C7615" w:rsidRPr="0061347A">
        <w:rPr>
          <w:rFonts w:cs="Times New Roman"/>
          <w:sz w:val="26"/>
        </w:rPr>
        <w:t>Hipótesi</w:t>
      </w:r>
      <w:r w:rsidR="002415A0" w:rsidRPr="0061347A">
        <w:rPr>
          <w:rFonts w:cs="Times New Roman"/>
          <w:sz w:val="26"/>
        </w:rPr>
        <w:t>s</w:t>
      </w:r>
    </w:p>
    <w:p w:rsidR="009F341F" w:rsidRPr="0061347A" w:rsidRDefault="00212D33" w:rsidP="001741DE">
      <w:pPr>
        <w:ind w:firstLine="426"/>
        <w:jc w:val="both"/>
        <w:rPr>
          <w:rFonts w:cs="Times New Roman"/>
          <w:szCs w:val="24"/>
        </w:rPr>
      </w:pPr>
      <w:r w:rsidRPr="0061347A">
        <w:rPr>
          <w:rFonts w:cs="Times New Roman"/>
          <w:szCs w:val="24"/>
        </w:rPr>
        <w:t xml:space="preserve">La presente investigación </w:t>
      </w:r>
      <w:r w:rsidR="005078A1" w:rsidRPr="0061347A">
        <w:rPr>
          <w:rFonts w:cs="Times New Roman"/>
          <w:szCs w:val="24"/>
        </w:rPr>
        <w:t xml:space="preserve">utilizó </w:t>
      </w:r>
      <w:r w:rsidRPr="0061347A">
        <w:rPr>
          <w:rFonts w:cs="Times New Roman"/>
          <w:szCs w:val="24"/>
        </w:rPr>
        <w:t xml:space="preserve">la teoría de los escalones superiores </w:t>
      </w:r>
      <w:r w:rsidR="001741DE" w:rsidRPr="0061347A">
        <w:rPr>
          <w:rFonts w:cs="Times New Roman"/>
          <w:szCs w:val="24"/>
        </w:rPr>
        <w:t>(</w:t>
      </w:r>
      <w:r w:rsidR="001741DE" w:rsidRPr="0061347A">
        <w:rPr>
          <w:rFonts w:cs="Times New Roman"/>
          <w:i/>
          <w:szCs w:val="24"/>
        </w:rPr>
        <w:t>upper echelons theory</w:t>
      </w:r>
      <w:r w:rsidR="001741DE" w:rsidRPr="0061347A">
        <w:rPr>
          <w:rFonts w:cs="Times New Roman"/>
          <w:szCs w:val="24"/>
        </w:rPr>
        <w:t xml:space="preserve">), postulado por </w:t>
      </w:r>
      <w:r w:rsidR="009F341F" w:rsidRPr="0061347A">
        <w:rPr>
          <w:rFonts w:cs="Times New Roman"/>
          <w:szCs w:val="24"/>
        </w:rPr>
        <w:t>Hambrick y Mason (1984)</w:t>
      </w:r>
      <w:r w:rsidR="001741DE" w:rsidRPr="0061347A">
        <w:rPr>
          <w:rFonts w:cs="Times New Roman"/>
          <w:szCs w:val="24"/>
        </w:rPr>
        <w:t>, como marco teórico</w:t>
      </w:r>
      <w:r w:rsidR="005078A1" w:rsidRPr="0061347A">
        <w:rPr>
          <w:rFonts w:cs="Times New Roman"/>
          <w:szCs w:val="24"/>
        </w:rPr>
        <w:t xml:space="preserve"> en</w:t>
      </w:r>
      <w:r w:rsidR="001741DE" w:rsidRPr="0061347A">
        <w:rPr>
          <w:rFonts w:cs="Times New Roman"/>
          <w:szCs w:val="24"/>
        </w:rPr>
        <w:t xml:space="preserve"> la cual explica</w:t>
      </w:r>
      <w:r w:rsidR="005078A1" w:rsidRPr="0061347A">
        <w:rPr>
          <w:rFonts w:cs="Times New Roman"/>
          <w:szCs w:val="24"/>
        </w:rPr>
        <w:t>n</w:t>
      </w:r>
      <w:r w:rsidR="001741DE" w:rsidRPr="0061347A">
        <w:rPr>
          <w:rFonts w:cs="Times New Roman"/>
          <w:szCs w:val="24"/>
        </w:rPr>
        <w:t xml:space="preserve"> </w:t>
      </w:r>
      <w:r w:rsidR="009F341F" w:rsidRPr="0061347A">
        <w:rPr>
          <w:rFonts w:cs="Times New Roman"/>
          <w:szCs w:val="24"/>
        </w:rPr>
        <w:t>que los resultados organizacionales (elecciones estratégicas y niveles de desempeño) son parcialmente predichos por las características psicológicas observables de los altos ejecutivos (top management</w:t>
      </w:r>
      <w:r w:rsidR="001741DE" w:rsidRPr="0061347A">
        <w:rPr>
          <w:rFonts w:cs="Times New Roman"/>
          <w:szCs w:val="24"/>
        </w:rPr>
        <w:t xml:space="preserve"> team</w:t>
      </w:r>
      <w:r w:rsidR="009F341F" w:rsidRPr="0061347A">
        <w:rPr>
          <w:rFonts w:cs="Times New Roman"/>
          <w:szCs w:val="24"/>
        </w:rPr>
        <w:t>) de las empresas.</w:t>
      </w:r>
      <w:r w:rsidR="00B06C9D" w:rsidRPr="0061347A">
        <w:rPr>
          <w:rFonts w:cs="Times New Roman"/>
          <w:szCs w:val="24"/>
        </w:rPr>
        <w:t xml:space="preserve"> Hambrick (2007), stated that "</w:t>
      </w:r>
      <w:r w:rsidR="00630F15" w:rsidRPr="0061347A">
        <w:rPr>
          <w:rFonts w:cs="Times New Roman"/>
          <w:szCs w:val="24"/>
        </w:rPr>
        <w:t>execu</w:t>
      </w:r>
      <w:r w:rsidR="00B06C9D" w:rsidRPr="0061347A">
        <w:rPr>
          <w:rFonts w:cs="Times New Roman"/>
          <w:szCs w:val="24"/>
        </w:rPr>
        <w:t>tive's values, and personalities greatly influence their interpretations of the situations they face and, in turn, affect their choi</w:t>
      </w:r>
      <w:r w:rsidR="00630F15" w:rsidRPr="0061347A">
        <w:rPr>
          <w:rFonts w:cs="Times New Roman"/>
          <w:szCs w:val="24"/>
        </w:rPr>
        <w:t>c</w:t>
      </w:r>
      <w:r w:rsidR="00B06C9D" w:rsidRPr="0061347A">
        <w:rPr>
          <w:rFonts w:cs="Times New Roman"/>
          <w:szCs w:val="24"/>
        </w:rPr>
        <w:t>es." (p. 334)</w:t>
      </w:r>
      <w:r w:rsidR="0083028A" w:rsidRPr="0061347A">
        <w:rPr>
          <w:rFonts w:cs="Times New Roman"/>
          <w:szCs w:val="24"/>
        </w:rPr>
        <w:t>.</w:t>
      </w:r>
    </w:p>
    <w:p w:rsidR="00E5481B" w:rsidRPr="0061347A" w:rsidRDefault="00E5481B" w:rsidP="007B3359">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Autoeficacia Profesional</w:t>
      </w:r>
    </w:p>
    <w:p w:rsidR="00C8444A" w:rsidRPr="0061347A" w:rsidRDefault="00C45E84" w:rsidP="00C8444A">
      <w:pPr>
        <w:ind w:firstLine="426"/>
        <w:jc w:val="both"/>
        <w:rPr>
          <w:rFonts w:cs="Times New Roman"/>
          <w:szCs w:val="24"/>
        </w:rPr>
      </w:pPr>
      <w:r w:rsidRPr="0061347A">
        <w:rPr>
          <w:rFonts w:cs="Times New Roman"/>
          <w:szCs w:val="24"/>
        </w:rPr>
        <w:t>La autoeficacia, para Bandura (1978) “Es un aspecto clave en la competencia humana y determina, en gran medida, la elección de actividades, la motivación, el esfuerzo y la persistencia ante las dificultades, así como los patrones de pensamiento y las respuestas asociadas”</w:t>
      </w:r>
      <w:r w:rsidR="003303F7" w:rsidRPr="0061347A">
        <w:rPr>
          <w:rFonts w:cs="Times New Roman"/>
          <w:szCs w:val="24"/>
        </w:rPr>
        <w:t xml:space="preserve"> (p.</w:t>
      </w:r>
      <w:r w:rsidR="00445602" w:rsidRPr="0061347A">
        <w:rPr>
          <w:rFonts w:cs="Times New Roman"/>
          <w:szCs w:val="24"/>
        </w:rPr>
        <w:t xml:space="preserve"> </w:t>
      </w:r>
      <w:r w:rsidR="003303F7" w:rsidRPr="0061347A">
        <w:rPr>
          <w:rFonts w:cs="Times New Roman"/>
          <w:szCs w:val="24"/>
        </w:rPr>
        <w:t>5).</w:t>
      </w:r>
      <w:r w:rsidR="00A841EA" w:rsidRPr="0061347A">
        <w:rPr>
          <w:rFonts w:cs="Times New Roman"/>
          <w:szCs w:val="24"/>
        </w:rPr>
        <w:t xml:space="preserve"> </w:t>
      </w:r>
      <w:r w:rsidR="00C8444A" w:rsidRPr="0061347A">
        <w:rPr>
          <w:rFonts w:cs="Times New Roman"/>
          <w:szCs w:val="24"/>
        </w:rPr>
        <w:t>Y que,</w:t>
      </w:r>
      <w:r w:rsidR="00A841EA" w:rsidRPr="0061347A">
        <w:rPr>
          <w:rFonts w:cs="Times New Roman"/>
          <w:szCs w:val="24"/>
        </w:rPr>
        <w:t xml:space="preserve"> </w:t>
      </w:r>
      <w:r w:rsidR="00C8444A" w:rsidRPr="0061347A">
        <w:rPr>
          <w:rFonts w:cs="Times New Roman"/>
          <w:szCs w:val="24"/>
        </w:rPr>
        <w:t>l</w:t>
      </w:r>
      <w:r w:rsidR="00A841EA" w:rsidRPr="0061347A">
        <w:rPr>
          <w:rFonts w:cs="Times New Roman"/>
          <w:szCs w:val="24"/>
        </w:rPr>
        <w:t>a autoeficacia, ahora es una característica central de la teoría c</w:t>
      </w:r>
      <w:r w:rsidR="00C8444A" w:rsidRPr="0061347A">
        <w:rPr>
          <w:rFonts w:cs="Times New Roman"/>
          <w:szCs w:val="24"/>
        </w:rPr>
        <w:t xml:space="preserve">ognitiva social (Bandura, 1986). </w:t>
      </w:r>
      <w:r w:rsidR="001A7B5C" w:rsidRPr="0061347A">
        <w:rPr>
          <w:rFonts w:cs="Times New Roman"/>
          <w:szCs w:val="24"/>
        </w:rPr>
        <w:t>En ese sentido, la autoeficacia percibida se refiere a “las creencias de las personas sobre sus capacidades para ejercer control sobre su propio nivel de funcionamiento y sobre los acontecimientos que afectan sus vidas” (Bandura, 1991, p. 257).</w:t>
      </w:r>
      <w:r w:rsidR="00901EDD" w:rsidRPr="0061347A">
        <w:rPr>
          <w:rFonts w:cs="Times New Roman"/>
          <w:szCs w:val="24"/>
        </w:rPr>
        <w:t xml:space="preserve"> </w:t>
      </w:r>
      <w:r w:rsidR="00C8444A" w:rsidRPr="0061347A">
        <w:rPr>
          <w:rFonts w:cs="Times New Roman"/>
          <w:szCs w:val="24"/>
        </w:rPr>
        <w:t>En concordancia</w:t>
      </w:r>
      <w:r w:rsidR="00605C06" w:rsidRPr="0061347A">
        <w:rPr>
          <w:rFonts w:cs="Times New Roman"/>
          <w:szCs w:val="24"/>
        </w:rPr>
        <w:t xml:space="preserve"> con lo anterior</w:t>
      </w:r>
      <w:r w:rsidR="00C8444A" w:rsidRPr="0061347A">
        <w:rPr>
          <w:rFonts w:cs="Times New Roman"/>
          <w:szCs w:val="24"/>
        </w:rPr>
        <w:t xml:space="preserve">, se argumenta que las medidas de control </w:t>
      </w:r>
      <w:r w:rsidR="00C8444A" w:rsidRPr="0061347A">
        <w:rPr>
          <w:rFonts w:cs="Times New Roman"/>
          <w:szCs w:val="24"/>
        </w:rPr>
        <w:lastRenderedPageBreak/>
        <w:t>conductual percibido deben incorporar elementos de autoeficacia y controlabilidad</w:t>
      </w:r>
      <w:r w:rsidR="00442975" w:rsidRPr="0061347A">
        <w:rPr>
          <w:rFonts w:cs="Times New Roman"/>
          <w:szCs w:val="24"/>
        </w:rPr>
        <w:t xml:space="preserve"> (Ajzen, </w:t>
      </w:r>
      <w:r w:rsidR="00C8444A" w:rsidRPr="0061347A">
        <w:rPr>
          <w:rFonts w:cs="Times New Roman"/>
          <w:szCs w:val="24"/>
        </w:rPr>
        <w:t>2002).</w:t>
      </w:r>
    </w:p>
    <w:p w:rsidR="00C45E84" w:rsidRPr="0061347A" w:rsidRDefault="003303F7" w:rsidP="00C8444A">
      <w:pPr>
        <w:ind w:firstLine="426"/>
        <w:jc w:val="both"/>
        <w:rPr>
          <w:rFonts w:cs="Times New Roman"/>
          <w:szCs w:val="24"/>
        </w:rPr>
      </w:pPr>
      <w:r w:rsidRPr="0061347A">
        <w:rPr>
          <w:rFonts w:cs="Times New Roman"/>
          <w:szCs w:val="24"/>
        </w:rPr>
        <w:t>Para Schwarzer (1999</w:t>
      </w:r>
      <w:r w:rsidR="00C45E84" w:rsidRPr="0061347A">
        <w:rPr>
          <w:rFonts w:cs="Times New Roman"/>
          <w:szCs w:val="24"/>
        </w:rPr>
        <w:t>) la autoeficacia “es la confianza en la propia destreza de afrontamiento que se manifiesta en un rango amplio de situaciones retadoras y que tiene un carácter amplio y estable”</w:t>
      </w:r>
      <w:r w:rsidRPr="0061347A">
        <w:rPr>
          <w:rFonts w:cs="Times New Roman"/>
          <w:szCs w:val="24"/>
        </w:rPr>
        <w:t xml:space="preserve"> (p.</w:t>
      </w:r>
      <w:r w:rsidR="00445602" w:rsidRPr="0061347A">
        <w:rPr>
          <w:rFonts w:cs="Times New Roman"/>
          <w:szCs w:val="24"/>
        </w:rPr>
        <w:t xml:space="preserve"> </w:t>
      </w:r>
      <w:r w:rsidRPr="0061347A">
        <w:rPr>
          <w:rFonts w:cs="Times New Roman"/>
          <w:szCs w:val="24"/>
        </w:rPr>
        <w:t>7)</w:t>
      </w:r>
      <w:r w:rsidR="00734FFC" w:rsidRPr="0061347A">
        <w:rPr>
          <w:rFonts w:cs="Times New Roman"/>
          <w:szCs w:val="24"/>
        </w:rPr>
        <w:t>.</w:t>
      </w:r>
    </w:p>
    <w:p w:rsidR="00D659C3" w:rsidRPr="0061347A" w:rsidRDefault="000142B4" w:rsidP="007B3359">
      <w:pPr>
        <w:ind w:firstLine="426"/>
        <w:jc w:val="both"/>
        <w:rPr>
          <w:rFonts w:cs="Times New Roman"/>
          <w:szCs w:val="24"/>
        </w:rPr>
      </w:pPr>
      <w:r w:rsidRPr="0061347A">
        <w:rPr>
          <w:rFonts w:cs="Times New Roman"/>
          <w:szCs w:val="24"/>
        </w:rPr>
        <w:t>De manera similar Moriano et al. (2012) concluyeron que no cualquier directivo se encuentra preparado para actuar con autoeficacia y crear un ambiente de trabajo donde los miembros de su equipo se sientan motivados para emprender nuevos proyectos que beneficien a la organización.</w:t>
      </w:r>
    </w:p>
    <w:p w:rsidR="000F53BE" w:rsidRPr="0061347A" w:rsidRDefault="00286BC8" w:rsidP="00286BC8">
      <w:pPr>
        <w:ind w:firstLine="426"/>
        <w:jc w:val="both"/>
        <w:rPr>
          <w:rFonts w:cs="Times New Roman"/>
        </w:rPr>
      </w:pPr>
      <w:r w:rsidRPr="0061347A">
        <w:rPr>
          <w:rFonts w:cs="Times New Roman"/>
          <w:szCs w:val="24"/>
        </w:rPr>
        <w:t xml:space="preserve">Es evidente que </w:t>
      </w:r>
      <w:r w:rsidR="00880647" w:rsidRPr="0061347A">
        <w:rPr>
          <w:rFonts w:cs="Times New Roman"/>
          <w:szCs w:val="24"/>
        </w:rPr>
        <w:t xml:space="preserve">la </w:t>
      </w:r>
      <w:r w:rsidRPr="0061347A">
        <w:rPr>
          <w:rFonts w:cs="Times New Roman"/>
        </w:rPr>
        <w:t>variable</w:t>
      </w:r>
      <w:r w:rsidR="00CE5281" w:rsidRPr="0061347A">
        <w:rPr>
          <w:rFonts w:cs="Times New Roman"/>
        </w:rPr>
        <w:t xml:space="preserve"> latente</w:t>
      </w:r>
      <w:r w:rsidRPr="0061347A">
        <w:rPr>
          <w:rFonts w:cs="Times New Roman"/>
        </w:rPr>
        <w:t xml:space="preserve">, </w:t>
      </w:r>
      <w:r w:rsidR="00880647" w:rsidRPr="0061347A">
        <w:rPr>
          <w:rFonts w:cs="Times New Roman"/>
        </w:rPr>
        <w:t xml:space="preserve">llamado </w:t>
      </w:r>
      <w:r w:rsidR="00880647" w:rsidRPr="0061347A">
        <w:rPr>
          <w:rFonts w:cs="Times New Roman"/>
          <w:szCs w:val="24"/>
        </w:rPr>
        <w:t xml:space="preserve">autoeficacia </w:t>
      </w:r>
      <w:r w:rsidRPr="0061347A">
        <w:rPr>
          <w:rFonts w:cs="Times New Roman"/>
        </w:rPr>
        <w:t xml:space="preserve">(Bandura, 1978), </w:t>
      </w:r>
      <w:r w:rsidR="000F53BE" w:rsidRPr="0061347A">
        <w:rPr>
          <w:rFonts w:cs="Times New Roman"/>
        </w:rPr>
        <w:t xml:space="preserve">puede </w:t>
      </w:r>
      <w:r w:rsidRPr="0061347A">
        <w:rPr>
          <w:rFonts w:cs="Times New Roman"/>
        </w:rPr>
        <w:t>entenderse como</w:t>
      </w:r>
      <w:r w:rsidR="00FC3EDB" w:rsidRPr="0061347A">
        <w:rPr>
          <w:rFonts w:cs="Times New Roman"/>
        </w:rPr>
        <w:t xml:space="preserve"> una</w:t>
      </w:r>
      <w:r w:rsidRPr="0061347A">
        <w:rPr>
          <w:rFonts w:cs="Times New Roman"/>
        </w:rPr>
        <w:t xml:space="preserve"> </w:t>
      </w:r>
      <w:r w:rsidR="00880647" w:rsidRPr="0061347A">
        <w:rPr>
          <w:rFonts w:cs="Times New Roman"/>
        </w:rPr>
        <w:t xml:space="preserve">entidad </w:t>
      </w:r>
      <w:r w:rsidRPr="0061347A">
        <w:rPr>
          <w:rFonts w:cs="Times New Roman"/>
        </w:rPr>
        <w:t>ontológica,</w:t>
      </w:r>
      <w:r w:rsidR="00880647" w:rsidRPr="0061347A">
        <w:rPr>
          <w:rFonts w:cs="Times New Roman"/>
        </w:rPr>
        <w:t xml:space="preserve"> y</w:t>
      </w:r>
      <w:r w:rsidR="000F53BE" w:rsidRPr="0061347A">
        <w:rPr>
          <w:rFonts w:cs="Times New Roman"/>
        </w:rPr>
        <w:t xml:space="preserve"> que </w:t>
      </w:r>
      <w:r w:rsidR="00880647" w:rsidRPr="0061347A">
        <w:rPr>
          <w:rFonts w:cs="Times New Roman"/>
        </w:rPr>
        <w:t xml:space="preserve">por su naturaleza fue estudiado como un constructo conductual </w:t>
      </w:r>
      <w:r w:rsidR="00CE5281" w:rsidRPr="0061347A">
        <w:rPr>
          <w:rFonts w:cs="Times New Roman"/>
        </w:rPr>
        <w:t>(Henseler, 2017)</w:t>
      </w:r>
      <w:r w:rsidR="009A3C80" w:rsidRPr="0061347A">
        <w:rPr>
          <w:rFonts w:cs="Times New Roman"/>
        </w:rPr>
        <w:t>, para predecir toma de decisiones (Rodgers &amp; Brawley, 1996).)</w:t>
      </w:r>
      <w:r w:rsidR="00E82D3D" w:rsidRPr="0061347A">
        <w:rPr>
          <w:rFonts w:cs="Times New Roman"/>
        </w:rPr>
        <w:t xml:space="preserve">. En esa dirección, </w:t>
      </w:r>
      <w:r w:rsidR="000F53BE" w:rsidRPr="0061347A">
        <w:rPr>
          <w:rFonts w:cs="Times New Roman"/>
        </w:rPr>
        <w:t xml:space="preserve">es </w:t>
      </w:r>
      <w:r w:rsidR="00FC3EDB" w:rsidRPr="0061347A">
        <w:rPr>
          <w:rFonts w:cs="Times New Roman"/>
        </w:rPr>
        <w:t>fundamental que recojamos los hilos de</w:t>
      </w:r>
      <w:r w:rsidR="00E82D3D" w:rsidRPr="0061347A">
        <w:rPr>
          <w:rFonts w:cs="Times New Roman"/>
        </w:rPr>
        <w:t>l</w:t>
      </w:r>
      <w:r w:rsidR="00FC3EDB" w:rsidRPr="0061347A">
        <w:rPr>
          <w:rFonts w:cs="Times New Roman"/>
        </w:rPr>
        <w:t xml:space="preserve"> diseño desgastados y los tejamos en nuevos patrones, integrando la sabiduría en un tejido de vida más holístico de la investigación</w:t>
      </w:r>
      <w:r w:rsidR="00E82D3D" w:rsidRPr="0061347A">
        <w:rPr>
          <w:rFonts w:cs="Times New Roman"/>
        </w:rPr>
        <w:t xml:space="preserve"> científica</w:t>
      </w:r>
      <w:r w:rsidR="00FC3EDB" w:rsidRPr="0061347A">
        <w:rPr>
          <w:rFonts w:cs="Times New Roman"/>
        </w:rPr>
        <w:t xml:space="preserve"> </w:t>
      </w:r>
      <w:r w:rsidR="000F53BE" w:rsidRPr="0061347A">
        <w:rPr>
          <w:rFonts w:cs="Times New Roman"/>
        </w:rPr>
        <w:t>(</w:t>
      </w:r>
      <w:r w:rsidR="00073D07" w:rsidRPr="0061347A">
        <w:rPr>
          <w:rFonts w:cs="Times New Roman"/>
        </w:rPr>
        <w:t>Nelson &amp; Stolterman, 2003</w:t>
      </w:r>
      <w:r w:rsidR="000F53BE" w:rsidRPr="0061347A">
        <w:rPr>
          <w:rFonts w:cs="Times New Roman"/>
        </w:rPr>
        <w:t>)</w:t>
      </w:r>
    </w:p>
    <w:p w:rsidR="00E5481B" w:rsidRPr="0061347A" w:rsidRDefault="00AD5892" w:rsidP="007B3359">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R</w:t>
      </w:r>
      <w:r w:rsidR="00E5481B" w:rsidRPr="0061347A">
        <w:rPr>
          <w:rFonts w:cs="Times New Roman"/>
          <w:b/>
          <w:i/>
          <w:szCs w:val="24"/>
        </w:rPr>
        <w:t>entabilidad</w:t>
      </w:r>
    </w:p>
    <w:p w:rsidR="00FE152F" w:rsidRPr="0061347A" w:rsidRDefault="00946CE0" w:rsidP="00B56A8C">
      <w:pPr>
        <w:spacing w:after="0"/>
        <w:ind w:firstLine="426"/>
        <w:jc w:val="both"/>
        <w:rPr>
          <w:rFonts w:cs="Times New Roman"/>
          <w:szCs w:val="24"/>
        </w:rPr>
      </w:pPr>
      <w:r w:rsidRPr="0061347A">
        <w:rPr>
          <w:rFonts w:cs="Times New Roman"/>
          <w:szCs w:val="24"/>
        </w:rPr>
        <w:t>Para Santiesteban (2011) la rentabilidad “es una noción que se aplica a toda acción económica en la que se movilizan medios materiales, humanos y financieros con el fin de obtener resultados”</w:t>
      </w:r>
      <w:r w:rsidR="00445602" w:rsidRPr="0061347A">
        <w:rPr>
          <w:rFonts w:cs="Times New Roman"/>
          <w:szCs w:val="24"/>
        </w:rPr>
        <w:t xml:space="preserve"> (p. 5).</w:t>
      </w:r>
      <w:r w:rsidR="00E371FF" w:rsidRPr="0061347A">
        <w:rPr>
          <w:rFonts w:cs="Times New Roman"/>
          <w:szCs w:val="24"/>
        </w:rPr>
        <w:t xml:space="preserve"> </w:t>
      </w:r>
      <w:r w:rsidR="006E5606" w:rsidRPr="0061347A">
        <w:rPr>
          <w:rFonts w:cs="Times New Roman"/>
          <w:szCs w:val="24"/>
        </w:rPr>
        <w:t>En opinión de varios autores</w:t>
      </w:r>
      <w:r w:rsidR="00D0544B" w:rsidRPr="0061347A">
        <w:rPr>
          <w:rFonts w:cs="Times New Roman"/>
          <w:szCs w:val="24"/>
        </w:rPr>
        <w:t>,</w:t>
      </w:r>
      <w:r w:rsidR="006E5606" w:rsidRPr="0061347A">
        <w:rPr>
          <w:rFonts w:cs="Times New Roman"/>
          <w:szCs w:val="24"/>
        </w:rPr>
        <w:t xml:space="preserve"> ROIC (rendimiento de capital invertido), ROE (rendimiento del </w:t>
      </w:r>
      <w:r w:rsidR="00764E04" w:rsidRPr="0061347A">
        <w:rPr>
          <w:rFonts w:cs="Times New Roman"/>
          <w:szCs w:val="24"/>
        </w:rPr>
        <w:t>patrimonio</w:t>
      </w:r>
      <w:r w:rsidR="006E5606" w:rsidRPr="0061347A">
        <w:rPr>
          <w:rFonts w:cs="Times New Roman"/>
          <w:szCs w:val="24"/>
        </w:rPr>
        <w:t>), ROA (rendimiento de los activos) y EPS (ganancias por acción) son indicadores significativos de la ren</w:t>
      </w:r>
      <w:r w:rsidR="00D0544B" w:rsidRPr="0061347A">
        <w:rPr>
          <w:rFonts w:cs="Times New Roman"/>
          <w:szCs w:val="24"/>
        </w:rPr>
        <w:t>tabilidad (Ameer &amp; Othman, 2012</w:t>
      </w:r>
      <w:r w:rsidR="006E5606" w:rsidRPr="0061347A">
        <w:rPr>
          <w:rFonts w:cs="Times New Roman"/>
          <w:szCs w:val="24"/>
        </w:rPr>
        <w:t>; Luo et al., 2015)</w:t>
      </w:r>
      <w:r w:rsidR="00D0544B" w:rsidRPr="0061347A">
        <w:rPr>
          <w:rFonts w:cs="Times New Roman"/>
          <w:szCs w:val="24"/>
        </w:rPr>
        <w:t xml:space="preserve">. En ese sentido, </w:t>
      </w:r>
      <w:r w:rsidR="00C45E84" w:rsidRPr="0061347A">
        <w:rPr>
          <w:rFonts w:cs="Times New Roman"/>
          <w:szCs w:val="24"/>
        </w:rPr>
        <w:t>Bodhanwala y Bodhanwala (2018) en una investigación empírica utilizaron</w:t>
      </w:r>
      <w:r w:rsidR="00B24390" w:rsidRPr="0061347A">
        <w:rPr>
          <w:rFonts w:cs="Times New Roman"/>
          <w:szCs w:val="24"/>
        </w:rPr>
        <w:t xml:space="preserve"> ROIC, ROE, ROA y EPS para medir </w:t>
      </w:r>
      <w:r w:rsidR="00C45E84" w:rsidRPr="0061347A">
        <w:rPr>
          <w:rFonts w:cs="Times New Roman"/>
          <w:szCs w:val="24"/>
        </w:rPr>
        <w:t xml:space="preserve">desempeño </w:t>
      </w:r>
      <w:r w:rsidR="00445602" w:rsidRPr="0061347A">
        <w:rPr>
          <w:rFonts w:cs="Times New Roman"/>
          <w:szCs w:val="24"/>
        </w:rPr>
        <w:t xml:space="preserve">financiero de </w:t>
      </w:r>
      <w:r w:rsidR="00B24390" w:rsidRPr="0061347A">
        <w:rPr>
          <w:rFonts w:cs="Times New Roman"/>
          <w:szCs w:val="24"/>
        </w:rPr>
        <w:t>las empresas. Donde, retorno sobre el capital invertido (ROIC) es igual al beneficio operativo multiplicado por (1-impuestos) dividido por la deuda total más patrimonio menos efectivo y equivalente de efectivo. Retorno sobre el patrimonio (ROE) es el cociente entre la utilidad neta y el patrimonio de los accionistas. Retorno sobre activos (ROA) es el cociente entre la utilidad neta y los activos totales. Y finalmente, ganancia por acción (EPS) es utilidad neta dividida por el número de acciones en circulación al final del año.</w:t>
      </w:r>
      <w:r w:rsidR="00FE152F" w:rsidRPr="0061347A">
        <w:rPr>
          <w:rFonts w:cs="Times New Roman"/>
          <w:szCs w:val="24"/>
        </w:rPr>
        <w:t xml:space="preserve"> Y todos estos datos se pueden extraer de los Estados Financieros Auditados de las empresas.</w:t>
      </w:r>
    </w:p>
    <w:p w:rsidR="00E5481B" w:rsidRPr="0061347A" w:rsidRDefault="00E5481B" w:rsidP="007B3359">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Gestión del Conocimiento</w:t>
      </w:r>
    </w:p>
    <w:p w:rsidR="000C261D" w:rsidRPr="0061347A" w:rsidRDefault="008B059A" w:rsidP="00F6390F">
      <w:pPr>
        <w:spacing w:after="0"/>
        <w:ind w:firstLine="426"/>
        <w:jc w:val="both"/>
        <w:rPr>
          <w:rFonts w:cs="Times New Roman"/>
          <w:szCs w:val="24"/>
        </w:rPr>
      </w:pPr>
      <w:r w:rsidRPr="0061347A">
        <w:rPr>
          <w:rFonts w:cs="Times New Roman"/>
          <w:szCs w:val="24"/>
        </w:rPr>
        <w:t>Para</w:t>
      </w:r>
      <w:r w:rsidRPr="0061347A">
        <w:rPr>
          <w:rFonts w:cs="Times New Roman"/>
          <w:i/>
          <w:szCs w:val="24"/>
        </w:rPr>
        <w:t xml:space="preserve"> </w:t>
      </w:r>
      <w:r w:rsidRPr="0061347A">
        <w:rPr>
          <w:rFonts w:cs="Times New Roman"/>
          <w:szCs w:val="24"/>
        </w:rPr>
        <w:t>Baiget y Baiget (2016) la gestión de</w:t>
      </w:r>
      <w:r w:rsidR="00F04988" w:rsidRPr="0061347A">
        <w:rPr>
          <w:rFonts w:cs="Times New Roman"/>
          <w:szCs w:val="24"/>
        </w:rPr>
        <w:t>l</w:t>
      </w:r>
      <w:r w:rsidRPr="0061347A">
        <w:rPr>
          <w:rFonts w:cs="Times New Roman"/>
          <w:szCs w:val="24"/>
        </w:rPr>
        <w:t xml:space="preserve"> conocimiento es el “concepto que engloba un amplio conjunto de sistemas y tecnologías que permiten acceder, actualizar y manipular de manera ágil la información y el conocimiento funcional de las áreas de negocio de la empresa…”</w:t>
      </w:r>
      <w:r w:rsidR="00EA6941" w:rsidRPr="0061347A">
        <w:rPr>
          <w:rFonts w:cs="Times New Roman"/>
          <w:szCs w:val="24"/>
        </w:rPr>
        <w:t xml:space="preserve"> (p 236)</w:t>
      </w:r>
      <w:r w:rsidRPr="0061347A">
        <w:rPr>
          <w:rFonts w:cs="Times New Roman"/>
          <w:szCs w:val="24"/>
        </w:rPr>
        <w:t>. De similar manera para Davenport y Prusak (2000)</w:t>
      </w:r>
      <w:r w:rsidR="00EA6941" w:rsidRPr="0061347A">
        <w:rPr>
          <w:rFonts w:cs="Times New Roman"/>
          <w:szCs w:val="24"/>
        </w:rPr>
        <w:t xml:space="preserve"> indicaron que</w:t>
      </w:r>
      <w:r w:rsidRPr="0061347A">
        <w:rPr>
          <w:rFonts w:cs="Times New Roman"/>
          <w:szCs w:val="24"/>
        </w:rPr>
        <w:t xml:space="preserve"> la gestión del conocimiento “es una mezcla fluida de experiencia enmarcada, valores, información contextual y perspicacia experta. ….. En las organizaciones, a menudo se integra no solo en documentos o repositorios, sino también en rutinas, procesos, prácticas y normas organizacionales”</w:t>
      </w:r>
      <w:r w:rsidR="00EA6941" w:rsidRPr="0061347A">
        <w:rPr>
          <w:rFonts w:cs="Times New Roman"/>
          <w:szCs w:val="24"/>
        </w:rPr>
        <w:t xml:space="preserve"> (p 4)</w:t>
      </w:r>
    </w:p>
    <w:p w:rsidR="00C45E84" w:rsidRPr="0061347A" w:rsidRDefault="008B059A" w:rsidP="007B3359">
      <w:pPr>
        <w:ind w:firstLine="426"/>
        <w:jc w:val="both"/>
        <w:rPr>
          <w:rFonts w:cs="Times New Roman"/>
          <w:szCs w:val="24"/>
        </w:rPr>
      </w:pPr>
      <w:r w:rsidRPr="0061347A">
        <w:rPr>
          <w:rFonts w:cs="Times New Roman"/>
          <w:szCs w:val="24"/>
        </w:rPr>
        <w:t xml:space="preserve">Por su parte, </w:t>
      </w:r>
      <w:r w:rsidR="00C45E84" w:rsidRPr="0061347A">
        <w:rPr>
          <w:rFonts w:cs="Times New Roman"/>
          <w:szCs w:val="24"/>
        </w:rPr>
        <w:t>Gold et al. (2001) propusieron una teoría para entender la gestión eficaz del conocimiento desde una perspectiva de las capacidades organizacionales, basados en cuatro procesos: adquisición, conversión, aplicación y protección</w:t>
      </w:r>
      <w:r w:rsidR="001860EA" w:rsidRPr="0061347A">
        <w:rPr>
          <w:rFonts w:cs="Times New Roman"/>
          <w:szCs w:val="24"/>
        </w:rPr>
        <w:t xml:space="preserve"> del conocimiento. </w:t>
      </w:r>
      <w:r w:rsidR="00C45E84" w:rsidRPr="0061347A">
        <w:rPr>
          <w:rFonts w:cs="Times New Roman"/>
          <w:szCs w:val="24"/>
        </w:rPr>
        <w:t>Esta perspectiva sugiere que, para una gestión eficaz del conocimiento</w:t>
      </w:r>
      <w:r w:rsidR="00B350A2" w:rsidRPr="0061347A">
        <w:rPr>
          <w:rFonts w:cs="Times New Roman"/>
          <w:szCs w:val="24"/>
        </w:rPr>
        <w:t xml:space="preserve"> se</w:t>
      </w:r>
      <w:r w:rsidR="00C45E84" w:rsidRPr="0061347A">
        <w:rPr>
          <w:rFonts w:cs="Times New Roman"/>
          <w:szCs w:val="24"/>
        </w:rPr>
        <w:t xml:space="preserve"> debe constar de </w:t>
      </w:r>
      <w:r w:rsidR="00C45E84" w:rsidRPr="0061347A">
        <w:rPr>
          <w:rFonts w:cs="Times New Roman"/>
          <w:szCs w:val="24"/>
        </w:rPr>
        <w:lastRenderedPageBreak/>
        <w:t>infraestructura tecnológica, estructura y una cultura organizacional junto con una arquitectura de conocimiento que incluye los cuatro procesos arriba descritos como capacidades esenciales, considerando que el conocimiento tiene gran potencial de convertirse una ventaja competitiva de la organización (Harmon et al., 2018).</w:t>
      </w:r>
    </w:p>
    <w:p w:rsidR="00B75300" w:rsidRPr="0061347A" w:rsidRDefault="00B75300" w:rsidP="007B3359">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A</w:t>
      </w:r>
      <w:r w:rsidR="00151521" w:rsidRPr="0061347A">
        <w:rPr>
          <w:rFonts w:cs="Times New Roman"/>
          <w:b/>
          <w:i/>
          <w:szCs w:val="24"/>
        </w:rPr>
        <w:t>utoeficacia P</w:t>
      </w:r>
      <w:r w:rsidRPr="0061347A">
        <w:rPr>
          <w:rFonts w:cs="Times New Roman"/>
          <w:b/>
          <w:i/>
          <w:szCs w:val="24"/>
        </w:rPr>
        <w:t xml:space="preserve">rofesional y </w:t>
      </w:r>
      <w:r w:rsidR="002E7597" w:rsidRPr="0061347A">
        <w:rPr>
          <w:rFonts w:cs="Times New Roman"/>
          <w:b/>
          <w:i/>
          <w:szCs w:val="24"/>
        </w:rPr>
        <w:t xml:space="preserve">la </w:t>
      </w:r>
      <w:r w:rsidR="00E5481B" w:rsidRPr="0061347A">
        <w:rPr>
          <w:rFonts w:cs="Times New Roman"/>
          <w:b/>
          <w:i/>
          <w:szCs w:val="24"/>
        </w:rPr>
        <w:t>Rentabilidad</w:t>
      </w:r>
    </w:p>
    <w:p w:rsidR="002415A0" w:rsidRPr="0061347A" w:rsidRDefault="002415A0" w:rsidP="00641D65">
      <w:pPr>
        <w:ind w:firstLine="426"/>
        <w:jc w:val="both"/>
        <w:rPr>
          <w:rFonts w:cs="Times New Roman"/>
          <w:szCs w:val="24"/>
        </w:rPr>
      </w:pPr>
      <w:r w:rsidRPr="0061347A">
        <w:rPr>
          <w:rFonts w:cs="Times New Roman"/>
          <w:szCs w:val="24"/>
        </w:rPr>
        <w:t xml:space="preserve">Lepold et al. (2018) </w:t>
      </w:r>
      <w:r w:rsidR="00C3175A" w:rsidRPr="0061347A">
        <w:rPr>
          <w:rFonts w:cs="Times New Roman"/>
          <w:szCs w:val="24"/>
        </w:rPr>
        <w:t xml:space="preserve">en un estudio a 136 empleados bancarios en Austria, </w:t>
      </w:r>
      <w:r w:rsidR="00C3175A" w:rsidRPr="0061347A">
        <w:t xml:space="preserve">mostraron que la satisfacción laboral se puede predecir mediante la autoeficacia profesional e influir </w:t>
      </w:r>
      <w:r w:rsidRPr="0061347A">
        <w:rPr>
          <w:rFonts w:cs="Times New Roman"/>
          <w:szCs w:val="24"/>
        </w:rPr>
        <w:t>en las expectativas de</w:t>
      </w:r>
      <w:r w:rsidR="003F7C0B" w:rsidRPr="0061347A">
        <w:rPr>
          <w:rFonts w:cs="Times New Roman"/>
          <w:szCs w:val="24"/>
        </w:rPr>
        <w:t xml:space="preserve"> rendimiento financiero </w:t>
      </w:r>
      <w:r w:rsidR="00C3175A" w:rsidRPr="0061347A">
        <w:rPr>
          <w:rFonts w:cs="Times New Roman"/>
          <w:szCs w:val="24"/>
        </w:rPr>
        <w:t>de un banco. De manera similar</w:t>
      </w:r>
      <w:r w:rsidR="00BB2F4C" w:rsidRPr="0061347A">
        <w:rPr>
          <w:rFonts w:cs="Times New Roman"/>
          <w:szCs w:val="24"/>
        </w:rPr>
        <w:t xml:space="preserve">, </w:t>
      </w:r>
      <w:r w:rsidRPr="0061347A">
        <w:rPr>
          <w:rFonts w:cs="Times New Roman"/>
          <w:szCs w:val="24"/>
        </w:rPr>
        <w:t xml:space="preserve">Cassia y Magno (2021) </w:t>
      </w:r>
      <w:r w:rsidR="00BB2F4C" w:rsidRPr="0061347A">
        <w:rPr>
          <w:rFonts w:cs="Times New Roman"/>
          <w:szCs w:val="24"/>
        </w:rPr>
        <w:t xml:space="preserve">encontraron </w:t>
      </w:r>
      <w:r w:rsidRPr="0061347A">
        <w:rPr>
          <w:rFonts w:cs="Times New Roman"/>
          <w:szCs w:val="24"/>
        </w:rPr>
        <w:t>que la autoeficacia de los profesionales</w:t>
      </w:r>
      <w:r w:rsidR="00BB2F4C" w:rsidRPr="0061347A">
        <w:rPr>
          <w:rFonts w:cs="Times New Roman"/>
          <w:szCs w:val="24"/>
        </w:rPr>
        <w:t xml:space="preserve"> tiene </w:t>
      </w:r>
      <w:r w:rsidRPr="0061347A">
        <w:rPr>
          <w:rFonts w:cs="Times New Roman"/>
          <w:szCs w:val="24"/>
        </w:rPr>
        <w:t xml:space="preserve">efectos positivos en los resultados </w:t>
      </w:r>
      <w:r w:rsidR="00BB2F4C" w:rsidRPr="0061347A">
        <w:rPr>
          <w:rFonts w:cs="Times New Roman"/>
          <w:szCs w:val="24"/>
        </w:rPr>
        <w:t xml:space="preserve">financieros </w:t>
      </w:r>
      <w:r w:rsidRPr="0061347A">
        <w:rPr>
          <w:rFonts w:cs="Times New Roman"/>
          <w:szCs w:val="24"/>
        </w:rPr>
        <w:t>de las empresas de servicios profesionales, así como</w:t>
      </w:r>
      <w:r w:rsidR="00BB2F4C" w:rsidRPr="0061347A">
        <w:rPr>
          <w:rFonts w:cs="Times New Roman"/>
          <w:szCs w:val="24"/>
        </w:rPr>
        <w:t xml:space="preserve"> en </w:t>
      </w:r>
      <w:r w:rsidRPr="0061347A">
        <w:rPr>
          <w:rFonts w:cs="Times New Roman"/>
          <w:szCs w:val="24"/>
        </w:rPr>
        <w:t>el rendimiento de los empleados</w:t>
      </w:r>
      <w:r w:rsidR="00BB2F4C" w:rsidRPr="0061347A">
        <w:rPr>
          <w:rFonts w:cs="Times New Roman"/>
          <w:szCs w:val="24"/>
        </w:rPr>
        <w:t xml:space="preserve">. Adicionalmente, </w:t>
      </w:r>
      <w:r w:rsidRPr="0061347A">
        <w:rPr>
          <w:rFonts w:cs="Times New Roman"/>
          <w:szCs w:val="24"/>
        </w:rPr>
        <w:t>Li et al.</w:t>
      </w:r>
      <w:r w:rsidR="00BB2F4C" w:rsidRPr="0061347A">
        <w:rPr>
          <w:rFonts w:cs="Times New Roman"/>
          <w:szCs w:val="24"/>
        </w:rPr>
        <w:t xml:space="preserve"> (</w:t>
      </w:r>
      <w:r w:rsidRPr="0061347A">
        <w:rPr>
          <w:rFonts w:cs="Times New Roman"/>
          <w:szCs w:val="24"/>
        </w:rPr>
        <w:t>2022</w:t>
      </w:r>
      <w:r w:rsidR="00BB2F4C" w:rsidRPr="0061347A">
        <w:rPr>
          <w:rFonts w:cs="Times New Roman"/>
          <w:szCs w:val="24"/>
        </w:rPr>
        <w:t xml:space="preserve">) y </w:t>
      </w:r>
      <w:r w:rsidRPr="0061347A">
        <w:rPr>
          <w:rFonts w:cs="Times New Roman"/>
          <w:szCs w:val="24"/>
        </w:rPr>
        <w:t>Yagil et al.</w:t>
      </w:r>
      <w:r w:rsidR="00BB2F4C" w:rsidRPr="0061347A">
        <w:rPr>
          <w:rFonts w:cs="Times New Roman"/>
          <w:szCs w:val="24"/>
        </w:rPr>
        <w:t xml:space="preserve"> (</w:t>
      </w:r>
      <w:r w:rsidRPr="0061347A">
        <w:rPr>
          <w:rFonts w:cs="Times New Roman"/>
          <w:szCs w:val="24"/>
        </w:rPr>
        <w:t>2023)</w:t>
      </w:r>
      <w:r w:rsidR="00BB2F4C" w:rsidRPr="0061347A">
        <w:rPr>
          <w:rFonts w:cs="Times New Roman"/>
          <w:szCs w:val="24"/>
        </w:rPr>
        <w:t xml:space="preserve"> también encontraron que mejorando la autoeficacia de los empleados se puede mejorar el rendimiento financiero de las empresas.</w:t>
      </w:r>
      <w:r w:rsidR="004E4E5E" w:rsidRPr="0061347A">
        <w:rPr>
          <w:rFonts w:cs="Times New Roman"/>
          <w:szCs w:val="24"/>
        </w:rPr>
        <w:t xml:space="preserve"> </w:t>
      </w:r>
      <w:r w:rsidR="00BB2F4C" w:rsidRPr="0061347A">
        <w:rPr>
          <w:rFonts w:cs="Times New Roman"/>
          <w:szCs w:val="24"/>
        </w:rPr>
        <w:t>Por otro lado,</w:t>
      </w:r>
      <w:r w:rsidR="00CE42C3" w:rsidRPr="0061347A">
        <w:rPr>
          <w:rFonts w:cs="Times New Roman"/>
          <w:szCs w:val="24"/>
        </w:rPr>
        <w:t xml:space="preserve"> </w:t>
      </w:r>
      <w:r w:rsidR="00CE42C3" w:rsidRPr="0061347A">
        <w:t>Fleming</w:t>
      </w:r>
      <w:r w:rsidR="00CE42C3" w:rsidRPr="0061347A">
        <w:rPr>
          <w:rFonts w:cs="Times New Roman"/>
          <w:szCs w:val="24"/>
        </w:rPr>
        <w:t xml:space="preserve"> et al. (2005) demostraron que existe una fuerte correlación positiva entre la autoeficacia de los empleados y el desempeño financiero</w:t>
      </w:r>
      <w:r w:rsidR="004E4E5E" w:rsidRPr="0061347A">
        <w:rPr>
          <w:rFonts w:cs="Times New Roman"/>
          <w:szCs w:val="24"/>
        </w:rPr>
        <w:t>.</w:t>
      </w:r>
    </w:p>
    <w:p w:rsidR="00705EDB" w:rsidRPr="0061347A" w:rsidRDefault="00223340" w:rsidP="005763A0">
      <w:pPr>
        <w:spacing w:after="0" w:line="240" w:lineRule="auto"/>
        <w:jc w:val="both"/>
        <w:rPr>
          <w:rFonts w:cs="Times New Roman"/>
          <w:szCs w:val="24"/>
        </w:rPr>
      </w:pPr>
      <w:r w:rsidRPr="0061347A">
        <w:rPr>
          <w:rFonts w:cs="Times New Roman"/>
          <w:szCs w:val="24"/>
        </w:rPr>
        <w:t>H1: La autoeficacia profesional tiene una relación positiva con la rentabilidad empresarial.</w:t>
      </w:r>
    </w:p>
    <w:p w:rsidR="00223340" w:rsidRPr="0061347A" w:rsidRDefault="00223340" w:rsidP="005763A0">
      <w:pPr>
        <w:spacing w:after="0" w:line="240" w:lineRule="auto"/>
        <w:jc w:val="both"/>
        <w:rPr>
          <w:rFonts w:cs="Times New Roman"/>
          <w:szCs w:val="24"/>
        </w:rPr>
      </w:pPr>
    </w:p>
    <w:p w:rsidR="00B75300" w:rsidRPr="0061347A" w:rsidRDefault="00B75300" w:rsidP="00B346B1">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 xml:space="preserve">Autoeficacia </w:t>
      </w:r>
      <w:r w:rsidR="004B1FBC" w:rsidRPr="0061347A">
        <w:rPr>
          <w:rFonts w:cs="Times New Roman"/>
          <w:b/>
          <w:i/>
          <w:szCs w:val="24"/>
        </w:rPr>
        <w:t>P</w:t>
      </w:r>
      <w:r w:rsidRPr="0061347A">
        <w:rPr>
          <w:rFonts w:cs="Times New Roman"/>
          <w:b/>
          <w:i/>
          <w:szCs w:val="24"/>
        </w:rPr>
        <w:t xml:space="preserve">rofesional y la </w:t>
      </w:r>
      <w:r w:rsidR="004B1FBC" w:rsidRPr="0061347A">
        <w:rPr>
          <w:rFonts w:cs="Times New Roman"/>
          <w:b/>
          <w:i/>
          <w:szCs w:val="24"/>
        </w:rPr>
        <w:t>G</w:t>
      </w:r>
      <w:r w:rsidRPr="0061347A">
        <w:rPr>
          <w:rFonts w:cs="Times New Roman"/>
          <w:b/>
          <w:i/>
          <w:szCs w:val="24"/>
        </w:rPr>
        <w:t xml:space="preserve">estión del </w:t>
      </w:r>
      <w:r w:rsidR="004B1FBC" w:rsidRPr="0061347A">
        <w:rPr>
          <w:rFonts w:cs="Times New Roman"/>
          <w:b/>
          <w:i/>
          <w:szCs w:val="24"/>
        </w:rPr>
        <w:t>C</w:t>
      </w:r>
      <w:r w:rsidRPr="0061347A">
        <w:rPr>
          <w:rFonts w:cs="Times New Roman"/>
          <w:b/>
          <w:i/>
          <w:szCs w:val="24"/>
        </w:rPr>
        <w:t>onocimiento</w:t>
      </w:r>
    </w:p>
    <w:p w:rsidR="00E55AFE" w:rsidRPr="0061347A" w:rsidRDefault="003B6C77" w:rsidP="00641D65">
      <w:pPr>
        <w:ind w:firstLine="426"/>
        <w:jc w:val="both"/>
        <w:rPr>
          <w:rFonts w:cs="Times New Roman"/>
          <w:szCs w:val="24"/>
        </w:rPr>
      </w:pPr>
      <w:r w:rsidRPr="0061347A">
        <w:t xml:space="preserve">La </w:t>
      </w:r>
      <w:r w:rsidRPr="0061347A">
        <w:rPr>
          <w:rFonts w:cs="Times New Roman"/>
          <w:szCs w:val="24"/>
        </w:rPr>
        <w:t>evidencia</w:t>
      </w:r>
      <w:r w:rsidRPr="0061347A">
        <w:t xml:space="preserve"> empírica de la investigación que hicieran Zhao et al. (2021) mostró que la autoeficacia profesional y </w:t>
      </w:r>
      <w:r w:rsidR="000C20B2" w:rsidRPr="0061347A">
        <w:t xml:space="preserve">la </w:t>
      </w:r>
      <w:r w:rsidRPr="0061347A">
        <w:t>motivación interna del personal influye positivamente en la gestión del conocimiento</w:t>
      </w:r>
      <w:r w:rsidR="00AD598C" w:rsidRPr="0061347A">
        <w:t>,</w:t>
      </w:r>
      <w:r w:rsidRPr="0061347A">
        <w:t xml:space="preserve"> desde el punto de vista de </w:t>
      </w:r>
      <w:r w:rsidR="00AD598C" w:rsidRPr="0061347A">
        <w:t xml:space="preserve">la </w:t>
      </w:r>
      <w:r w:rsidRPr="0061347A">
        <w:t>transferencia</w:t>
      </w:r>
      <w:r w:rsidR="00DC59EE" w:rsidRPr="0061347A">
        <w:t xml:space="preserve"> del mismo</w:t>
      </w:r>
      <w:r w:rsidRPr="0061347A">
        <w:t xml:space="preserve">. </w:t>
      </w:r>
      <w:r w:rsidR="00553934" w:rsidRPr="0061347A">
        <w:rPr>
          <w:rFonts w:cs="Times New Roman"/>
          <w:szCs w:val="24"/>
        </w:rPr>
        <w:t xml:space="preserve">Sin embargo, pocos estudios han examinado cómo el nuevo conocimiento especializado desde fuera de los límites de las organizaciones afecta el rendimiento y </w:t>
      </w:r>
      <w:r w:rsidR="00553934" w:rsidRPr="0061347A">
        <w:t xml:space="preserve">puede influir en la creación de valor a través de mecanismos psicológicos, es decir, actuando sobre la autoeficacia de los profesionales </w:t>
      </w:r>
      <w:r w:rsidR="00553934" w:rsidRPr="0061347A">
        <w:rPr>
          <w:rFonts w:cs="Times New Roman"/>
          <w:szCs w:val="24"/>
        </w:rPr>
        <w:t>(Siahtiri et al., 2020)</w:t>
      </w:r>
      <w:r w:rsidR="00AD598C" w:rsidRPr="0061347A">
        <w:rPr>
          <w:rFonts w:cs="Times New Roman"/>
          <w:szCs w:val="24"/>
        </w:rPr>
        <w:t>. P</w:t>
      </w:r>
      <w:r w:rsidR="00553934" w:rsidRPr="0061347A">
        <w:rPr>
          <w:rFonts w:cs="Times New Roman"/>
          <w:szCs w:val="24"/>
        </w:rPr>
        <w:t>or su parte Bandura (1978) mencionó que fortalecer la autoeficacia de los profesionales y el contenido de las fuentes externas de conocimiento debe</w:t>
      </w:r>
      <w:r w:rsidR="005078A1" w:rsidRPr="0061347A">
        <w:rPr>
          <w:rFonts w:cs="Times New Roman"/>
          <w:szCs w:val="24"/>
        </w:rPr>
        <w:t>n</w:t>
      </w:r>
      <w:r w:rsidR="00553934" w:rsidRPr="0061347A">
        <w:rPr>
          <w:rFonts w:cs="Times New Roman"/>
          <w:szCs w:val="24"/>
        </w:rPr>
        <w:t xml:space="preserve"> mitigar el ef</w:t>
      </w:r>
      <w:r w:rsidR="00F45A85" w:rsidRPr="0061347A">
        <w:rPr>
          <w:rFonts w:cs="Times New Roman"/>
          <w:szCs w:val="24"/>
        </w:rPr>
        <w:t>ecto de las creencias negativas en las organizaciones.</w:t>
      </w:r>
    </w:p>
    <w:p w:rsidR="009C75C5" w:rsidRPr="0061347A" w:rsidRDefault="00C142CB" w:rsidP="002415A0">
      <w:pPr>
        <w:spacing w:line="240" w:lineRule="auto"/>
        <w:jc w:val="both"/>
        <w:rPr>
          <w:rFonts w:cs="Times New Roman"/>
          <w:szCs w:val="24"/>
        </w:rPr>
      </w:pPr>
      <w:r w:rsidRPr="0061347A">
        <w:rPr>
          <w:rFonts w:cs="Times New Roman"/>
          <w:szCs w:val="24"/>
        </w:rPr>
        <w:t>H2: La autoeficacia profesional tiene una relación positiva con la gestión del conocimiento</w:t>
      </w:r>
    </w:p>
    <w:p w:rsidR="00B75300" w:rsidRPr="0061347A" w:rsidRDefault="00B75300" w:rsidP="00183B6B">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 xml:space="preserve">Gestión del </w:t>
      </w:r>
      <w:r w:rsidR="004D5052" w:rsidRPr="0061347A">
        <w:rPr>
          <w:rFonts w:cs="Times New Roman"/>
          <w:b/>
          <w:i/>
          <w:szCs w:val="24"/>
        </w:rPr>
        <w:t>C</w:t>
      </w:r>
      <w:r w:rsidRPr="0061347A">
        <w:rPr>
          <w:rFonts w:cs="Times New Roman"/>
          <w:b/>
          <w:i/>
          <w:szCs w:val="24"/>
        </w:rPr>
        <w:t xml:space="preserve">onocimiento y la </w:t>
      </w:r>
      <w:r w:rsidR="004D5052" w:rsidRPr="0061347A">
        <w:rPr>
          <w:rFonts w:cs="Times New Roman"/>
          <w:b/>
          <w:i/>
          <w:szCs w:val="24"/>
        </w:rPr>
        <w:t>R</w:t>
      </w:r>
      <w:r w:rsidR="005A0D44" w:rsidRPr="0061347A">
        <w:rPr>
          <w:rFonts w:cs="Times New Roman"/>
          <w:b/>
          <w:i/>
          <w:szCs w:val="24"/>
        </w:rPr>
        <w:t>entabilidad</w:t>
      </w:r>
    </w:p>
    <w:p w:rsidR="00603E5D" w:rsidRPr="0061347A" w:rsidRDefault="003F5BAA" w:rsidP="00641D65">
      <w:pPr>
        <w:spacing w:after="0"/>
        <w:ind w:firstLine="426"/>
        <w:jc w:val="both"/>
        <w:rPr>
          <w:rFonts w:cs="Times New Roman"/>
          <w:szCs w:val="24"/>
        </w:rPr>
      </w:pPr>
      <w:r w:rsidRPr="0061347A">
        <w:rPr>
          <w:rFonts w:cs="Times New Roman"/>
          <w:szCs w:val="24"/>
        </w:rPr>
        <w:t xml:space="preserve">Existen estudios que encontraron que la </w:t>
      </w:r>
      <w:r w:rsidRPr="0061347A">
        <w:t>gestión</w:t>
      </w:r>
      <w:r w:rsidRPr="0061347A">
        <w:rPr>
          <w:rFonts w:cs="Times New Roman"/>
          <w:szCs w:val="24"/>
        </w:rPr>
        <w:t xml:space="preserve"> del conocimiento genera </w:t>
      </w:r>
      <w:r w:rsidR="00AD598C" w:rsidRPr="0061347A">
        <w:rPr>
          <w:rFonts w:cs="Times New Roman"/>
          <w:szCs w:val="24"/>
        </w:rPr>
        <w:t xml:space="preserve">ganancias a las empresas y que </w:t>
      </w:r>
      <w:r w:rsidR="005078A1" w:rsidRPr="0061347A">
        <w:rPr>
          <w:rFonts w:cs="Times New Roman"/>
          <w:szCs w:val="24"/>
        </w:rPr>
        <w:t xml:space="preserve">se </w:t>
      </w:r>
      <w:r w:rsidRPr="0061347A">
        <w:rPr>
          <w:rFonts w:cs="Times New Roman"/>
          <w:szCs w:val="24"/>
        </w:rPr>
        <w:t>requieren habilidades especiales para su gestión y que</w:t>
      </w:r>
      <w:r w:rsidR="004D5052" w:rsidRPr="0061347A">
        <w:rPr>
          <w:rFonts w:cs="Times New Roman"/>
          <w:szCs w:val="24"/>
        </w:rPr>
        <w:t xml:space="preserve">, por ende, </w:t>
      </w:r>
      <w:r w:rsidRPr="0061347A">
        <w:rPr>
          <w:rFonts w:cs="Times New Roman"/>
          <w:szCs w:val="24"/>
        </w:rPr>
        <w:t>el descuido en gestionarlo podría generar ingentes pérdidas (</w:t>
      </w:r>
      <w:r w:rsidR="00556B98" w:rsidRPr="0061347A">
        <w:rPr>
          <w:rFonts w:cs="Times New Roman"/>
          <w:szCs w:val="24"/>
        </w:rPr>
        <w:t xml:space="preserve">Alavi et al., 2005; </w:t>
      </w:r>
      <w:r w:rsidRPr="0061347A">
        <w:rPr>
          <w:rFonts w:cs="Times New Roman"/>
          <w:szCs w:val="24"/>
        </w:rPr>
        <w:t>Clauss et al., 2020; Hock-Doepgen et al., 2021; Snihur &amp; Wiklund, 2019; Teece, 2007; Teece, 2018;</w:t>
      </w:r>
      <w:r w:rsidR="00556B98" w:rsidRPr="0061347A">
        <w:rPr>
          <w:rFonts w:cs="Times New Roman"/>
          <w:szCs w:val="24"/>
        </w:rPr>
        <w:t xml:space="preserve"> Murtza et al., 2020; Siebert &amp; Zubanov, 2009; </w:t>
      </w:r>
      <w:r w:rsidRPr="0061347A">
        <w:rPr>
          <w:rFonts w:cs="Times New Roman"/>
          <w:szCs w:val="24"/>
        </w:rPr>
        <w:t>Velu, 2015</w:t>
      </w:r>
      <w:r w:rsidR="00556B98" w:rsidRPr="0061347A">
        <w:rPr>
          <w:rFonts w:cs="Times New Roman"/>
          <w:szCs w:val="24"/>
        </w:rPr>
        <w:t>; Valentim et al., 2016</w:t>
      </w:r>
      <w:r w:rsidRPr="0061347A">
        <w:rPr>
          <w:rFonts w:cs="Times New Roman"/>
          <w:szCs w:val="24"/>
        </w:rPr>
        <w:t>).</w:t>
      </w:r>
      <w:r w:rsidR="00603E5D" w:rsidRPr="0061347A">
        <w:rPr>
          <w:rFonts w:cs="Times New Roman"/>
          <w:szCs w:val="24"/>
        </w:rPr>
        <w:t xml:space="preserve"> Adicionalmente, varios estudios muestran que la gestión del conocimiento incrementa el valor de las empresas (Amit &amp; Han, 2017; Clauss et al., 2020; Gold et al., 2001; Hock-Doepgen et al., 2021; Teece &amp; Leih, 2016). Pero</w:t>
      </w:r>
      <w:r w:rsidR="00AD598C" w:rsidRPr="0061347A">
        <w:rPr>
          <w:rFonts w:cs="Times New Roman"/>
          <w:szCs w:val="24"/>
        </w:rPr>
        <w:t xml:space="preserve">, todavía existen vacíos en el entendimiento del efecto de la gestión del conocimiento en la rentabilidad, por lo que </w:t>
      </w:r>
      <w:r w:rsidR="00603E5D" w:rsidRPr="0061347A">
        <w:rPr>
          <w:rFonts w:cs="Times New Roman"/>
          <w:szCs w:val="24"/>
        </w:rPr>
        <w:t xml:space="preserve">varios autores recomendaron profundizar el conocimiento sobre los procesos y la gestión </w:t>
      </w:r>
      <w:r w:rsidR="00B67F5A" w:rsidRPr="0061347A">
        <w:rPr>
          <w:rFonts w:cs="Times New Roman"/>
          <w:szCs w:val="24"/>
        </w:rPr>
        <w:t xml:space="preserve">integral </w:t>
      </w:r>
      <w:r w:rsidR="00603E5D" w:rsidRPr="0061347A">
        <w:rPr>
          <w:rFonts w:cs="Times New Roman"/>
          <w:szCs w:val="24"/>
        </w:rPr>
        <w:t xml:space="preserve">del conocimiento (Amit &amp; Zott, 2015; Choo, 2013; Hock-Doepgen et al., 2021; </w:t>
      </w:r>
      <w:r w:rsidR="00603E5D" w:rsidRPr="0061347A">
        <w:rPr>
          <w:rFonts w:cs="Times New Roman"/>
          <w:szCs w:val="24"/>
        </w:rPr>
        <w:lastRenderedPageBreak/>
        <w:t xml:space="preserve">Snihur &amp; Wiklund, 2019; Teece, 2007; Teece, 2018; Teece &amp; Leih, 2016; Teece &amp; Linden, 2017). </w:t>
      </w:r>
    </w:p>
    <w:p w:rsidR="001E3748" w:rsidRPr="0061347A" w:rsidRDefault="001E3748" w:rsidP="00641D65">
      <w:pPr>
        <w:spacing w:after="0"/>
        <w:ind w:firstLine="426"/>
        <w:jc w:val="both"/>
        <w:rPr>
          <w:rFonts w:cs="Times New Roman"/>
          <w:szCs w:val="24"/>
        </w:rPr>
      </w:pPr>
    </w:p>
    <w:p w:rsidR="001E3748" w:rsidRPr="0061347A" w:rsidRDefault="001E3748" w:rsidP="002415A0">
      <w:pPr>
        <w:spacing w:line="240" w:lineRule="auto"/>
        <w:jc w:val="both"/>
        <w:rPr>
          <w:rFonts w:cs="Times New Roman"/>
          <w:szCs w:val="24"/>
        </w:rPr>
      </w:pPr>
      <w:r w:rsidRPr="0061347A">
        <w:rPr>
          <w:rFonts w:cs="Times New Roman"/>
          <w:szCs w:val="24"/>
        </w:rPr>
        <w:t>H3: La gestión del conocimiento tiene una relación positiva con la rentabilidad corporativa.</w:t>
      </w:r>
    </w:p>
    <w:p w:rsidR="00B75300" w:rsidRPr="0061347A" w:rsidRDefault="00B75300" w:rsidP="00E15D3D">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Autoeficacia profesional, rentabilidad de las empresas y la gestión del conocimiento</w:t>
      </w:r>
    </w:p>
    <w:p w:rsidR="002415A0" w:rsidRPr="0061347A" w:rsidRDefault="002415A0" w:rsidP="00437102">
      <w:pPr>
        <w:spacing w:after="0"/>
        <w:ind w:firstLine="426"/>
        <w:jc w:val="both"/>
        <w:rPr>
          <w:rFonts w:cs="Times New Roman"/>
          <w:szCs w:val="24"/>
        </w:rPr>
      </w:pPr>
      <w:r w:rsidRPr="0061347A">
        <w:rPr>
          <w:rFonts w:cs="Times New Roman"/>
          <w:szCs w:val="24"/>
        </w:rPr>
        <w:t>Cassia y Magno (2021) sug</w:t>
      </w:r>
      <w:r w:rsidR="001552A6" w:rsidRPr="0061347A">
        <w:rPr>
          <w:rFonts w:cs="Times New Roman"/>
          <w:szCs w:val="24"/>
        </w:rPr>
        <w:t xml:space="preserve">irieron </w:t>
      </w:r>
      <w:r w:rsidRPr="0061347A">
        <w:rPr>
          <w:rFonts w:cs="Times New Roman"/>
          <w:szCs w:val="24"/>
        </w:rPr>
        <w:t xml:space="preserve">ampliar la investigación </w:t>
      </w:r>
      <w:r w:rsidR="001552A6" w:rsidRPr="0061347A">
        <w:rPr>
          <w:rFonts w:cs="Times New Roman"/>
          <w:szCs w:val="24"/>
        </w:rPr>
        <w:t xml:space="preserve">que estudió el impacto de </w:t>
      </w:r>
      <w:r w:rsidRPr="0061347A">
        <w:rPr>
          <w:rFonts w:cs="Times New Roman"/>
          <w:szCs w:val="24"/>
        </w:rPr>
        <w:t>la autoeficacia profesional en la rentabilidad de las empresas basado en el conocimiento externo</w:t>
      </w:r>
      <w:r w:rsidR="00EF11D1" w:rsidRPr="0061347A">
        <w:rPr>
          <w:rFonts w:cs="Times New Roman"/>
          <w:szCs w:val="24"/>
        </w:rPr>
        <w:t>, proveniente vía redes sociales</w:t>
      </w:r>
      <w:r w:rsidRPr="0061347A">
        <w:rPr>
          <w:rFonts w:cs="Times New Roman"/>
          <w:szCs w:val="24"/>
        </w:rPr>
        <w:t>. En ese sentido, Idrees et al. (2023) demostraron que la gestión del conocimiento influye positivamente e</w:t>
      </w:r>
      <w:r w:rsidR="00C52019" w:rsidRPr="0061347A">
        <w:rPr>
          <w:rFonts w:cs="Times New Roman"/>
          <w:szCs w:val="24"/>
        </w:rPr>
        <w:t>n el rendimiento organizacional</w:t>
      </w:r>
      <w:r w:rsidRPr="0061347A">
        <w:rPr>
          <w:rFonts w:cs="Times New Roman"/>
          <w:szCs w:val="24"/>
        </w:rPr>
        <w:t>. Por lo mencionado anteriormente, se puede inferir que la gestión del conocimiento</w:t>
      </w:r>
      <w:r w:rsidR="001552A6" w:rsidRPr="0061347A">
        <w:rPr>
          <w:rFonts w:cs="Times New Roman"/>
          <w:szCs w:val="24"/>
        </w:rPr>
        <w:t xml:space="preserve"> podría jugar un </w:t>
      </w:r>
      <w:r w:rsidRPr="0061347A">
        <w:rPr>
          <w:rFonts w:cs="Times New Roman"/>
          <w:szCs w:val="24"/>
        </w:rPr>
        <w:t xml:space="preserve">efecto mediador </w:t>
      </w:r>
      <w:r w:rsidR="001552A6" w:rsidRPr="0061347A">
        <w:rPr>
          <w:rFonts w:cs="Times New Roman"/>
          <w:szCs w:val="24"/>
        </w:rPr>
        <w:t xml:space="preserve">en la relación entre la </w:t>
      </w:r>
      <w:r w:rsidRPr="0061347A">
        <w:rPr>
          <w:rFonts w:cs="Times New Roman"/>
          <w:szCs w:val="24"/>
        </w:rPr>
        <w:t>autoeficacia profesional y la rentabilidad de las empresas. Por lo tanto, se plantea la siguiente hipótesis principal:</w:t>
      </w:r>
    </w:p>
    <w:p w:rsidR="00556B98" w:rsidRPr="0061347A" w:rsidRDefault="00556B98" w:rsidP="002415A0">
      <w:pPr>
        <w:spacing w:after="0"/>
        <w:ind w:firstLine="426"/>
        <w:jc w:val="both"/>
        <w:rPr>
          <w:rFonts w:cs="Times New Roman"/>
          <w:szCs w:val="24"/>
        </w:rPr>
      </w:pPr>
    </w:p>
    <w:p w:rsidR="009E792D" w:rsidRPr="0061347A" w:rsidRDefault="009E792D" w:rsidP="007B3359">
      <w:pPr>
        <w:spacing w:line="240" w:lineRule="auto"/>
        <w:jc w:val="both"/>
        <w:rPr>
          <w:rFonts w:cs="Times New Roman"/>
          <w:szCs w:val="24"/>
        </w:rPr>
      </w:pPr>
      <w:r w:rsidRPr="0061347A">
        <w:rPr>
          <w:rFonts w:cs="Times New Roman"/>
          <w:szCs w:val="24"/>
        </w:rPr>
        <w:t>H4: La gestión del conocimiento tiene un efecto mediador en la relación entre la autoeficacia profesional y la rentabilidad corporativa.</w:t>
      </w:r>
    </w:p>
    <w:p w:rsidR="009E792D" w:rsidRPr="0061347A" w:rsidRDefault="009E792D" w:rsidP="007B3359">
      <w:pPr>
        <w:spacing w:line="240" w:lineRule="auto"/>
        <w:jc w:val="both"/>
        <w:rPr>
          <w:rFonts w:cs="Times New Roman"/>
          <w:szCs w:val="24"/>
        </w:rPr>
      </w:pPr>
    </w:p>
    <w:p w:rsidR="00C97F0A" w:rsidRPr="0061347A" w:rsidRDefault="005E24FE" w:rsidP="007B3359">
      <w:pPr>
        <w:pStyle w:val="Ttulo2"/>
        <w:numPr>
          <w:ilvl w:val="0"/>
          <w:numId w:val="3"/>
        </w:numPr>
        <w:spacing w:before="0" w:line="240" w:lineRule="auto"/>
        <w:ind w:left="426" w:hanging="426"/>
        <w:rPr>
          <w:rFonts w:cs="Times New Roman"/>
          <w:sz w:val="26"/>
        </w:rPr>
      </w:pPr>
      <w:r w:rsidRPr="0061347A">
        <w:rPr>
          <w:rFonts w:cs="Times New Roman"/>
          <w:sz w:val="26"/>
        </w:rPr>
        <w:t>Metodología</w:t>
      </w:r>
    </w:p>
    <w:p w:rsidR="004D03E2" w:rsidRPr="0061347A" w:rsidRDefault="004D03E2" w:rsidP="004D03E2">
      <w:pPr>
        <w:spacing w:after="0"/>
      </w:pPr>
    </w:p>
    <w:p w:rsidR="006B634B" w:rsidRPr="0061347A" w:rsidRDefault="00E078EA" w:rsidP="00F2078E">
      <w:pPr>
        <w:pStyle w:val="Prrafodelista"/>
        <w:numPr>
          <w:ilvl w:val="1"/>
          <w:numId w:val="3"/>
        </w:numPr>
        <w:spacing w:after="0" w:line="240" w:lineRule="auto"/>
        <w:ind w:left="426" w:hanging="426"/>
        <w:rPr>
          <w:b/>
          <w:i/>
          <w:szCs w:val="24"/>
        </w:rPr>
      </w:pPr>
      <w:r w:rsidRPr="0061347A">
        <w:rPr>
          <w:b/>
          <w:i/>
          <w:szCs w:val="24"/>
        </w:rPr>
        <w:t>Población e Instrumentos de Investigación</w:t>
      </w:r>
    </w:p>
    <w:p w:rsidR="00A94A11" w:rsidRPr="0061347A" w:rsidRDefault="00A94A11" w:rsidP="00A94A11">
      <w:pPr>
        <w:pStyle w:val="Prrafodelista"/>
        <w:spacing w:after="0" w:line="240" w:lineRule="auto"/>
        <w:ind w:left="426"/>
        <w:rPr>
          <w:b/>
          <w:i/>
          <w:szCs w:val="24"/>
        </w:rPr>
      </w:pPr>
    </w:p>
    <w:p w:rsidR="0044178D" w:rsidRPr="0061347A" w:rsidRDefault="00A94A11" w:rsidP="0044178D">
      <w:pPr>
        <w:spacing w:after="0" w:line="240" w:lineRule="auto"/>
        <w:ind w:left="426"/>
        <w:rPr>
          <w:b/>
          <w:i/>
          <w:szCs w:val="24"/>
        </w:rPr>
      </w:pPr>
      <w:r w:rsidRPr="0061347A">
        <w:rPr>
          <w:b/>
          <w:i/>
          <w:szCs w:val="24"/>
        </w:rPr>
        <w:t>Participantes en el estudio.</w:t>
      </w:r>
    </w:p>
    <w:p w:rsidR="00815F00" w:rsidRPr="0061347A" w:rsidRDefault="00E41478" w:rsidP="00641D65">
      <w:pPr>
        <w:spacing w:after="0"/>
        <w:ind w:firstLine="426"/>
        <w:jc w:val="both"/>
        <w:rPr>
          <w:rFonts w:cs="Times New Roman"/>
          <w:szCs w:val="24"/>
        </w:rPr>
      </w:pPr>
      <w:r w:rsidRPr="0061347A">
        <w:rPr>
          <w:rFonts w:cs="Times New Roman"/>
          <w:szCs w:val="24"/>
        </w:rPr>
        <w:t>Los investigadores suelen utilizar dos enfoques para estimar modelos de ecuaciones estructurales. Uno de ellos es PLS (Hair</w:t>
      </w:r>
      <w:r w:rsidR="0001205A" w:rsidRPr="0061347A">
        <w:rPr>
          <w:rFonts w:cs="Times New Roman"/>
          <w:szCs w:val="24"/>
        </w:rPr>
        <w:t xml:space="preserve"> et al., </w:t>
      </w:r>
      <w:r w:rsidRPr="0061347A">
        <w:rPr>
          <w:rFonts w:cs="Times New Roman"/>
          <w:szCs w:val="24"/>
        </w:rPr>
        <w:t>2017). Ambos</w:t>
      </w:r>
      <w:r w:rsidR="00DD3367" w:rsidRPr="0061347A">
        <w:rPr>
          <w:rFonts w:cs="Times New Roman"/>
          <w:szCs w:val="24"/>
        </w:rPr>
        <w:t xml:space="preserve"> métodos buscan estimar </w:t>
      </w:r>
      <w:r w:rsidRPr="0061347A">
        <w:rPr>
          <w:rFonts w:cs="Times New Roman"/>
          <w:szCs w:val="24"/>
        </w:rPr>
        <w:t>relaciones entre constructos e indicadores,</w:t>
      </w:r>
      <w:r w:rsidR="00DD3367" w:rsidRPr="0061347A">
        <w:rPr>
          <w:rFonts w:cs="Times New Roman"/>
          <w:szCs w:val="24"/>
        </w:rPr>
        <w:t xml:space="preserve"> pero </w:t>
      </w:r>
      <w:r w:rsidRPr="0061347A">
        <w:rPr>
          <w:rFonts w:cs="Times New Roman"/>
          <w:szCs w:val="24"/>
        </w:rPr>
        <w:t>difieren fundamentalmente en sus concepciones estadísticas</w:t>
      </w:r>
      <w:r w:rsidR="00D168C2" w:rsidRPr="0061347A">
        <w:rPr>
          <w:rFonts w:cs="Times New Roman"/>
          <w:szCs w:val="24"/>
        </w:rPr>
        <w:t>. Además, PLS siempre sigue un enfoque de modelo compuesto. Es decir, independientemente de si los modelos de medición son reflexivos o formativos, PLS siempre calcula variables compuestas a partir de con</w:t>
      </w:r>
      <w:r w:rsidR="000535AF" w:rsidRPr="0061347A">
        <w:rPr>
          <w:rFonts w:cs="Times New Roman"/>
          <w:szCs w:val="24"/>
        </w:rPr>
        <w:t xml:space="preserve">juntos de variables indicadoras </w:t>
      </w:r>
      <w:r w:rsidRPr="0061347A">
        <w:rPr>
          <w:rFonts w:cs="Times New Roman"/>
          <w:szCs w:val="24"/>
        </w:rPr>
        <w:t>(</w:t>
      </w:r>
      <w:r w:rsidR="00DD3367" w:rsidRPr="0061347A">
        <w:rPr>
          <w:rFonts w:cs="Times New Roman"/>
          <w:szCs w:val="24"/>
        </w:rPr>
        <w:t>Sarstedt et al., 2016</w:t>
      </w:r>
      <w:r w:rsidRPr="0061347A">
        <w:rPr>
          <w:rFonts w:cs="Times New Roman"/>
          <w:szCs w:val="24"/>
        </w:rPr>
        <w:t>).</w:t>
      </w:r>
    </w:p>
    <w:p w:rsidR="00E56423" w:rsidRPr="0061347A" w:rsidRDefault="00842E9B" w:rsidP="00641D65">
      <w:pPr>
        <w:spacing w:after="0"/>
        <w:ind w:firstLine="426"/>
        <w:jc w:val="both"/>
        <w:rPr>
          <w:rFonts w:cs="Times New Roman"/>
          <w:szCs w:val="24"/>
        </w:rPr>
      </w:pPr>
      <w:r w:rsidRPr="0061347A">
        <w:rPr>
          <w:rFonts w:cs="Times New Roman"/>
          <w:szCs w:val="24"/>
        </w:rPr>
        <w:t xml:space="preserve">Este </w:t>
      </w:r>
      <w:r w:rsidRPr="0061347A">
        <w:rPr>
          <w:rFonts w:cs="Times New Roman"/>
        </w:rPr>
        <w:t>estudio</w:t>
      </w:r>
      <w:r w:rsidRPr="0061347A">
        <w:rPr>
          <w:rFonts w:cs="Times New Roman"/>
          <w:szCs w:val="24"/>
        </w:rPr>
        <w:t>,</w:t>
      </w:r>
      <w:r w:rsidR="00AD4F9A" w:rsidRPr="0061347A">
        <w:rPr>
          <w:rFonts w:cs="Times New Roman"/>
          <w:szCs w:val="24"/>
        </w:rPr>
        <w:t xml:space="preserve"> </w:t>
      </w:r>
      <w:r w:rsidR="00B21FB4" w:rsidRPr="0061347A">
        <w:rPr>
          <w:rFonts w:cs="Times New Roman"/>
          <w:szCs w:val="24"/>
        </w:rPr>
        <w:t xml:space="preserve">analizó </w:t>
      </w:r>
      <w:r w:rsidRPr="0061347A">
        <w:rPr>
          <w:rFonts w:cs="Times New Roman"/>
          <w:szCs w:val="24"/>
        </w:rPr>
        <w:t>el efecto mediador de la gestión de</w:t>
      </w:r>
      <w:r w:rsidR="00224A86" w:rsidRPr="0061347A">
        <w:rPr>
          <w:rFonts w:cs="Times New Roman"/>
          <w:szCs w:val="24"/>
        </w:rPr>
        <w:t>l</w:t>
      </w:r>
      <w:r w:rsidRPr="0061347A">
        <w:rPr>
          <w:rFonts w:cs="Times New Roman"/>
          <w:szCs w:val="24"/>
        </w:rPr>
        <w:t xml:space="preserve"> conocimiento en la relación </w:t>
      </w:r>
      <w:r w:rsidR="00AD4F9A" w:rsidRPr="0061347A">
        <w:rPr>
          <w:rFonts w:cs="Times New Roman"/>
          <w:szCs w:val="24"/>
        </w:rPr>
        <w:t xml:space="preserve">entre </w:t>
      </w:r>
      <w:r w:rsidRPr="0061347A">
        <w:rPr>
          <w:rFonts w:cs="Times New Roman"/>
          <w:szCs w:val="24"/>
        </w:rPr>
        <w:t xml:space="preserve">la autoeficacia profesional y la rentabilidad de las empresas mineras </w:t>
      </w:r>
      <w:r w:rsidR="00AD4F9A" w:rsidRPr="0061347A">
        <w:rPr>
          <w:rFonts w:cs="Times New Roman"/>
          <w:szCs w:val="24"/>
        </w:rPr>
        <w:t xml:space="preserve">metálicas </w:t>
      </w:r>
      <w:r w:rsidRPr="0061347A">
        <w:rPr>
          <w:rFonts w:cs="Times New Roman"/>
          <w:szCs w:val="24"/>
        </w:rPr>
        <w:t>del Perú</w:t>
      </w:r>
      <w:r w:rsidR="00B21FB4" w:rsidRPr="0061347A">
        <w:rPr>
          <w:rFonts w:cs="Times New Roman"/>
          <w:szCs w:val="24"/>
        </w:rPr>
        <w:t xml:space="preserve">. </w:t>
      </w:r>
      <w:r w:rsidR="00AD4F9A" w:rsidRPr="0061347A">
        <w:rPr>
          <w:rFonts w:cs="Times New Roman"/>
          <w:szCs w:val="24"/>
        </w:rPr>
        <w:t xml:space="preserve">Se usó </w:t>
      </w:r>
      <w:r w:rsidR="00B21FB4" w:rsidRPr="0061347A">
        <w:rPr>
          <w:rFonts w:cs="Times New Roman"/>
          <w:szCs w:val="24"/>
        </w:rPr>
        <w:t xml:space="preserve">un </w:t>
      </w:r>
      <w:r w:rsidRPr="0061347A">
        <w:rPr>
          <w:rFonts w:cs="Times New Roman"/>
          <w:szCs w:val="24"/>
        </w:rPr>
        <w:t xml:space="preserve">diseño no experimental </w:t>
      </w:r>
      <w:r w:rsidR="00E5195E" w:rsidRPr="0061347A">
        <w:rPr>
          <w:rFonts w:cs="Times New Roman"/>
          <w:szCs w:val="24"/>
        </w:rPr>
        <w:t xml:space="preserve">de corte transversal, basado en </w:t>
      </w:r>
      <w:r w:rsidRPr="0061347A">
        <w:rPr>
          <w:rFonts w:cs="Times New Roman"/>
          <w:szCs w:val="24"/>
        </w:rPr>
        <w:t>encuestas</w:t>
      </w:r>
      <w:r w:rsidR="00E5195E" w:rsidRPr="0061347A">
        <w:rPr>
          <w:rFonts w:cs="Times New Roman"/>
          <w:szCs w:val="24"/>
        </w:rPr>
        <w:t xml:space="preserve"> a </w:t>
      </w:r>
      <w:r w:rsidR="00AD4F9A" w:rsidRPr="0061347A">
        <w:rPr>
          <w:rFonts w:cs="Times New Roman"/>
          <w:szCs w:val="24"/>
        </w:rPr>
        <w:t xml:space="preserve">ejecutivos de </w:t>
      </w:r>
      <w:r w:rsidR="00E5195E" w:rsidRPr="0061347A">
        <w:rPr>
          <w:rFonts w:cs="Times New Roman"/>
          <w:szCs w:val="24"/>
        </w:rPr>
        <w:t>50 empresas mineras que</w:t>
      </w:r>
      <w:r w:rsidR="00224A86" w:rsidRPr="0061347A">
        <w:rPr>
          <w:rFonts w:cs="Times New Roman"/>
          <w:szCs w:val="24"/>
        </w:rPr>
        <w:t xml:space="preserve"> en su mayoría</w:t>
      </w:r>
      <w:r w:rsidR="00B21FB4" w:rsidRPr="0061347A">
        <w:rPr>
          <w:rFonts w:cs="Times New Roman"/>
          <w:szCs w:val="24"/>
        </w:rPr>
        <w:t xml:space="preserve"> cotizan en bolsa</w:t>
      </w:r>
      <w:r w:rsidR="00AD4F9A" w:rsidRPr="0061347A">
        <w:rPr>
          <w:rFonts w:cs="Times New Roman"/>
          <w:szCs w:val="24"/>
        </w:rPr>
        <w:t>, registrados en el Ministerio de Energía y Minas</w:t>
      </w:r>
      <w:r w:rsidR="00AB1D48" w:rsidRPr="0061347A">
        <w:rPr>
          <w:rFonts w:cs="Times New Roman"/>
          <w:szCs w:val="24"/>
        </w:rPr>
        <w:t xml:space="preserve"> del Perú</w:t>
      </w:r>
      <w:r w:rsidR="00A94A11" w:rsidRPr="0061347A">
        <w:rPr>
          <w:rFonts w:cs="Times New Roman"/>
          <w:szCs w:val="24"/>
        </w:rPr>
        <w:t xml:space="preserve"> (ver Tabla 1)</w:t>
      </w:r>
      <w:r w:rsidR="00B21FB4" w:rsidRPr="0061347A">
        <w:rPr>
          <w:rFonts w:cs="Times New Roman"/>
          <w:szCs w:val="24"/>
        </w:rPr>
        <w:t>.</w:t>
      </w:r>
      <w:r w:rsidR="001B5EF5" w:rsidRPr="0061347A">
        <w:rPr>
          <w:rFonts w:cs="Times New Roman"/>
          <w:szCs w:val="24"/>
        </w:rPr>
        <w:t xml:space="preserve"> En consecuencia</w:t>
      </w:r>
      <w:r w:rsidR="00F45268" w:rsidRPr="0061347A">
        <w:rPr>
          <w:rFonts w:cs="Times New Roman"/>
          <w:szCs w:val="24"/>
        </w:rPr>
        <w:t>, el método de muestreo fue no probabilístico, intencionado y de población total (Shabankareh et al., 2024).</w:t>
      </w:r>
      <w:r w:rsidR="00E56423" w:rsidRPr="0061347A">
        <w:rPr>
          <w:rFonts w:cs="Times New Roman"/>
          <w:szCs w:val="24"/>
        </w:rPr>
        <w:t xml:space="preserve"> Lo que nos sugiere, por la naturaleza de la población, que el tamaño de muestra es pequeño, y no es el caso que el tamaño de muestra pequeño justifica la elección del modelado de ruta PLS (Rigdon, 2016).</w:t>
      </w:r>
    </w:p>
    <w:p w:rsidR="006036A5" w:rsidRPr="0061347A" w:rsidRDefault="006036A5" w:rsidP="00641D65">
      <w:pPr>
        <w:spacing w:after="0"/>
        <w:ind w:firstLine="426"/>
        <w:jc w:val="both"/>
        <w:rPr>
          <w:rFonts w:cs="Times New Roman"/>
          <w:szCs w:val="24"/>
        </w:rPr>
      </w:pPr>
    </w:p>
    <w:p w:rsidR="006036A5" w:rsidRPr="0061347A" w:rsidRDefault="006036A5" w:rsidP="006036A5">
      <w:pPr>
        <w:spacing w:after="0" w:line="240" w:lineRule="auto"/>
        <w:ind w:left="426"/>
        <w:rPr>
          <w:b/>
          <w:i/>
          <w:szCs w:val="24"/>
        </w:rPr>
      </w:pPr>
      <w:r w:rsidRPr="0061347A">
        <w:rPr>
          <w:b/>
          <w:i/>
          <w:szCs w:val="24"/>
        </w:rPr>
        <w:t>Medición de los constructos</w:t>
      </w:r>
    </w:p>
    <w:p w:rsidR="00CC3393" w:rsidRPr="0061347A" w:rsidRDefault="00CC3393" w:rsidP="00641D65">
      <w:pPr>
        <w:spacing w:after="0"/>
        <w:ind w:firstLine="426"/>
        <w:jc w:val="both"/>
        <w:rPr>
          <w:rFonts w:cs="Times New Roman"/>
          <w:szCs w:val="24"/>
        </w:rPr>
      </w:pPr>
      <w:r w:rsidRPr="0061347A">
        <w:rPr>
          <w:rFonts w:cs="Times New Roman"/>
          <w:szCs w:val="24"/>
        </w:rPr>
        <w:t xml:space="preserve">La autoeficacia profesional se midió con la escala CESE (Moriano et al., 2021), </w:t>
      </w:r>
      <w:r w:rsidR="0073129A" w:rsidRPr="0061347A">
        <w:rPr>
          <w:rFonts w:cs="Times New Roman"/>
          <w:szCs w:val="24"/>
        </w:rPr>
        <w:t>que permite evaluar las principales demandas, tareas y actividades necesarias para liderar iniciativas emprendedoras dentro de la organización, la cual consta de 7 dimensiones integradas por veintiséis preguntas (variables indicadoras) en el formato tipo Likert de 7 puntos, desde 1 (nunca o ninguna vez) a 7 (siempre o todos los días).</w:t>
      </w:r>
    </w:p>
    <w:p w:rsidR="003A12FD" w:rsidRPr="0061347A" w:rsidRDefault="003A12FD" w:rsidP="00CC3393">
      <w:pPr>
        <w:spacing w:after="0"/>
        <w:ind w:firstLine="426"/>
        <w:jc w:val="both"/>
        <w:rPr>
          <w:rFonts w:cs="Times New Roman"/>
          <w:szCs w:val="24"/>
        </w:rPr>
      </w:pPr>
      <w:r w:rsidRPr="0061347A">
        <w:rPr>
          <w:rFonts w:cs="Times New Roman"/>
          <w:szCs w:val="24"/>
        </w:rPr>
        <w:lastRenderedPageBreak/>
        <w:t xml:space="preserve">La rentabilidad empresarial se midió mediante los indicadores de rentabilidad: ROIC, ROE y ROA, por su fidelidad y su pertinencia basadas en resultados auditados (Bodhanwala &amp; Bodhanwala, 2018), de </w:t>
      </w:r>
      <w:r w:rsidR="006D508D" w:rsidRPr="0061347A">
        <w:rPr>
          <w:rFonts w:cs="Times New Roman"/>
          <w:szCs w:val="24"/>
        </w:rPr>
        <w:t xml:space="preserve">aquellas </w:t>
      </w:r>
      <w:r w:rsidR="00AD4F9A" w:rsidRPr="0061347A">
        <w:rPr>
          <w:rFonts w:cs="Times New Roman"/>
          <w:szCs w:val="24"/>
        </w:rPr>
        <w:t>empresas</w:t>
      </w:r>
      <w:r w:rsidRPr="0061347A">
        <w:rPr>
          <w:rFonts w:cs="Times New Roman"/>
          <w:szCs w:val="24"/>
        </w:rPr>
        <w:t xml:space="preserve"> </w:t>
      </w:r>
      <w:r w:rsidR="009B0379" w:rsidRPr="0061347A">
        <w:rPr>
          <w:rFonts w:cs="Times New Roman"/>
          <w:szCs w:val="24"/>
        </w:rPr>
        <w:t xml:space="preserve">que </w:t>
      </w:r>
      <w:r w:rsidR="00E5195E" w:rsidRPr="0061347A">
        <w:rPr>
          <w:rFonts w:cs="Times New Roman"/>
          <w:szCs w:val="24"/>
        </w:rPr>
        <w:t>reportan</w:t>
      </w:r>
      <w:r w:rsidR="00F773FC" w:rsidRPr="0061347A">
        <w:rPr>
          <w:rFonts w:cs="Times New Roman"/>
          <w:szCs w:val="24"/>
        </w:rPr>
        <w:t xml:space="preserve"> sus datos </w:t>
      </w:r>
      <w:r w:rsidR="00AD4F9A" w:rsidRPr="0061347A">
        <w:rPr>
          <w:rFonts w:cs="Times New Roman"/>
          <w:szCs w:val="24"/>
        </w:rPr>
        <w:t xml:space="preserve">financieros </w:t>
      </w:r>
      <w:r w:rsidR="00E5195E" w:rsidRPr="0061347A">
        <w:rPr>
          <w:rFonts w:cs="Times New Roman"/>
          <w:szCs w:val="24"/>
        </w:rPr>
        <w:t>a la Superintendencia del Mercado de Valores</w:t>
      </w:r>
      <w:r w:rsidR="001D4B0F" w:rsidRPr="0061347A">
        <w:rPr>
          <w:rFonts w:cs="Times New Roman"/>
          <w:szCs w:val="24"/>
        </w:rPr>
        <w:t xml:space="preserve"> (SMV), entidad adscrita al Ministerio de Economía y Finanzas</w:t>
      </w:r>
      <w:r w:rsidR="00AD4F9A" w:rsidRPr="0061347A">
        <w:rPr>
          <w:rFonts w:cs="Times New Roman"/>
          <w:szCs w:val="24"/>
        </w:rPr>
        <w:t xml:space="preserve"> del Perú</w:t>
      </w:r>
      <w:r w:rsidR="00F773FC" w:rsidRPr="0061347A">
        <w:rPr>
          <w:rFonts w:cs="Times New Roman"/>
          <w:szCs w:val="24"/>
        </w:rPr>
        <w:t>.</w:t>
      </w:r>
      <w:r w:rsidR="001B4E25" w:rsidRPr="0061347A">
        <w:rPr>
          <w:rFonts w:cs="Times New Roman"/>
          <w:szCs w:val="24"/>
        </w:rPr>
        <w:t xml:space="preserve"> </w:t>
      </w:r>
    </w:p>
    <w:p w:rsidR="001B4E25" w:rsidRPr="0061347A" w:rsidRDefault="007341D3" w:rsidP="00CC3393">
      <w:pPr>
        <w:spacing w:after="0"/>
        <w:ind w:firstLine="426"/>
        <w:jc w:val="both"/>
        <w:rPr>
          <w:rFonts w:cs="Times New Roman"/>
          <w:szCs w:val="24"/>
        </w:rPr>
      </w:pPr>
      <w:r w:rsidRPr="0061347A">
        <w:rPr>
          <w:rFonts w:cs="Times New Roman"/>
          <w:szCs w:val="24"/>
        </w:rPr>
        <w:t xml:space="preserve">La variable gestión del conocimiento se midió usando el instrumento desarrollado por Gold et al. (2001), el cual fue adaptado por Idrees et al. (2023), </w:t>
      </w:r>
      <w:r w:rsidR="00F94355" w:rsidRPr="0061347A">
        <w:rPr>
          <w:rFonts w:cs="Times New Roman"/>
          <w:szCs w:val="24"/>
        </w:rPr>
        <w:t xml:space="preserve">y </w:t>
      </w:r>
      <w:r w:rsidR="00E95ED3" w:rsidRPr="0061347A">
        <w:rPr>
          <w:rFonts w:cs="Times New Roman"/>
          <w:szCs w:val="24"/>
        </w:rPr>
        <w:t xml:space="preserve">devino en </w:t>
      </w:r>
      <w:r w:rsidRPr="0061347A">
        <w:rPr>
          <w:rFonts w:cs="Times New Roman"/>
          <w:szCs w:val="24"/>
        </w:rPr>
        <w:t>26 preguntas organizadas usando una escala Likert de 5 puntos.</w:t>
      </w:r>
    </w:p>
    <w:p w:rsidR="006418E4" w:rsidRPr="0061347A" w:rsidRDefault="006418E4" w:rsidP="00CC3393">
      <w:pPr>
        <w:spacing w:after="0"/>
        <w:ind w:firstLine="426"/>
        <w:jc w:val="both"/>
        <w:rPr>
          <w:rFonts w:cs="Times New Roman"/>
          <w:szCs w:val="24"/>
        </w:rPr>
      </w:pPr>
    </w:p>
    <w:p w:rsidR="006418E4" w:rsidRPr="0061347A" w:rsidRDefault="006418E4" w:rsidP="006418E4">
      <w:pPr>
        <w:spacing w:after="0" w:line="240" w:lineRule="auto"/>
        <w:ind w:left="426"/>
        <w:rPr>
          <w:b/>
          <w:i/>
          <w:szCs w:val="24"/>
        </w:rPr>
      </w:pPr>
      <w:r w:rsidRPr="0061347A">
        <w:rPr>
          <w:b/>
          <w:i/>
          <w:szCs w:val="24"/>
        </w:rPr>
        <w:t>Justificación del método de análisis</w:t>
      </w:r>
    </w:p>
    <w:p w:rsidR="00630F15" w:rsidRPr="0061347A" w:rsidRDefault="00630F15" w:rsidP="00630F15">
      <w:pPr>
        <w:spacing w:after="0"/>
        <w:ind w:firstLine="426"/>
        <w:jc w:val="both"/>
        <w:rPr>
          <w:rFonts w:cs="Times New Roman"/>
          <w:szCs w:val="24"/>
        </w:rPr>
      </w:pPr>
      <w:r w:rsidRPr="0061347A">
        <w:rPr>
          <w:rFonts w:cs="Times New Roman"/>
        </w:rPr>
        <w:t xml:space="preserve">Se aplicaron dos encuestas, a los altos directivos de las empresas mineras (ver Tabla 2), </w:t>
      </w:r>
      <w:r w:rsidRPr="0061347A">
        <w:rPr>
          <w:rFonts w:cs="Times New Roman"/>
          <w:szCs w:val="24"/>
        </w:rPr>
        <w:t>garantizando que las respuestas fueran dadas por profesionales responsables de la toma de decisiones estratégicas en tales empresas (Felipe et al., 2017; Hambrick &amp; Mason, 1984)</w:t>
      </w:r>
    </w:p>
    <w:p w:rsidR="00630F15" w:rsidRPr="0061347A" w:rsidRDefault="00630F15" w:rsidP="00630F15">
      <w:pPr>
        <w:spacing w:after="0"/>
        <w:ind w:firstLine="426"/>
        <w:jc w:val="both"/>
      </w:pPr>
      <w:r w:rsidRPr="0061347A">
        <w:t>La encuesta se dividió en secciones temáticas que tienen un enfoque específico. La primera sección sirvió para obtener información sobre los participantes y sus empresas. La segunda sección tuvo como objetivo conocer los desafíos contemporáneos que enfrentan las empresas mineras con un enfoque particular en el logro de los resultados financieros, mediante la autoeficacia profesional. La tercera sección fue sobre la gestión del conocimiento integral en las empresas mineras. Esto se hizo así para evitar el método del sesgo común (</w:t>
      </w:r>
      <w:r w:rsidRPr="0061347A">
        <w:rPr>
          <w:rFonts w:cs="Times New Roman"/>
        </w:rPr>
        <w:t>Thallapureddy et al., 2023)</w:t>
      </w:r>
      <w:r w:rsidRPr="0061347A">
        <w:t>.</w:t>
      </w:r>
      <w:r w:rsidR="00F9598E" w:rsidRPr="0061347A">
        <w:t xml:space="preserve"> En ese sentido, los instrumentos de recopilación de datos se tropic</w:t>
      </w:r>
      <w:r w:rsidR="00511A89" w:rsidRPr="0061347A">
        <w:t>alizaro</w:t>
      </w:r>
      <w:r w:rsidR="00F9598E" w:rsidRPr="0061347A">
        <w:t>n con especialista en la industria minera, en la cual se utiliza terminología técnica especializada, sobre todo que tuvo origen en el idioma inglés, con la finalidad de hacerlos culturalmente inclusivos y que los tomadores de decisiones adopten una actitud multicultural y de esta manera se evitó en sesgo cultural (Magogwe, 2009)</w:t>
      </w:r>
    </w:p>
    <w:p w:rsidR="00630F15" w:rsidRPr="0061347A" w:rsidRDefault="00630F15" w:rsidP="00630F15">
      <w:pPr>
        <w:spacing w:after="0"/>
        <w:ind w:firstLine="426"/>
        <w:jc w:val="both"/>
      </w:pPr>
      <w:r w:rsidRPr="0061347A">
        <w:t>Se enviaron 310 comunicaciones utilizando correos electrónicos, conteniendo los enlaces de las dos encuestas (autoeficacia profesional y gestión del conocimiento) a un número igual de ejecutivos de las 50 empresas incluidas en el estudio (ver Tabla 1), las que representaron el total de la población objetivo. Considerando que se podía aceptar dos representantes de cada empresa, la tasa de respuesta fue del 16%</w:t>
      </w:r>
    </w:p>
    <w:p w:rsidR="00630F15" w:rsidRPr="0061347A" w:rsidRDefault="00630F15" w:rsidP="008024C4">
      <w:pPr>
        <w:spacing w:after="0"/>
        <w:ind w:firstLine="426"/>
        <w:jc w:val="both"/>
        <w:rPr>
          <w:rFonts w:cs="Times New Roman"/>
        </w:rPr>
      </w:pPr>
      <w:r w:rsidRPr="0061347A">
        <w:t>Por otro lado, se obtuvieron 46 respuestas de 46 ejecutivos pertenecientes a 25 empresas mineras, lo que representa 50% del toda la población objetivo del estudio (ver Tabla 2). Afortunadamente, los representantes de las empresas más importantes de la industria minera, desde el punto de vista del tonelaje de producción, respondieron las encuestas. De similar manera, un estudio realizado por Singla y Chammanam (2023) donde desarrollaron un modelo de medición del desempeño financiero para negocios inmobiliarios en la India utilizaron un tamaño de muestra pequeño de 78 encuestados basado en análisis factorial exploratorio y PLS-SEM</w:t>
      </w:r>
      <w:r w:rsidR="00EA4544" w:rsidRPr="0061347A">
        <w:t xml:space="preserve">. </w:t>
      </w:r>
      <w:r w:rsidRPr="0061347A">
        <w:t xml:space="preserve">Coincidentemente, Abu Afifa y Nguyen (2023) desarrollaron otro estudio, en la época de pandemia del Covid-19 con la población de estudio representado por todas las empresas vietnamitas que cotizan en bolsas de valores, para el cual se enviaron 670 correos a directores generales y se obtuvo una tasa de respuestas del 21.79%, es decir un </w:t>
      </w:r>
      <w:r w:rsidRPr="0061347A">
        <w:rPr>
          <w:rFonts w:cs="Times New Roman"/>
        </w:rPr>
        <w:t>tamaño de muestra pequeño, que fue analizado utilizando el modelo de ecuaciones estructurales de mínimos cuadrados parc</w:t>
      </w:r>
      <w:r w:rsidR="003A120C" w:rsidRPr="0061347A">
        <w:rPr>
          <w:rFonts w:cs="Times New Roman"/>
        </w:rPr>
        <w:t>iales (PLS-SEM).</w:t>
      </w:r>
      <w:r w:rsidR="008024C4" w:rsidRPr="0061347A">
        <w:rPr>
          <w:rFonts w:cs="Times New Roman"/>
        </w:rPr>
        <w:t xml:space="preserve"> En ese sentido, Kock y Hadaya (2018) demostraron que cuanto mayor es la magnitud de un coeficiente de trayectoria a nivel poblacional, mayor suele ser el tamaño de su efecto y mayor es la probabilidad de que un efecto verdadero se </w:t>
      </w:r>
      <w:r w:rsidR="008024C4" w:rsidRPr="0061347A">
        <w:rPr>
          <w:rFonts w:cs="Times New Roman"/>
        </w:rPr>
        <w:lastRenderedPageBreak/>
        <w:t>detecte adecuadamente con una muestra pequeña. Por lo tanto, los coeficientes de trayectoria fuertes a nivel de población, ya sean negativos o positivos, tienden a requerir tamaños de muestra muy pequeños para su identificación adecuada. En conclusión, si un investigador sabe que todos los coeficientes de trayectoria de un modelo serán sólidos antes de recopilar datos, lo que conducirá a tamaños de efecto grandes, el investigador puede considerar el uso de un tamaño de muestra pequeño en un análisis PLS-SEM.</w:t>
      </w:r>
    </w:p>
    <w:p w:rsidR="00630F15" w:rsidRPr="0061347A" w:rsidRDefault="00630F15" w:rsidP="00630F15">
      <w:pPr>
        <w:spacing w:after="0"/>
        <w:ind w:firstLine="426"/>
        <w:jc w:val="both"/>
        <w:rPr>
          <w:rFonts w:cs="Times New Roman"/>
        </w:rPr>
      </w:pPr>
      <w:r w:rsidRPr="0061347A">
        <w:rPr>
          <w:rFonts w:cs="Times New Roman"/>
        </w:rPr>
        <w:t xml:space="preserve">Evaluando el nivel de no respuesta a la encuesta, se observó que existe una Sentencia del Tribunal </w:t>
      </w:r>
      <w:r w:rsidRPr="0061347A">
        <w:t>Constitucional peruano (E</w:t>
      </w:r>
      <w:r w:rsidRPr="0061347A">
        <w:rPr>
          <w:rFonts w:cs="Times New Roman"/>
        </w:rPr>
        <w:t>xpediente 00009-2014-PI/TC), que declaró fundada la demanda de inconstitucionalidad presentada por más de cinco mil personas en contra del artículo 5° de la Ley N° 29720 (Ley que promueve las emisiones de valores mobiliarios, fortalece el mercado de capitales y la obligatoriedad de presentar los Estados Financieros a la Superintendencia del Mercado de Valores del Perú (SMV). Como resultado de esta Sentencia del Tribunal Constitucional, las informaciones financieras de algunas empresas mineras no se encuentran registrados en la SMV, datos necesarios para investigar el constructo rentabilidad empresarial. Es decir, esta investigación dependió de las empresas que sí reportan voluntariamente sus estados financieros a la SMV y de las Memorias Anuales de las mismas, manteniendo el anonimato y confidencialidad que corresponde.</w:t>
      </w:r>
    </w:p>
    <w:p w:rsidR="00F778F4" w:rsidRPr="0061347A" w:rsidRDefault="00F773FC" w:rsidP="008E3F98">
      <w:pPr>
        <w:spacing w:after="0"/>
        <w:ind w:firstLine="426"/>
        <w:jc w:val="both"/>
        <w:rPr>
          <w:rFonts w:cs="Times New Roman"/>
          <w:szCs w:val="24"/>
        </w:rPr>
      </w:pPr>
      <w:r w:rsidRPr="0061347A">
        <w:rPr>
          <w:rFonts w:cs="Times New Roman"/>
          <w:szCs w:val="24"/>
        </w:rPr>
        <w:t>P</w:t>
      </w:r>
      <w:r w:rsidR="00E5195E" w:rsidRPr="0061347A">
        <w:rPr>
          <w:rFonts w:cs="Times New Roman"/>
          <w:szCs w:val="24"/>
        </w:rPr>
        <w:t>ara</w:t>
      </w:r>
      <w:r w:rsidR="00A94032" w:rsidRPr="0061347A">
        <w:rPr>
          <w:rFonts w:cs="Times New Roman"/>
          <w:szCs w:val="24"/>
        </w:rPr>
        <w:t xml:space="preserve"> </w:t>
      </w:r>
      <w:r w:rsidR="00D30304" w:rsidRPr="0061347A">
        <w:rPr>
          <w:rFonts w:cs="Times New Roman"/>
          <w:szCs w:val="24"/>
        </w:rPr>
        <w:t xml:space="preserve">el </w:t>
      </w:r>
      <w:r w:rsidR="00E5195E" w:rsidRPr="0061347A">
        <w:rPr>
          <w:rFonts w:cs="Times New Roman"/>
          <w:szCs w:val="24"/>
        </w:rPr>
        <w:t xml:space="preserve">análisis de datos se </w:t>
      </w:r>
      <w:r w:rsidR="00A94032" w:rsidRPr="0061347A">
        <w:rPr>
          <w:rFonts w:cs="Times New Roman"/>
          <w:szCs w:val="24"/>
        </w:rPr>
        <w:t xml:space="preserve">utilizó un </w:t>
      </w:r>
      <w:r w:rsidR="00842E9B" w:rsidRPr="0061347A">
        <w:rPr>
          <w:rFonts w:cs="Times New Roman"/>
          <w:szCs w:val="24"/>
        </w:rPr>
        <w:t>modelado de ecuaciones estructurales basado en mínimos cuadrados parciales (PLS-SEM), porque se pretend</w:t>
      </w:r>
      <w:r w:rsidR="00A94032" w:rsidRPr="0061347A">
        <w:rPr>
          <w:rFonts w:cs="Times New Roman"/>
          <w:szCs w:val="24"/>
        </w:rPr>
        <w:t xml:space="preserve">ió </w:t>
      </w:r>
      <w:r w:rsidR="00842E9B" w:rsidRPr="0061347A">
        <w:rPr>
          <w:rFonts w:cs="Times New Roman"/>
          <w:szCs w:val="24"/>
        </w:rPr>
        <w:t>estimar un modelo de asociación de dato</w:t>
      </w:r>
      <w:r w:rsidR="00F272BD" w:rsidRPr="0061347A">
        <w:rPr>
          <w:rFonts w:cs="Times New Roman"/>
          <w:szCs w:val="24"/>
        </w:rPr>
        <w:t>s empíricos</w:t>
      </w:r>
      <w:r w:rsidR="00A94032" w:rsidRPr="0061347A">
        <w:rPr>
          <w:rFonts w:cs="Times New Roman"/>
          <w:szCs w:val="24"/>
        </w:rPr>
        <w:t xml:space="preserve"> </w:t>
      </w:r>
      <w:r w:rsidR="00BB4685" w:rsidRPr="0061347A">
        <w:rPr>
          <w:rFonts w:cs="Times New Roman"/>
          <w:szCs w:val="24"/>
        </w:rPr>
        <w:t xml:space="preserve">en </w:t>
      </w:r>
      <w:r w:rsidR="00F272BD" w:rsidRPr="0061347A">
        <w:rPr>
          <w:rFonts w:cs="Times New Roman"/>
          <w:szCs w:val="24"/>
        </w:rPr>
        <w:t xml:space="preserve">una población </w:t>
      </w:r>
      <w:r w:rsidR="003D1A35" w:rsidRPr="0061347A">
        <w:rPr>
          <w:rFonts w:cs="Times New Roman"/>
          <w:szCs w:val="24"/>
        </w:rPr>
        <w:t xml:space="preserve">y muestra </w:t>
      </w:r>
      <w:r w:rsidR="00F272BD" w:rsidRPr="0061347A">
        <w:rPr>
          <w:rFonts w:cs="Times New Roman"/>
          <w:szCs w:val="24"/>
        </w:rPr>
        <w:t>pequeña (Hair et al., 2011).</w:t>
      </w:r>
      <w:r w:rsidR="000D23CE" w:rsidRPr="0061347A">
        <w:rPr>
          <w:rFonts w:cs="Times New Roman"/>
          <w:szCs w:val="24"/>
        </w:rPr>
        <w:t xml:space="preserve"> A</w:t>
      </w:r>
      <w:r w:rsidR="009E1B2B" w:rsidRPr="0061347A">
        <w:rPr>
          <w:rFonts w:cs="Times New Roman"/>
          <w:szCs w:val="24"/>
        </w:rPr>
        <w:t>demás,</w:t>
      </w:r>
      <w:r w:rsidR="000D23CE" w:rsidRPr="0061347A">
        <w:rPr>
          <w:rFonts w:cs="Times New Roman"/>
          <w:szCs w:val="24"/>
        </w:rPr>
        <w:t xml:space="preserve"> porque </w:t>
      </w:r>
      <w:r w:rsidR="009E1B2B" w:rsidRPr="0061347A">
        <w:rPr>
          <w:rFonts w:cs="Times New Roman"/>
          <w:szCs w:val="24"/>
        </w:rPr>
        <w:t xml:space="preserve">es preferible el uso de PLS, particularmente cuando se desconoce si la naturaleza </w:t>
      </w:r>
      <w:r w:rsidR="00B04FC8" w:rsidRPr="0061347A">
        <w:rPr>
          <w:rFonts w:cs="Times New Roman"/>
          <w:szCs w:val="24"/>
        </w:rPr>
        <w:t xml:space="preserve">de los </w:t>
      </w:r>
      <w:r w:rsidR="009E1B2B" w:rsidRPr="0061347A">
        <w:rPr>
          <w:rFonts w:cs="Times New Roman"/>
          <w:szCs w:val="24"/>
        </w:rPr>
        <w:t xml:space="preserve">datos </w:t>
      </w:r>
      <w:r w:rsidR="00B37983" w:rsidRPr="0061347A">
        <w:rPr>
          <w:rFonts w:cs="Times New Roman"/>
          <w:szCs w:val="24"/>
        </w:rPr>
        <w:t>está basada en factores comunes o compuestos (Sarstedt et al., 2016)</w:t>
      </w:r>
      <w:r w:rsidR="008E3F98" w:rsidRPr="0061347A">
        <w:rPr>
          <w:rFonts w:cs="Times New Roman"/>
          <w:szCs w:val="24"/>
        </w:rPr>
        <w:t>, ya que el método de mínimos cuadrados parciales (PLS) para el modelado de ecuaciones estructurales (SEM) ha sido ampliamente adoptado en campos de investigación empresarial como los sistemas de información, el comportamiento del consumidor y el marketing (Peng &amp; Lai, 2012).</w:t>
      </w:r>
    </w:p>
    <w:p w:rsidR="004E1866" w:rsidRPr="0061347A" w:rsidRDefault="005D4557" w:rsidP="00630F15">
      <w:pPr>
        <w:spacing w:after="0"/>
        <w:ind w:firstLine="426"/>
        <w:jc w:val="both"/>
        <w:rPr>
          <w:rFonts w:cs="Times New Roman"/>
        </w:rPr>
      </w:pPr>
      <w:r w:rsidRPr="0061347A">
        <w:rPr>
          <w:rFonts w:cs="Times New Roman"/>
        </w:rPr>
        <w:t>El uso de</w:t>
      </w:r>
      <w:r w:rsidR="004E2197" w:rsidRPr="0061347A">
        <w:rPr>
          <w:rFonts w:cs="Times New Roman"/>
        </w:rPr>
        <w:t xml:space="preserve"> PLS-SEM </w:t>
      </w:r>
      <w:r w:rsidRPr="0061347A">
        <w:rPr>
          <w:rFonts w:cs="Times New Roman"/>
        </w:rPr>
        <w:t>implic</w:t>
      </w:r>
      <w:r w:rsidR="004E2197" w:rsidRPr="0061347A">
        <w:rPr>
          <w:rFonts w:cs="Times New Roman"/>
        </w:rPr>
        <w:t>ó</w:t>
      </w:r>
      <w:r w:rsidRPr="0061347A">
        <w:rPr>
          <w:rFonts w:cs="Times New Roman"/>
        </w:rPr>
        <w:t xml:space="preserve"> el análisis estadístico en dos etapas</w:t>
      </w:r>
      <w:r w:rsidR="004E2197" w:rsidRPr="0061347A">
        <w:rPr>
          <w:rFonts w:cs="Times New Roman"/>
        </w:rPr>
        <w:t xml:space="preserve">: evaluación del </w:t>
      </w:r>
      <w:r w:rsidR="003C41B2" w:rsidRPr="0061347A">
        <w:rPr>
          <w:rFonts w:cs="Times New Roman"/>
        </w:rPr>
        <w:t>modelo de medida</w:t>
      </w:r>
      <w:r w:rsidR="004E2197" w:rsidRPr="0061347A">
        <w:rPr>
          <w:rFonts w:cs="Times New Roman"/>
        </w:rPr>
        <w:t xml:space="preserve">, que comprueba si los </w:t>
      </w:r>
      <w:r w:rsidR="00A15CD1" w:rsidRPr="0061347A">
        <w:rPr>
          <w:rFonts w:cs="Times New Roman"/>
        </w:rPr>
        <w:t xml:space="preserve">reactivos incluidos en los instrumentos de investigación, para medir las variables de investigación, </w:t>
      </w:r>
      <w:r w:rsidR="004E2197" w:rsidRPr="0061347A">
        <w:rPr>
          <w:rFonts w:cs="Times New Roman"/>
        </w:rPr>
        <w:t xml:space="preserve">son válidos y confiables, y el análisis </w:t>
      </w:r>
      <w:r w:rsidRPr="0061347A">
        <w:rPr>
          <w:rFonts w:cs="Times New Roman"/>
        </w:rPr>
        <w:t xml:space="preserve">del modelo estructural que </w:t>
      </w:r>
      <w:r w:rsidR="001A64D5" w:rsidRPr="0061347A">
        <w:rPr>
          <w:rFonts w:cs="Times New Roman"/>
        </w:rPr>
        <w:t xml:space="preserve">verifica la pertinencia del modelo, su poder explicativo y predictivo y </w:t>
      </w:r>
      <w:r w:rsidR="004E2197" w:rsidRPr="0061347A">
        <w:rPr>
          <w:rFonts w:cs="Times New Roman"/>
        </w:rPr>
        <w:t>com</w:t>
      </w:r>
      <w:r w:rsidRPr="0061347A">
        <w:rPr>
          <w:rFonts w:cs="Times New Roman"/>
        </w:rPr>
        <w:t>prueba las hipótesis de la investigación.</w:t>
      </w:r>
    </w:p>
    <w:p w:rsidR="005D5C51" w:rsidRPr="0061347A" w:rsidRDefault="005D5C51" w:rsidP="00630F15">
      <w:pPr>
        <w:spacing w:after="0"/>
        <w:ind w:firstLine="426"/>
        <w:jc w:val="both"/>
        <w:rPr>
          <w:rFonts w:cs="Times New Roman"/>
        </w:rPr>
      </w:pPr>
    </w:p>
    <w:p w:rsidR="00B4624C" w:rsidRPr="0061347A" w:rsidRDefault="00084B75" w:rsidP="00B4624C">
      <w:pPr>
        <w:pStyle w:val="Ttulo2"/>
        <w:numPr>
          <w:ilvl w:val="0"/>
          <w:numId w:val="3"/>
        </w:numPr>
        <w:spacing w:line="240" w:lineRule="auto"/>
        <w:ind w:left="426" w:hanging="426"/>
        <w:rPr>
          <w:rFonts w:cs="Times New Roman"/>
          <w:sz w:val="26"/>
        </w:rPr>
      </w:pPr>
      <w:r w:rsidRPr="0061347A">
        <w:rPr>
          <w:rFonts w:cs="Times New Roman"/>
          <w:sz w:val="26"/>
        </w:rPr>
        <w:t>Resultados</w:t>
      </w:r>
    </w:p>
    <w:p w:rsidR="000F1A64" w:rsidRPr="0061347A" w:rsidRDefault="000F1A64" w:rsidP="00B4624C">
      <w:pPr>
        <w:spacing w:after="0"/>
        <w:jc w:val="both"/>
        <w:rPr>
          <w:rFonts w:cs="Times New Roman"/>
        </w:rPr>
      </w:pPr>
    </w:p>
    <w:p w:rsidR="005A6E89" w:rsidRPr="0061347A" w:rsidRDefault="00084B75" w:rsidP="00F2078E">
      <w:pPr>
        <w:pStyle w:val="Prrafodelista"/>
        <w:numPr>
          <w:ilvl w:val="1"/>
          <w:numId w:val="3"/>
        </w:numPr>
        <w:spacing w:after="0" w:line="240" w:lineRule="auto"/>
        <w:ind w:left="567" w:hanging="567"/>
        <w:rPr>
          <w:b/>
          <w:i/>
          <w:szCs w:val="24"/>
        </w:rPr>
      </w:pPr>
      <w:r w:rsidRPr="0061347A">
        <w:rPr>
          <w:b/>
          <w:i/>
          <w:szCs w:val="24"/>
        </w:rPr>
        <w:t>Características de la población y la muestra</w:t>
      </w:r>
    </w:p>
    <w:p w:rsidR="00084B75" w:rsidRPr="0061347A" w:rsidRDefault="00A10915" w:rsidP="00641D65">
      <w:pPr>
        <w:spacing w:after="0"/>
        <w:ind w:firstLine="426"/>
        <w:jc w:val="both"/>
        <w:rPr>
          <w:rFonts w:cs="Times New Roman"/>
        </w:rPr>
      </w:pPr>
      <w:r w:rsidRPr="0061347A">
        <w:rPr>
          <w:rFonts w:cs="Times New Roman"/>
        </w:rPr>
        <w:t xml:space="preserve">La población </w:t>
      </w:r>
      <w:r w:rsidR="008D5E0E" w:rsidRPr="0061347A">
        <w:rPr>
          <w:rFonts w:cs="Times New Roman"/>
        </w:rPr>
        <w:t xml:space="preserve">estuvo </w:t>
      </w:r>
      <w:r w:rsidRPr="0061347A">
        <w:rPr>
          <w:rFonts w:cs="Times New Roman"/>
        </w:rPr>
        <w:t>conformada</w:t>
      </w:r>
      <w:r w:rsidR="00A1776D" w:rsidRPr="0061347A">
        <w:rPr>
          <w:rFonts w:cs="Times New Roman"/>
        </w:rPr>
        <w:t xml:space="preserve"> por empresas mineras metálicas</w:t>
      </w:r>
      <w:r w:rsidRPr="0061347A">
        <w:rPr>
          <w:rFonts w:cs="Times New Roman"/>
        </w:rPr>
        <w:t xml:space="preserve"> formales,</w:t>
      </w:r>
      <w:r w:rsidR="00A1776D" w:rsidRPr="0061347A">
        <w:rPr>
          <w:rFonts w:cs="Times New Roman"/>
        </w:rPr>
        <w:t xml:space="preserve"> medianas y grandes, </w:t>
      </w:r>
      <w:r w:rsidRPr="0061347A">
        <w:rPr>
          <w:rFonts w:cs="Times New Roman"/>
        </w:rPr>
        <w:t>con operaciones en el Perú, que según el Directorio Minero del Ministerio de Energía y Minas</w:t>
      </w:r>
      <w:r w:rsidR="00A1776D" w:rsidRPr="0061347A">
        <w:rPr>
          <w:rFonts w:cs="Times New Roman"/>
        </w:rPr>
        <w:t xml:space="preserve"> peruano</w:t>
      </w:r>
      <w:r w:rsidRPr="0061347A">
        <w:rPr>
          <w:rFonts w:cs="Times New Roman"/>
        </w:rPr>
        <w:t xml:space="preserve"> son</w:t>
      </w:r>
      <w:r w:rsidR="00F60110" w:rsidRPr="0061347A">
        <w:rPr>
          <w:rFonts w:cs="Times New Roman"/>
        </w:rPr>
        <w:t xml:space="preserve"> un total de</w:t>
      </w:r>
      <w:r w:rsidRPr="0061347A">
        <w:rPr>
          <w:rFonts w:cs="Times New Roman"/>
        </w:rPr>
        <w:t xml:space="preserve"> 50</w:t>
      </w:r>
      <w:r w:rsidR="00F60110" w:rsidRPr="0061347A">
        <w:rPr>
          <w:rFonts w:cs="Times New Roman"/>
        </w:rPr>
        <w:t xml:space="preserve">. Todas estas empresas registran </w:t>
      </w:r>
      <w:r w:rsidRPr="0061347A">
        <w:rPr>
          <w:rFonts w:cs="Times New Roman"/>
        </w:rPr>
        <w:t>actividad</w:t>
      </w:r>
      <w:r w:rsidR="008D5E0E" w:rsidRPr="0061347A">
        <w:rPr>
          <w:rFonts w:cs="Times New Roman"/>
        </w:rPr>
        <w:t>es</w:t>
      </w:r>
      <w:r w:rsidRPr="0061347A">
        <w:rPr>
          <w:rFonts w:cs="Times New Roman"/>
        </w:rPr>
        <w:t xml:space="preserve"> mayor</w:t>
      </w:r>
      <w:r w:rsidR="008D5E0E" w:rsidRPr="0061347A">
        <w:rPr>
          <w:rFonts w:cs="Times New Roman"/>
        </w:rPr>
        <w:t>es</w:t>
      </w:r>
      <w:r w:rsidRPr="0061347A">
        <w:rPr>
          <w:rFonts w:cs="Times New Roman"/>
        </w:rPr>
        <w:t xml:space="preserve"> a </w:t>
      </w:r>
      <w:r w:rsidR="008D5E0E" w:rsidRPr="0061347A">
        <w:rPr>
          <w:rFonts w:cs="Times New Roman"/>
        </w:rPr>
        <w:t>cinco</w:t>
      </w:r>
      <w:r w:rsidRPr="0061347A">
        <w:rPr>
          <w:rFonts w:cs="Times New Roman"/>
        </w:rPr>
        <w:t xml:space="preserve"> año</w:t>
      </w:r>
      <w:r w:rsidR="00E63750" w:rsidRPr="0061347A">
        <w:rPr>
          <w:rFonts w:cs="Times New Roman"/>
        </w:rPr>
        <w:t>s. Por consiguiente, la unidad de análisis</w:t>
      </w:r>
      <w:r w:rsidR="000059CB" w:rsidRPr="0061347A">
        <w:rPr>
          <w:rFonts w:cs="Times New Roman"/>
        </w:rPr>
        <w:t xml:space="preserve"> fue un censo de </w:t>
      </w:r>
      <w:r w:rsidR="00E63750" w:rsidRPr="0061347A">
        <w:rPr>
          <w:rFonts w:cs="Times New Roman"/>
        </w:rPr>
        <w:t>las empresas mineras con las características m</w:t>
      </w:r>
      <w:r w:rsidR="005A27F5" w:rsidRPr="0061347A">
        <w:rPr>
          <w:rFonts w:cs="Times New Roman"/>
        </w:rPr>
        <w:t>encionadas anteriormente y la</w:t>
      </w:r>
      <w:r w:rsidR="00E63750" w:rsidRPr="0061347A">
        <w:rPr>
          <w:rFonts w:cs="Times New Roman"/>
        </w:rPr>
        <w:t xml:space="preserve"> información </w:t>
      </w:r>
      <w:r w:rsidR="000059CB" w:rsidRPr="0061347A">
        <w:rPr>
          <w:rFonts w:cs="Times New Roman"/>
        </w:rPr>
        <w:t xml:space="preserve">fue recolectada directamente de </w:t>
      </w:r>
      <w:r w:rsidR="00E63750" w:rsidRPr="0061347A">
        <w:rPr>
          <w:rFonts w:cs="Times New Roman"/>
        </w:rPr>
        <w:t xml:space="preserve">los </w:t>
      </w:r>
      <w:r w:rsidR="000059CB" w:rsidRPr="0061347A">
        <w:rPr>
          <w:rFonts w:cs="Times New Roman"/>
        </w:rPr>
        <w:t xml:space="preserve">ejecutivos </w:t>
      </w:r>
      <w:r w:rsidRPr="0061347A">
        <w:rPr>
          <w:rFonts w:cs="Times New Roman"/>
        </w:rPr>
        <w:t xml:space="preserve">vinculados a la toma de decisiones </w:t>
      </w:r>
      <w:r w:rsidR="007624A2" w:rsidRPr="0061347A">
        <w:rPr>
          <w:rFonts w:cs="Times New Roman"/>
        </w:rPr>
        <w:t xml:space="preserve">en esas empresas, tales </w:t>
      </w:r>
      <w:r w:rsidRPr="0061347A">
        <w:rPr>
          <w:rFonts w:cs="Times New Roman"/>
        </w:rPr>
        <w:t xml:space="preserve">como </w:t>
      </w:r>
      <w:r w:rsidR="0011042E" w:rsidRPr="0061347A">
        <w:rPr>
          <w:rFonts w:cs="Times New Roman"/>
        </w:rPr>
        <w:t xml:space="preserve">el Presidente </w:t>
      </w:r>
      <w:r w:rsidRPr="0061347A">
        <w:rPr>
          <w:rFonts w:cs="Times New Roman"/>
        </w:rPr>
        <w:t>de</w:t>
      </w:r>
      <w:r w:rsidR="0011042E" w:rsidRPr="0061347A">
        <w:rPr>
          <w:rFonts w:cs="Times New Roman"/>
        </w:rPr>
        <w:t>l</w:t>
      </w:r>
      <w:r w:rsidRPr="0061347A">
        <w:rPr>
          <w:rFonts w:cs="Times New Roman"/>
        </w:rPr>
        <w:t xml:space="preserve"> Directorio, Directores y Gerentes Generales </w:t>
      </w:r>
      <w:r w:rsidR="00654A6A" w:rsidRPr="0061347A">
        <w:rPr>
          <w:rFonts w:cs="Times New Roman"/>
        </w:rPr>
        <w:t xml:space="preserve">o sus similares </w:t>
      </w:r>
      <w:r w:rsidRPr="0061347A">
        <w:rPr>
          <w:rFonts w:cs="Times New Roman"/>
        </w:rPr>
        <w:t>(Felipe et al., 2017; Hambrick &amp; Mason, 1984).</w:t>
      </w:r>
    </w:p>
    <w:p w:rsidR="000A5654" w:rsidRPr="0061347A" w:rsidRDefault="000A5654" w:rsidP="00641D65">
      <w:pPr>
        <w:spacing w:after="0"/>
        <w:ind w:firstLine="426"/>
        <w:jc w:val="both"/>
        <w:rPr>
          <w:rFonts w:cs="Times New Roman"/>
        </w:rPr>
      </w:pPr>
    </w:p>
    <w:p w:rsidR="000A5654" w:rsidRPr="0061347A" w:rsidRDefault="000A5654" w:rsidP="00641D65">
      <w:pPr>
        <w:spacing w:after="0"/>
        <w:ind w:firstLine="426"/>
        <w:jc w:val="both"/>
        <w:rPr>
          <w:rFonts w:cs="Times New Roman"/>
        </w:rPr>
      </w:pPr>
    </w:p>
    <w:p w:rsidR="000A5654" w:rsidRPr="0061347A" w:rsidRDefault="000A5654" w:rsidP="00641D65">
      <w:pPr>
        <w:spacing w:after="0"/>
        <w:ind w:firstLine="426"/>
        <w:jc w:val="both"/>
        <w:rPr>
          <w:rFonts w:cs="Times New Roman"/>
        </w:rPr>
      </w:pPr>
    </w:p>
    <w:p w:rsidR="00644BCB" w:rsidRPr="0061347A" w:rsidRDefault="00644BCB" w:rsidP="003D4270">
      <w:pPr>
        <w:spacing w:after="0"/>
        <w:jc w:val="both"/>
        <w:rPr>
          <w:rFonts w:cs="Times New Roman"/>
        </w:rPr>
      </w:pPr>
    </w:p>
    <w:p w:rsidR="005400A7" w:rsidRPr="0061347A" w:rsidRDefault="00B71334" w:rsidP="003D4270">
      <w:pPr>
        <w:spacing w:after="0"/>
        <w:jc w:val="both"/>
        <w:rPr>
          <w:b/>
          <w:szCs w:val="24"/>
        </w:rPr>
      </w:pPr>
      <w:r w:rsidRPr="0061347A">
        <w:rPr>
          <w:b/>
          <w:szCs w:val="24"/>
        </w:rPr>
        <w:t>Tabla 1</w:t>
      </w:r>
      <w:r w:rsidR="00F1187D" w:rsidRPr="0061347A">
        <w:rPr>
          <w:b/>
          <w:szCs w:val="24"/>
        </w:rPr>
        <w:t>.</w:t>
      </w:r>
      <w:r w:rsidRPr="0061347A">
        <w:rPr>
          <w:b/>
          <w:szCs w:val="24"/>
        </w:rPr>
        <w:t xml:space="preserve"> </w:t>
      </w:r>
      <w:r w:rsidRPr="0061347A">
        <w:rPr>
          <w:szCs w:val="24"/>
        </w:rPr>
        <w:t>Po</w:t>
      </w:r>
      <w:r w:rsidR="00B16114" w:rsidRPr="0061347A">
        <w:rPr>
          <w:szCs w:val="24"/>
        </w:rPr>
        <w:t>blación y M</w:t>
      </w:r>
      <w:r w:rsidRPr="0061347A">
        <w:rPr>
          <w:szCs w:val="24"/>
        </w:rPr>
        <w:t>uestra</w:t>
      </w:r>
    </w:p>
    <w:p w:rsidR="002F2326" w:rsidRPr="0061347A" w:rsidRDefault="00070C89" w:rsidP="003D4270">
      <w:pPr>
        <w:spacing w:after="0"/>
        <w:jc w:val="both"/>
        <w:rPr>
          <w:b/>
          <w:szCs w:val="24"/>
        </w:rPr>
      </w:pPr>
      <w:r w:rsidRPr="0061347A">
        <w:rPr>
          <w:noProof/>
          <w:lang w:eastAsia="es-PE"/>
        </w:rPr>
        <w:drawing>
          <wp:anchor distT="0" distB="0" distL="114300" distR="114300" simplePos="0" relativeHeight="251684864" behindDoc="0" locked="0" layoutInCell="1" allowOverlap="1" wp14:anchorId="42B23957" wp14:editId="4A4E9094">
            <wp:simplePos x="0" y="0"/>
            <wp:positionH relativeFrom="column">
              <wp:posOffset>126624</wp:posOffset>
            </wp:positionH>
            <wp:positionV relativeFrom="paragraph">
              <wp:posOffset>24104</wp:posOffset>
            </wp:positionV>
            <wp:extent cx="3114665" cy="852196"/>
            <wp:effectExtent l="0" t="0" r="0" b="508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0328" cy="86195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F2326" w:rsidRPr="0061347A" w:rsidRDefault="002F2326" w:rsidP="002F2326">
      <w:pPr>
        <w:rPr>
          <w:rFonts w:cs="Times New Roman"/>
          <w:szCs w:val="24"/>
        </w:rPr>
      </w:pPr>
    </w:p>
    <w:p w:rsidR="002F2326" w:rsidRPr="0061347A" w:rsidRDefault="002F2326" w:rsidP="002F2326">
      <w:pPr>
        <w:spacing w:line="240" w:lineRule="auto"/>
        <w:rPr>
          <w:rFonts w:cs="Times New Roman"/>
          <w:szCs w:val="24"/>
        </w:rPr>
      </w:pPr>
    </w:p>
    <w:p w:rsidR="002E708E" w:rsidRPr="0061347A" w:rsidRDefault="002E708E" w:rsidP="002F2326">
      <w:pPr>
        <w:spacing w:line="240" w:lineRule="auto"/>
        <w:rPr>
          <w:rFonts w:cs="Times New Roman"/>
          <w:szCs w:val="24"/>
        </w:rPr>
      </w:pPr>
    </w:p>
    <w:p w:rsidR="000961A8" w:rsidRPr="0061347A" w:rsidRDefault="007D2967" w:rsidP="000961A8">
      <w:pPr>
        <w:spacing w:after="0" w:line="240" w:lineRule="auto"/>
        <w:rPr>
          <w:rFonts w:cs="Times New Roman"/>
          <w:szCs w:val="24"/>
        </w:rPr>
      </w:pPr>
      <w:r w:rsidRPr="0061347A">
        <w:rPr>
          <w:rFonts w:cs="Times New Roman"/>
          <w:i/>
          <w:szCs w:val="24"/>
        </w:rPr>
        <w:t>Nota</w:t>
      </w:r>
      <w:r w:rsidR="00984E58" w:rsidRPr="0061347A">
        <w:rPr>
          <w:rFonts w:cs="Times New Roman"/>
          <w:szCs w:val="24"/>
        </w:rPr>
        <w:t>.</w:t>
      </w:r>
      <w:r w:rsidRPr="0061347A">
        <w:rPr>
          <w:rFonts w:cs="Times New Roman"/>
          <w:szCs w:val="24"/>
        </w:rPr>
        <w:t xml:space="preserve"> </w:t>
      </w:r>
      <w:r w:rsidR="002F2326" w:rsidRPr="0061347A">
        <w:rPr>
          <w:rFonts w:cs="Times New Roman"/>
          <w:szCs w:val="24"/>
        </w:rPr>
        <w:t xml:space="preserve">Adaptado de </w:t>
      </w:r>
      <w:r w:rsidR="002F2326" w:rsidRPr="0061347A">
        <w:rPr>
          <w:rFonts w:cs="Times New Roman"/>
          <w:i/>
          <w:szCs w:val="24"/>
        </w:rPr>
        <w:t>Directorio Minero - Ministerio de Energía y Minas</w:t>
      </w:r>
      <w:r w:rsidR="002F2326" w:rsidRPr="0061347A">
        <w:rPr>
          <w:rFonts w:cs="Times New Roman"/>
          <w:szCs w:val="24"/>
        </w:rPr>
        <w:t xml:space="preserve">. </w:t>
      </w:r>
      <w:r w:rsidR="000961A8" w:rsidRPr="0061347A">
        <w:rPr>
          <w:rFonts w:cs="Times New Roman"/>
          <w:szCs w:val="24"/>
        </w:rPr>
        <w:t>Recuperado de</w:t>
      </w:r>
    </w:p>
    <w:p w:rsidR="000961A8" w:rsidRPr="0061347A" w:rsidRDefault="000961A8" w:rsidP="000961A8">
      <w:pPr>
        <w:spacing w:after="0" w:line="240" w:lineRule="auto"/>
        <w:rPr>
          <w:rFonts w:cs="Times New Roman"/>
          <w:szCs w:val="24"/>
        </w:rPr>
      </w:pPr>
      <w:r w:rsidRPr="0061347A">
        <w:rPr>
          <w:rFonts w:cs="Times New Roman"/>
          <w:szCs w:val="24"/>
        </w:rPr>
        <w:t>http://www.minem.gob.pe/descripcion.php?idSector=1&amp;idTitular=162&amp;idMenu=sub15</w:t>
      </w:r>
    </w:p>
    <w:p w:rsidR="002F2326" w:rsidRPr="0061347A" w:rsidRDefault="000961A8" w:rsidP="000961A8">
      <w:pPr>
        <w:spacing w:after="0" w:line="240" w:lineRule="auto"/>
        <w:rPr>
          <w:rFonts w:cs="Times New Roman"/>
          <w:szCs w:val="24"/>
        </w:rPr>
      </w:pPr>
      <w:r w:rsidRPr="0061347A">
        <w:rPr>
          <w:rFonts w:cs="Times New Roman"/>
          <w:szCs w:val="24"/>
        </w:rPr>
        <w:t>0&amp;idCateg=162</w:t>
      </w:r>
      <w:r w:rsidR="007D2967" w:rsidRPr="0061347A">
        <w:rPr>
          <w:rFonts w:cs="Times New Roman"/>
          <w:szCs w:val="24"/>
        </w:rPr>
        <w:t xml:space="preserve">. La importancia del sector minería en el Perú radica en que representa el 12% del PBI Nacional. </w:t>
      </w:r>
      <w:r w:rsidR="007D2967" w:rsidRPr="0061347A">
        <w:rPr>
          <w:rFonts w:cs="Times New Roman"/>
          <w:i/>
          <w:szCs w:val="24"/>
        </w:rPr>
        <w:t>Recuperado del Instituto Nacional de Estadística e Informática (INEI)</w:t>
      </w:r>
      <w:r w:rsidR="007D2967" w:rsidRPr="0061347A">
        <w:rPr>
          <w:rFonts w:cs="Times New Roman"/>
          <w:szCs w:val="24"/>
        </w:rPr>
        <w:t xml:space="preserve"> https://www.inei.gob.pe/estadisticas/indice-tematico/economia/</w:t>
      </w:r>
    </w:p>
    <w:p w:rsidR="00133F12" w:rsidRPr="0061347A" w:rsidRDefault="00133F12" w:rsidP="002F2326">
      <w:pPr>
        <w:spacing w:line="240" w:lineRule="auto"/>
        <w:rPr>
          <w:rFonts w:cs="Times New Roman"/>
          <w:szCs w:val="24"/>
        </w:rPr>
      </w:pPr>
    </w:p>
    <w:p w:rsidR="002F2326" w:rsidRPr="0061347A" w:rsidRDefault="002F2326" w:rsidP="003D4270">
      <w:pPr>
        <w:spacing w:after="0"/>
        <w:jc w:val="both"/>
        <w:rPr>
          <w:b/>
          <w:szCs w:val="24"/>
        </w:rPr>
      </w:pPr>
      <w:r w:rsidRPr="0061347A">
        <w:rPr>
          <w:b/>
          <w:szCs w:val="24"/>
        </w:rPr>
        <w:t>Tabla 2</w:t>
      </w:r>
      <w:r w:rsidR="00F1187D" w:rsidRPr="0061347A">
        <w:rPr>
          <w:b/>
          <w:szCs w:val="24"/>
        </w:rPr>
        <w:t>.</w:t>
      </w:r>
      <w:r w:rsidRPr="0061347A">
        <w:rPr>
          <w:b/>
          <w:szCs w:val="24"/>
        </w:rPr>
        <w:t xml:space="preserve"> </w:t>
      </w:r>
      <w:r w:rsidR="000059CB" w:rsidRPr="0061347A">
        <w:rPr>
          <w:szCs w:val="24"/>
        </w:rPr>
        <w:t>Información sobre los</w:t>
      </w:r>
      <w:r w:rsidR="000059CB" w:rsidRPr="0061347A">
        <w:rPr>
          <w:b/>
          <w:szCs w:val="24"/>
        </w:rPr>
        <w:t xml:space="preserve"> </w:t>
      </w:r>
      <w:r w:rsidR="00615463" w:rsidRPr="0061347A">
        <w:rPr>
          <w:szCs w:val="24"/>
        </w:rPr>
        <w:t>E</w:t>
      </w:r>
      <w:r w:rsidR="001C4527" w:rsidRPr="0061347A">
        <w:rPr>
          <w:szCs w:val="24"/>
        </w:rPr>
        <w:t xml:space="preserve">jecutivos que </w:t>
      </w:r>
      <w:r w:rsidR="00615463" w:rsidRPr="0061347A">
        <w:rPr>
          <w:szCs w:val="24"/>
        </w:rPr>
        <w:t>R</w:t>
      </w:r>
      <w:r w:rsidR="001C4527" w:rsidRPr="0061347A">
        <w:rPr>
          <w:szCs w:val="24"/>
        </w:rPr>
        <w:t xml:space="preserve">espondieron las </w:t>
      </w:r>
      <w:r w:rsidR="00615463" w:rsidRPr="0061347A">
        <w:rPr>
          <w:szCs w:val="24"/>
        </w:rPr>
        <w:t>E</w:t>
      </w:r>
      <w:r w:rsidR="001C4527" w:rsidRPr="0061347A">
        <w:rPr>
          <w:szCs w:val="24"/>
        </w:rPr>
        <w:t>ncuestas</w:t>
      </w:r>
    </w:p>
    <w:p w:rsidR="002F2326" w:rsidRPr="0061347A" w:rsidRDefault="00904D4D" w:rsidP="003D4270">
      <w:pPr>
        <w:spacing w:after="0"/>
        <w:jc w:val="both"/>
        <w:rPr>
          <w:b/>
          <w:szCs w:val="24"/>
        </w:rPr>
      </w:pPr>
      <w:r w:rsidRPr="0061347A">
        <w:rPr>
          <w:noProof/>
          <w:lang w:eastAsia="es-PE"/>
        </w:rPr>
        <w:drawing>
          <wp:anchor distT="0" distB="0" distL="114300" distR="114300" simplePos="0" relativeHeight="251714560" behindDoc="0" locked="0" layoutInCell="1" allowOverlap="1" wp14:anchorId="430D4CAA" wp14:editId="7042F9DC">
            <wp:simplePos x="0" y="0"/>
            <wp:positionH relativeFrom="column">
              <wp:posOffset>6457</wp:posOffset>
            </wp:positionH>
            <wp:positionV relativeFrom="paragraph">
              <wp:posOffset>124468</wp:posOffset>
            </wp:positionV>
            <wp:extent cx="5373247" cy="3762771"/>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0559" cy="376789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F2326" w:rsidRPr="0061347A" w:rsidRDefault="002F2326"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2F2326" w:rsidRPr="0061347A" w:rsidRDefault="002F2326" w:rsidP="003D4270">
      <w:pPr>
        <w:spacing w:after="0"/>
        <w:jc w:val="both"/>
        <w:rPr>
          <w:b/>
          <w:szCs w:val="24"/>
        </w:rPr>
      </w:pPr>
    </w:p>
    <w:p w:rsidR="002F2326" w:rsidRPr="0061347A" w:rsidRDefault="002F2326"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904D4D" w:rsidRPr="0061347A" w:rsidRDefault="00904D4D" w:rsidP="003D4270">
      <w:pPr>
        <w:spacing w:after="0"/>
        <w:jc w:val="both"/>
        <w:rPr>
          <w:b/>
          <w:szCs w:val="24"/>
        </w:rPr>
      </w:pPr>
    </w:p>
    <w:p w:rsidR="00B65C03" w:rsidRPr="0061347A" w:rsidRDefault="00B65C03" w:rsidP="003D4270">
      <w:pPr>
        <w:spacing w:after="0"/>
        <w:jc w:val="both"/>
        <w:rPr>
          <w:b/>
          <w:szCs w:val="24"/>
        </w:rPr>
      </w:pPr>
    </w:p>
    <w:p w:rsidR="00984E58" w:rsidRPr="0061347A" w:rsidRDefault="00984E58" w:rsidP="00984E58">
      <w:pPr>
        <w:spacing w:after="0"/>
        <w:jc w:val="both"/>
        <w:rPr>
          <w:szCs w:val="24"/>
        </w:rPr>
      </w:pPr>
      <w:r w:rsidRPr="0061347A">
        <w:rPr>
          <w:szCs w:val="24"/>
        </w:rPr>
        <w:t>Nota. La distribución</w:t>
      </w:r>
      <w:r w:rsidR="00AB1FDE" w:rsidRPr="0061347A">
        <w:rPr>
          <w:szCs w:val="24"/>
        </w:rPr>
        <w:t xml:space="preserve"> porcentual por género </w:t>
      </w:r>
      <w:r w:rsidRPr="0061347A">
        <w:rPr>
          <w:szCs w:val="24"/>
        </w:rPr>
        <w:t xml:space="preserve">de los que </w:t>
      </w:r>
      <w:r w:rsidR="00AB1FDE" w:rsidRPr="0061347A">
        <w:rPr>
          <w:szCs w:val="24"/>
        </w:rPr>
        <w:t>respondieron la encuesta</w:t>
      </w:r>
      <w:r w:rsidRPr="0061347A">
        <w:rPr>
          <w:szCs w:val="24"/>
        </w:rPr>
        <w:t xml:space="preserve">: en la gran minería </w:t>
      </w:r>
      <w:r w:rsidR="00333763" w:rsidRPr="0061347A">
        <w:rPr>
          <w:szCs w:val="24"/>
        </w:rPr>
        <w:t>4</w:t>
      </w:r>
      <w:r w:rsidRPr="0061347A">
        <w:rPr>
          <w:szCs w:val="24"/>
        </w:rPr>
        <w:t xml:space="preserve">% femenino y </w:t>
      </w:r>
      <w:r w:rsidR="00333763" w:rsidRPr="0061347A">
        <w:rPr>
          <w:szCs w:val="24"/>
        </w:rPr>
        <w:t>96%</w:t>
      </w:r>
      <w:r w:rsidRPr="0061347A">
        <w:rPr>
          <w:szCs w:val="24"/>
        </w:rPr>
        <w:t xml:space="preserve"> masculino y en la mediana minería: </w:t>
      </w:r>
      <w:r w:rsidR="00333763" w:rsidRPr="0061347A">
        <w:rPr>
          <w:szCs w:val="24"/>
        </w:rPr>
        <w:t>22</w:t>
      </w:r>
      <w:r w:rsidRPr="0061347A">
        <w:rPr>
          <w:szCs w:val="24"/>
        </w:rPr>
        <w:t xml:space="preserve">% femenino y </w:t>
      </w:r>
      <w:r w:rsidR="00333763" w:rsidRPr="0061347A">
        <w:rPr>
          <w:szCs w:val="24"/>
        </w:rPr>
        <w:t>78</w:t>
      </w:r>
      <w:r w:rsidRPr="0061347A">
        <w:rPr>
          <w:szCs w:val="24"/>
        </w:rPr>
        <w:t>% masculino.</w:t>
      </w:r>
    </w:p>
    <w:p w:rsidR="00984E58" w:rsidRPr="0061347A" w:rsidRDefault="00984E58" w:rsidP="00984E58">
      <w:pPr>
        <w:spacing w:after="0"/>
        <w:jc w:val="both"/>
        <w:rPr>
          <w:szCs w:val="24"/>
        </w:rPr>
      </w:pPr>
    </w:p>
    <w:p w:rsidR="00084B75" w:rsidRPr="0061347A" w:rsidRDefault="00424765" w:rsidP="00984E58">
      <w:pPr>
        <w:pStyle w:val="Prrafodelista"/>
        <w:numPr>
          <w:ilvl w:val="1"/>
          <w:numId w:val="3"/>
        </w:numPr>
        <w:spacing w:after="0" w:line="240" w:lineRule="auto"/>
        <w:ind w:left="426" w:hanging="426"/>
        <w:rPr>
          <w:b/>
          <w:i/>
          <w:szCs w:val="24"/>
        </w:rPr>
      </w:pPr>
      <w:r w:rsidRPr="0061347A">
        <w:rPr>
          <w:b/>
          <w:i/>
          <w:szCs w:val="24"/>
        </w:rPr>
        <w:t xml:space="preserve">Evaluación del </w:t>
      </w:r>
      <w:r w:rsidR="00C01A73" w:rsidRPr="0061347A">
        <w:rPr>
          <w:b/>
          <w:i/>
          <w:szCs w:val="24"/>
        </w:rPr>
        <w:t>Modelo de Medida</w:t>
      </w:r>
    </w:p>
    <w:p w:rsidR="00D946B9" w:rsidRPr="0061347A" w:rsidRDefault="0023445E" w:rsidP="0023445E">
      <w:pPr>
        <w:spacing w:after="0"/>
        <w:ind w:firstLine="426"/>
        <w:jc w:val="both"/>
        <w:rPr>
          <w:rFonts w:cs="Times New Roman"/>
        </w:rPr>
      </w:pPr>
      <w:r w:rsidRPr="0061347A">
        <w:rPr>
          <w:rFonts w:cs="Times New Roman"/>
        </w:rPr>
        <w:t>Los modelos de medición reflexivos forman la columna vertebral de la investigación del comportamiento (Henseler, 2017).</w:t>
      </w:r>
      <w:r w:rsidR="00107EBA" w:rsidRPr="0061347A">
        <w:rPr>
          <w:rFonts w:cs="Times New Roman"/>
        </w:rPr>
        <w:t xml:space="preserve"> Es decir, la definición del constructo guía la conceptualización de los modelos de medición, lo </w:t>
      </w:r>
      <w:r w:rsidR="00BE0967" w:rsidRPr="0061347A">
        <w:rPr>
          <w:rFonts w:cs="Times New Roman"/>
        </w:rPr>
        <w:t xml:space="preserve">que implica decidir si medir un constructo </w:t>
      </w:r>
      <w:r w:rsidR="00107EBA" w:rsidRPr="0061347A">
        <w:rPr>
          <w:rFonts w:cs="Times New Roman"/>
        </w:rPr>
        <w:t>de manera reflexiva o formativa (Sarstedt et al., 2016).</w:t>
      </w:r>
      <w:r w:rsidR="00BE0967" w:rsidRPr="0061347A">
        <w:rPr>
          <w:rFonts w:cs="Times New Roman"/>
        </w:rPr>
        <w:t xml:space="preserve"> </w:t>
      </w:r>
      <w:r w:rsidRPr="0061347A">
        <w:rPr>
          <w:rFonts w:cs="Times New Roman"/>
        </w:rPr>
        <w:t>La</w:t>
      </w:r>
      <w:r w:rsidR="00BE0967" w:rsidRPr="0061347A">
        <w:rPr>
          <w:rFonts w:cs="Times New Roman"/>
        </w:rPr>
        <w:t xml:space="preserve"> </w:t>
      </w:r>
      <w:r w:rsidRPr="0061347A">
        <w:rPr>
          <w:rFonts w:cs="Times New Roman"/>
        </w:rPr>
        <w:t xml:space="preserve">presente investigación estudió a la variable latente autoeficacia, que viene a ser la determinación conductual y motivacional frente a dificultades (Bandura, 1978). Por lo tanto, los </w:t>
      </w:r>
      <w:r w:rsidRPr="0061347A">
        <w:rPr>
          <w:rFonts w:cs="Times New Roman"/>
        </w:rPr>
        <w:lastRenderedPageBreak/>
        <w:t xml:space="preserve">constructos incluidos en este modelo son reflexivos de factores comunes </w:t>
      </w:r>
      <w:r w:rsidR="001E7F4A" w:rsidRPr="0061347A">
        <w:rPr>
          <w:rFonts w:cs="Times New Roman"/>
        </w:rPr>
        <w:t>que</w:t>
      </w:r>
      <w:r w:rsidRPr="0061347A">
        <w:rPr>
          <w:rFonts w:cs="Times New Roman"/>
        </w:rPr>
        <w:t xml:space="preserve"> se examinó</w:t>
      </w:r>
      <w:r w:rsidR="001E7F4A" w:rsidRPr="0061347A">
        <w:rPr>
          <w:rFonts w:cs="Times New Roman"/>
        </w:rPr>
        <w:t xml:space="preserve"> inicialmente </w:t>
      </w:r>
      <w:r w:rsidRPr="0061347A">
        <w:rPr>
          <w:rFonts w:cs="Times New Roman"/>
        </w:rPr>
        <w:t>mediante análisis factorial confirmatorio (Florea &amp; Munteanu, 2020; Henseler, 2017).</w:t>
      </w:r>
      <w:r w:rsidR="00156A10" w:rsidRPr="0061347A">
        <w:rPr>
          <w:rFonts w:cs="Times New Roman"/>
        </w:rPr>
        <w:t xml:space="preserve"> Considerando, además que PLS prácticamente no implica sesgo al estimar datos de una población de modelo compuesto, independientemente de si los modelos de medición son reflexivos o formativos (Sarstedt et al., </w:t>
      </w:r>
      <w:r w:rsidR="00583368" w:rsidRPr="0061347A">
        <w:rPr>
          <w:rFonts w:cs="Times New Roman"/>
        </w:rPr>
        <w:t xml:space="preserve">2016) y, que </w:t>
      </w:r>
      <w:r w:rsidR="00D946B9" w:rsidRPr="0061347A">
        <w:rPr>
          <w:rFonts w:cs="Times New Roman"/>
        </w:rPr>
        <w:t xml:space="preserve">las medidas de ajuste, </w:t>
      </w:r>
      <w:r w:rsidR="00583368" w:rsidRPr="0061347A">
        <w:rPr>
          <w:rFonts w:cs="Times New Roman"/>
        </w:rPr>
        <w:t xml:space="preserve">como </w:t>
      </w:r>
      <w:r w:rsidR="00D946B9" w:rsidRPr="0061347A">
        <w:rPr>
          <w:rFonts w:cs="Times New Roman"/>
        </w:rPr>
        <w:t xml:space="preserve">la </w:t>
      </w:r>
      <w:r w:rsidR="00FF6522" w:rsidRPr="0061347A">
        <w:rPr>
          <w:rFonts w:cs="Times New Roman"/>
        </w:rPr>
        <w:t>R</w:t>
      </w:r>
      <w:r w:rsidR="00D946B9" w:rsidRPr="0061347A">
        <w:rPr>
          <w:rFonts w:cs="Times New Roman"/>
        </w:rPr>
        <w:t xml:space="preserve">aíz </w:t>
      </w:r>
      <w:r w:rsidR="00FF6522" w:rsidRPr="0061347A">
        <w:rPr>
          <w:rFonts w:cs="Times New Roman"/>
        </w:rPr>
        <w:t>C</w:t>
      </w:r>
      <w:r w:rsidR="00D946B9" w:rsidRPr="0061347A">
        <w:rPr>
          <w:rFonts w:cs="Times New Roman"/>
        </w:rPr>
        <w:t xml:space="preserve">uadrática </w:t>
      </w:r>
      <w:r w:rsidR="00FF6522" w:rsidRPr="0061347A">
        <w:rPr>
          <w:rFonts w:cs="Times New Roman"/>
        </w:rPr>
        <w:t>M</w:t>
      </w:r>
      <w:r w:rsidR="00D946B9" w:rsidRPr="0061347A">
        <w:rPr>
          <w:rFonts w:cs="Times New Roman"/>
        </w:rPr>
        <w:t xml:space="preserve">edia </w:t>
      </w:r>
      <w:r w:rsidR="00FF6522" w:rsidRPr="0061347A">
        <w:rPr>
          <w:rFonts w:cs="Times New Roman"/>
        </w:rPr>
        <w:t>E</w:t>
      </w:r>
      <w:r w:rsidR="00D946B9" w:rsidRPr="0061347A">
        <w:rPr>
          <w:rFonts w:cs="Times New Roman"/>
        </w:rPr>
        <w:t>standarizada (SRMR&lt; 0,08), este resultado</w:t>
      </w:r>
      <w:r w:rsidR="00574909" w:rsidRPr="0061347A">
        <w:rPr>
          <w:rFonts w:cs="Times New Roman"/>
        </w:rPr>
        <w:t xml:space="preserve"> (ver Tabla 8)</w:t>
      </w:r>
      <w:r w:rsidR="00D946B9" w:rsidRPr="0061347A">
        <w:rPr>
          <w:rFonts w:cs="Times New Roman"/>
        </w:rPr>
        <w:t xml:space="preserve"> sugiere que los datos siguen un modelo compuesto (Sarstedt et al., 2016).</w:t>
      </w:r>
    </w:p>
    <w:p w:rsidR="00CC572E" w:rsidRPr="0061347A" w:rsidRDefault="00F747F2" w:rsidP="00641D65">
      <w:pPr>
        <w:spacing w:after="0"/>
        <w:ind w:firstLine="426"/>
        <w:jc w:val="both"/>
        <w:rPr>
          <w:rFonts w:cs="Times New Roman"/>
        </w:rPr>
      </w:pPr>
      <w:r w:rsidRPr="0061347A">
        <w:rPr>
          <w:rFonts w:cs="Times New Roman"/>
        </w:rPr>
        <w:t>Con respecto a la evaluación del modelo de medi</w:t>
      </w:r>
      <w:r w:rsidR="001534A9" w:rsidRPr="0061347A">
        <w:rPr>
          <w:rFonts w:cs="Times New Roman"/>
        </w:rPr>
        <w:t>da</w:t>
      </w:r>
      <w:r w:rsidR="00DE798C" w:rsidRPr="0061347A">
        <w:rPr>
          <w:rFonts w:cs="Times New Roman"/>
        </w:rPr>
        <w:t>, en primer lugar</w:t>
      </w:r>
      <w:r w:rsidR="00924276" w:rsidRPr="0061347A">
        <w:rPr>
          <w:rFonts w:cs="Times New Roman"/>
        </w:rPr>
        <w:t xml:space="preserve">, </w:t>
      </w:r>
      <w:r w:rsidR="00A11929" w:rsidRPr="0061347A">
        <w:rPr>
          <w:rFonts w:cs="Times New Roman"/>
        </w:rPr>
        <w:t xml:space="preserve">se </w:t>
      </w:r>
      <w:r w:rsidR="00DE798C" w:rsidRPr="0061347A">
        <w:rPr>
          <w:rFonts w:cs="Times New Roman"/>
        </w:rPr>
        <w:t>evalua</w:t>
      </w:r>
      <w:r w:rsidR="00A11929" w:rsidRPr="0061347A">
        <w:rPr>
          <w:rFonts w:cs="Times New Roman"/>
        </w:rPr>
        <w:t>ron</w:t>
      </w:r>
      <w:r w:rsidR="00DE798C" w:rsidRPr="0061347A">
        <w:rPr>
          <w:rFonts w:cs="Times New Roman"/>
        </w:rPr>
        <w:t xml:space="preserve"> las </w:t>
      </w:r>
      <w:r w:rsidR="005F2C6F" w:rsidRPr="0061347A">
        <w:rPr>
          <w:rFonts w:cs="Times New Roman"/>
        </w:rPr>
        <w:t xml:space="preserve">cargas factoriales de las </w:t>
      </w:r>
      <w:r w:rsidRPr="0061347A">
        <w:rPr>
          <w:rFonts w:cs="Times New Roman"/>
        </w:rPr>
        <w:t>variables observables</w:t>
      </w:r>
      <w:r w:rsidR="00A11929" w:rsidRPr="0061347A">
        <w:rPr>
          <w:rFonts w:cs="Times New Roman"/>
        </w:rPr>
        <w:t xml:space="preserve">. El análisis factorial exploratorio mostró que </w:t>
      </w:r>
      <w:r w:rsidRPr="0061347A">
        <w:rPr>
          <w:rFonts w:cs="Times New Roman"/>
        </w:rPr>
        <w:t>todas las cargas factoriales son satisfactori</w:t>
      </w:r>
      <w:r w:rsidR="00AE3350" w:rsidRPr="0061347A">
        <w:rPr>
          <w:rFonts w:cs="Times New Roman"/>
        </w:rPr>
        <w:t>a</w:t>
      </w:r>
      <w:r w:rsidRPr="0061347A">
        <w:rPr>
          <w:rFonts w:cs="Times New Roman"/>
        </w:rPr>
        <w:t>s, es decir &gt; 0.70, excepto la variable observable EPS</w:t>
      </w:r>
      <w:r w:rsidR="00A11929" w:rsidRPr="0061347A">
        <w:rPr>
          <w:rFonts w:cs="Times New Roman"/>
        </w:rPr>
        <w:t xml:space="preserve"> (</w:t>
      </w:r>
      <w:r w:rsidR="00BE650D" w:rsidRPr="0061347A">
        <w:rPr>
          <w:rFonts w:cs="Times New Roman"/>
        </w:rPr>
        <w:t>ganancias por acción</w:t>
      </w:r>
      <w:r w:rsidR="00A11929" w:rsidRPr="0061347A">
        <w:rPr>
          <w:rFonts w:cs="Times New Roman"/>
        </w:rPr>
        <w:t xml:space="preserve">) correspondiente al instrumento de medición </w:t>
      </w:r>
      <w:r w:rsidR="00BE650D" w:rsidRPr="0061347A">
        <w:rPr>
          <w:rFonts w:cs="Times New Roman"/>
        </w:rPr>
        <w:t xml:space="preserve">de la variable latente </w:t>
      </w:r>
      <w:r w:rsidR="00A11929" w:rsidRPr="0061347A">
        <w:rPr>
          <w:rFonts w:cs="Times New Roman"/>
        </w:rPr>
        <w:t>rentabilidad</w:t>
      </w:r>
      <w:r w:rsidR="00044784" w:rsidRPr="0061347A">
        <w:rPr>
          <w:rFonts w:cs="Times New Roman"/>
        </w:rPr>
        <w:t>, por lo que s</w:t>
      </w:r>
      <w:r w:rsidRPr="0061347A">
        <w:rPr>
          <w:rFonts w:cs="Times New Roman"/>
        </w:rPr>
        <w:t>e procedió a su eliminación (Hair J.F., 2021; Florea &amp; Munteanu, 2020) (ver Tabla 3</w:t>
      </w:r>
      <w:r w:rsidR="00FB6762" w:rsidRPr="0061347A">
        <w:rPr>
          <w:rFonts w:cs="Times New Roman"/>
        </w:rPr>
        <w:t xml:space="preserve"> y Figura 1</w:t>
      </w:r>
      <w:r w:rsidRPr="0061347A">
        <w:rPr>
          <w:rFonts w:cs="Times New Roman"/>
        </w:rPr>
        <w:t xml:space="preserve">). En segundo lugar, </w:t>
      </w:r>
      <w:r w:rsidR="004A408A" w:rsidRPr="0061347A">
        <w:rPr>
          <w:rFonts w:cs="Times New Roman"/>
        </w:rPr>
        <w:t>se evalu</w:t>
      </w:r>
      <w:r w:rsidR="00044784" w:rsidRPr="0061347A">
        <w:rPr>
          <w:rFonts w:cs="Times New Roman"/>
        </w:rPr>
        <w:t xml:space="preserve">ó </w:t>
      </w:r>
      <w:r w:rsidR="00DE798C" w:rsidRPr="0061347A">
        <w:rPr>
          <w:rFonts w:cs="Times New Roman"/>
        </w:rPr>
        <w:t>la validez convergente del modelo de medi</w:t>
      </w:r>
      <w:r w:rsidR="00B65C03" w:rsidRPr="0061347A">
        <w:rPr>
          <w:rFonts w:cs="Times New Roman"/>
        </w:rPr>
        <w:t>da</w:t>
      </w:r>
      <w:r w:rsidR="00DE798C" w:rsidRPr="0061347A">
        <w:rPr>
          <w:rFonts w:cs="Times New Roman"/>
        </w:rPr>
        <w:t>, para el cual</w:t>
      </w:r>
      <w:r w:rsidR="004A408A" w:rsidRPr="0061347A">
        <w:rPr>
          <w:rFonts w:cs="Times New Roman"/>
        </w:rPr>
        <w:t xml:space="preserve"> se encontró que</w:t>
      </w:r>
      <w:r w:rsidR="00DE798C" w:rsidRPr="0061347A">
        <w:rPr>
          <w:rFonts w:cs="Times New Roman"/>
        </w:rPr>
        <w:t xml:space="preserve"> la varianza media extraída (AVE) </w:t>
      </w:r>
      <w:r w:rsidR="004A408A" w:rsidRPr="0061347A">
        <w:rPr>
          <w:rFonts w:cs="Times New Roman"/>
        </w:rPr>
        <w:t>fue</w:t>
      </w:r>
      <w:r w:rsidR="00044784" w:rsidRPr="0061347A">
        <w:rPr>
          <w:rFonts w:cs="Times New Roman"/>
        </w:rPr>
        <w:t xml:space="preserve"> superior a </w:t>
      </w:r>
      <w:r w:rsidR="00DE798C" w:rsidRPr="0061347A">
        <w:rPr>
          <w:rFonts w:cs="Times New Roman"/>
        </w:rPr>
        <w:t xml:space="preserve">0.5 </w:t>
      </w:r>
      <w:r w:rsidR="00B711AC" w:rsidRPr="0061347A">
        <w:rPr>
          <w:rFonts w:cs="Times New Roman"/>
        </w:rPr>
        <w:t>(</w:t>
      </w:r>
      <w:r w:rsidR="008A543E" w:rsidRPr="0061347A">
        <w:rPr>
          <w:rFonts w:cs="Times New Roman"/>
        </w:rPr>
        <w:t>Dijkstra &amp; Henseler, 2015;</w:t>
      </w:r>
      <w:r w:rsidR="00E95A7E" w:rsidRPr="0061347A">
        <w:rPr>
          <w:rFonts w:cs="Times New Roman"/>
        </w:rPr>
        <w:t xml:space="preserve"> Henseler et al., 2016; </w:t>
      </w:r>
      <w:r w:rsidR="008A543E" w:rsidRPr="0061347A">
        <w:rPr>
          <w:rFonts w:cs="Times New Roman"/>
        </w:rPr>
        <w:t>Fornell &amp; Larcker, 1981</w:t>
      </w:r>
      <w:r w:rsidR="00B711AC" w:rsidRPr="0061347A">
        <w:rPr>
          <w:rFonts w:cs="Times New Roman"/>
        </w:rPr>
        <w:t>) (ver Tabla 3).</w:t>
      </w:r>
      <w:r w:rsidR="00AE3350" w:rsidRPr="0061347A">
        <w:rPr>
          <w:rFonts w:cs="Times New Roman"/>
        </w:rPr>
        <w:t xml:space="preserve"> En tercer lugar, </w:t>
      </w:r>
      <w:r w:rsidR="004A408A" w:rsidRPr="0061347A">
        <w:rPr>
          <w:rFonts w:cs="Times New Roman"/>
        </w:rPr>
        <w:t xml:space="preserve">se evaluó </w:t>
      </w:r>
      <w:r w:rsidR="00AE3350" w:rsidRPr="0061347A">
        <w:rPr>
          <w:rFonts w:cs="Times New Roman"/>
        </w:rPr>
        <w:t xml:space="preserve">la </w:t>
      </w:r>
      <w:r w:rsidR="00636963" w:rsidRPr="0061347A">
        <w:rPr>
          <w:rFonts w:cs="Times New Roman"/>
        </w:rPr>
        <w:t xml:space="preserve">validez discriminante </w:t>
      </w:r>
      <w:r w:rsidR="003E2C26" w:rsidRPr="0061347A">
        <w:rPr>
          <w:rFonts w:cs="Times New Roman"/>
        </w:rPr>
        <w:t>(grado en que las medidas de diferentes rasgos no están relacionadas)</w:t>
      </w:r>
      <w:r w:rsidR="00AE3350" w:rsidRPr="0061347A">
        <w:rPr>
          <w:rFonts w:cs="Times New Roman"/>
        </w:rPr>
        <w:t xml:space="preserve">, </w:t>
      </w:r>
      <w:r w:rsidR="004A408A" w:rsidRPr="0061347A">
        <w:rPr>
          <w:rFonts w:cs="Times New Roman"/>
        </w:rPr>
        <w:t xml:space="preserve">utilizando </w:t>
      </w:r>
      <w:r w:rsidR="00306605" w:rsidRPr="0061347A">
        <w:rPr>
          <w:rFonts w:cs="Times New Roman"/>
        </w:rPr>
        <w:t xml:space="preserve">el </w:t>
      </w:r>
      <w:r w:rsidR="00175402" w:rsidRPr="0061347A">
        <w:rPr>
          <w:rFonts w:cs="Times New Roman"/>
        </w:rPr>
        <w:t>criterio de Fornell</w:t>
      </w:r>
      <w:r w:rsidR="003C2E65" w:rsidRPr="0061347A">
        <w:rPr>
          <w:rFonts w:cs="Times New Roman"/>
        </w:rPr>
        <w:t xml:space="preserve"> </w:t>
      </w:r>
      <w:r w:rsidR="00A02BB2" w:rsidRPr="0061347A">
        <w:rPr>
          <w:rFonts w:cs="Times New Roman"/>
        </w:rPr>
        <w:t>y</w:t>
      </w:r>
      <w:r w:rsidR="00175402" w:rsidRPr="0061347A">
        <w:rPr>
          <w:rFonts w:cs="Times New Roman"/>
        </w:rPr>
        <w:t xml:space="preserve"> Larcker</w:t>
      </w:r>
      <w:r w:rsidR="00A02BB2" w:rsidRPr="0061347A">
        <w:rPr>
          <w:rFonts w:cs="Times New Roman"/>
        </w:rPr>
        <w:t xml:space="preserve"> (1981)</w:t>
      </w:r>
      <w:r w:rsidR="00175402" w:rsidRPr="0061347A">
        <w:rPr>
          <w:rFonts w:cs="Times New Roman"/>
        </w:rPr>
        <w:t>,</w:t>
      </w:r>
      <w:r w:rsidR="00805640" w:rsidRPr="0061347A">
        <w:rPr>
          <w:rFonts w:cs="Times New Roman"/>
        </w:rPr>
        <w:t xml:space="preserve"> comparando la raíz cuadrada de AVE con las correlaciones entre constructos para cada variable latente (ver Tabla 4</w:t>
      </w:r>
      <w:r w:rsidR="007B61C8" w:rsidRPr="0061347A">
        <w:rPr>
          <w:rFonts w:cs="Times New Roman"/>
        </w:rPr>
        <w:t>).</w:t>
      </w:r>
      <w:r w:rsidR="00805640" w:rsidRPr="0061347A">
        <w:rPr>
          <w:rFonts w:cs="Times New Roman"/>
        </w:rPr>
        <w:t xml:space="preserve"> </w:t>
      </w:r>
      <w:r w:rsidR="005B59EC" w:rsidRPr="0061347A">
        <w:rPr>
          <w:rFonts w:cs="Times New Roman"/>
        </w:rPr>
        <w:t>Por lo tanto,</w:t>
      </w:r>
      <w:r w:rsidR="003405F9" w:rsidRPr="0061347A">
        <w:rPr>
          <w:rFonts w:cs="Times New Roman"/>
        </w:rPr>
        <w:t xml:space="preserve"> se encontró que</w:t>
      </w:r>
      <w:r w:rsidR="005B59EC" w:rsidRPr="0061347A">
        <w:rPr>
          <w:rFonts w:cs="Times New Roman"/>
        </w:rPr>
        <w:t xml:space="preserve"> existe validez discriminante</w:t>
      </w:r>
      <w:r w:rsidR="007B61C8" w:rsidRPr="0061347A">
        <w:rPr>
          <w:rFonts w:cs="Times New Roman"/>
        </w:rPr>
        <w:t xml:space="preserve"> (Florea &amp; Munteanu, 2020; Hair et al., 2011)</w:t>
      </w:r>
      <w:r w:rsidR="003405F9" w:rsidRPr="0061347A">
        <w:rPr>
          <w:rFonts w:cs="Times New Roman"/>
        </w:rPr>
        <w:t xml:space="preserve">. Este resultado se reforzó </w:t>
      </w:r>
      <w:r w:rsidR="005B59EC" w:rsidRPr="0061347A">
        <w:rPr>
          <w:rFonts w:cs="Times New Roman"/>
        </w:rPr>
        <w:t xml:space="preserve">con el análisis heterotrait-monotrait (HTMT), que indica que cualquier valor &lt; 0.90 confirma la validez discriminante (ver Tabla 4) </w:t>
      </w:r>
      <w:r w:rsidR="008F03C4" w:rsidRPr="0061347A">
        <w:rPr>
          <w:rFonts w:cs="Times New Roman"/>
        </w:rPr>
        <w:t>(Florea &amp; Munteanu, 2020; Hair et al., 2011)</w:t>
      </w:r>
      <w:r w:rsidR="005B59EC" w:rsidRPr="0061347A">
        <w:rPr>
          <w:rFonts w:cs="Times New Roman"/>
        </w:rPr>
        <w:t>.</w:t>
      </w:r>
      <w:r w:rsidR="004B5BDF" w:rsidRPr="0061347A">
        <w:rPr>
          <w:rFonts w:cs="Times New Roman"/>
        </w:rPr>
        <w:t xml:space="preserve"> </w:t>
      </w:r>
      <w:r w:rsidR="00CC572E" w:rsidRPr="0061347A">
        <w:rPr>
          <w:rFonts w:cs="Times New Roman"/>
        </w:rPr>
        <w:t>De la misma manera</w:t>
      </w:r>
      <w:r w:rsidR="003405F9" w:rsidRPr="0061347A">
        <w:rPr>
          <w:rFonts w:cs="Times New Roman"/>
        </w:rPr>
        <w:t xml:space="preserve"> se analizó </w:t>
      </w:r>
      <w:r w:rsidR="00CC572E" w:rsidRPr="0061347A">
        <w:rPr>
          <w:rFonts w:cs="Times New Roman"/>
        </w:rPr>
        <w:t xml:space="preserve">la consistencia interna del modelo de medición, mediante la fiabilidad compuesta (CR), comparándola con la línea de base de 0,80 y, la consistencia interna Alfa de </w:t>
      </w:r>
      <w:r w:rsidR="00CC572E" w:rsidRPr="0061347A">
        <w:rPr>
          <w:rFonts w:cs="Times New Roman"/>
          <w:lang w:val="en-US"/>
        </w:rPr>
        <w:t>Cronbach</w:t>
      </w:r>
      <w:r w:rsidR="003405F9" w:rsidRPr="0061347A">
        <w:rPr>
          <w:rFonts w:cs="Times New Roman"/>
          <w:lang w:val="en-US"/>
        </w:rPr>
        <w:t>, la cual</w:t>
      </w:r>
      <w:r w:rsidR="00814C47" w:rsidRPr="0061347A">
        <w:rPr>
          <w:rFonts w:cs="Times New Roman"/>
          <w:lang w:val="en-US"/>
        </w:rPr>
        <w:t xml:space="preserve"> </w:t>
      </w:r>
      <w:r w:rsidR="003405F9" w:rsidRPr="0061347A">
        <w:rPr>
          <w:rFonts w:cs="Times New Roman"/>
          <w:lang w:val="en-US"/>
        </w:rPr>
        <w:t xml:space="preserve">resultó ser </w:t>
      </w:r>
      <w:r w:rsidR="00CC572E" w:rsidRPr="0061347A">
        <w:rPr>
          <w:rFonts w:cs="Times New Roman"/>
          <w:lang w:val="en-US"/>
        </w:rPr>
        <w:t xml:space="preserve">&gt; 0.70 </w:t>
      </w:r>
      <w:r w:rsidR="00CC572E" w:rsidRPr="0061347A">
        <w:rPr>
          <w:rFonts w:cs="Times New Roman"/>
        </w:rPr>
        <w:t>(Hair J.F., 2021).</w:t>
      </w:r>
      <w:r w:rsidR="00814C47" w:rsidRPr="0061347A">
        <w:rPr>
          <w:rFonts w:cs="Times New Roman"/>
        </w:rPr>
        <w:t xml:space="preserve"> Un similar estudio donde se analizaron datos de 163 encuestados utilizando el software Statistical Package for Social Sciences (SPSS) versión 26, para evaluar la confiabilidad del instrumento, se utilizó el coeficiente alfa de Cronbach</w:t>
      </w:r>
      <w:r w:rsidR="005F5D24" w:rsidRPr="0061347A">
        <w:rPr>
          <w:rFonts w:cs="Times New Roman"/>
        </w:rPr>
        <w:t xml:space="preserve">, donde los valores alfa de Cronbach superiores a 0.7 se consideran </w:t>
      </w:r>
      <w:r w:rsidR="00C14BBF" w:rsidRPr="0061347A">
        <w:rPr>
          <w:rFonts w:cs="Times New Roman"/>
        </w:rPr>
        <w:t xml:space="preserve">muy buenos </w:t>
      </w:r>
      <w:r w:rsidR="00814C47" w:rsidRPr="0061347A">
        <w:rPr>
          <w:rFonts w:cs="Times New Roman"/>
        </w:rPr>
        <w:t>(</w:t>
      </w:r>
      <w:r w:rsidR="005F5D24" w:rsidRPr="0061347A">
        <w:rPr>
          <w:rFonts w:cs="Times New Roman"/>
        </w:rPr>
        <w:t>Ahmad et al., 2025</w:t>
      </w:r>
      <w:r w:rsidR="00814C47" w:rsidRPr="0061347A">
        <w:rPr>
          <w:rFonts w:cs="Times New Roman"/>
        </w:rPr>
        <w:t>).</w:t>
      </w:r>
      <w:r w:rsidR="005F5D24" w:rsidRPr="0061347A">
        <w:rPr>
          <w:rFonts w:cs="Times New Roman"/>
        </w:rPr>
        <w:t xml:space="preserve"> En este estudio</w:t>
      </w:r>
      <w:r w:rsidR="00814C47" w:rsidRPr="0061347A">
        <w:rPr>
          <w:rFonts w:cs="Times New Roman"/>
        </w:rPr>
        <w:t>, la mayoría de los constructos alcanzaron coeficientes alfa que oscilaron entre 0,7 y 0,9, lo que indica una excelente consistencia interna.</w:t>
      </w:r>
      <w:r w:rsidR="005F5D24" w:rsidRPr="0061347A">
        <w:rPr>
          <w:rFonts w:cs="Times New Roman"/>
        </w:rPr>
        <w:t xml:space="preserve"> </w:t>
      </w:r>
      <w:r w:rsidR="004B5BDF" w:rsidRPr="0061347A">
        <w:rPr>
          <w:rFonts w:cs="Times New Roman"/>
        </w:rPr>
        <w:t>Por lo tanto, se concluyó que el modelo de medición es adecuado</w:t>
      </w:r>
      <w:r w:rsidR="00E414E4" w:rsidRPr="0061347A">
        <w:rPr>
          <w:rFonts w:cs="Times New Roman"/>
        </w:rPr>
        <w:t xml:space="preserve"> </w:t>
      </w:r>
      <w:r w:rsidR="003405F9" w:rsidRPr="0061347A">
        <w:rPr>
          <w:rFonts w:cs="Times New Roman"/>
        </w:rPr>
        <w:t xml:space="preserve">tanto </w:t>
      </w:r>
      <w:r w:rsidR="00F740CA" w:rsidRPr="0061347A">
        <w:rPr>
          <w:rFonts w:cs="Times New Roman"/>
        </w:rPr>
        <w:t xml:space="preserve">válido </w:t>
      </w:r>
      <w:r w:rsidR="003405F9" w:rsidRPr="0061347A">
        <w:rPr>
          <w:rFonts w:cs="Times New Roman"/>
        </w:rPr>
        <w:t xml:space="preserve">como confiable </w:t>
      </w:r>
      <w:r w:rsidR="004B5BDF" w:rsidRPr="0061347A">
        <w:rPr>
          <w:rFonts w:cs="Times New Roman"/>
        </w:rPr>
        <w:t>(Al-Swidi et al., 2023; Florea &amp; Munteanu, 2020; Hair et al., 2011; Hair J.F., 202</w:t>
      </w:r>
      <w:r w:rsidR="00286528" w:rsidRPr="0061347A">
        <w:rPr>
          <w:rFonts w:cs="Times New Roman"/>
        </w:rPr>
        <w:t>1)</w:t>
      </w:r>
      <w:r w:rsidR="005F5D24" w:rsidRPr="0061347A">
        <w:rPr>
          <w:rFonts w:cs="Times New Roman"/>
        </w:rPr>
        <w:t xml:space="preserve"> (ver Tabla 3)</w:t>
      </w:r>
    </w:p>
    <w:p w:rsidR="00654274" w:rsidRPr="0061347A" w:rsidRDefault="00D13F64" w:rsidP="00C028BE">
      <w:pPr>
        <w:spacing w:after="0"/>
        <w:ind w:firstLine="426"/>
        <w:jc w:val="both"/>
        <w:rPr>
          <w:rFonts w:cs="Times New Roman"/>
        </w:rPr>
      </w:pPr>
      <w:r w:rsidRPr="0061347A">
        <w:rPr>
          <w:rFonts w:cs="Times New Roman"/>
        </w:rPr>
        <w:t>Para verificar validez y confiabilidad</w:t>
      </w:r>
      <w:r w:rsidR="00D52AB4" w:rsidRPr="0061347A">
        <w:rPr>
          <w:rFonts w:cs="Times New Roman"/>
        </w:rPr>
        <w:t xml:space="preserve"> </w:t>
      </w:r>
      <w:r w:rsidRPr="0061347A">
        <w:rPr>
          <w:rFonts w:cs="Times New Roman"/>
        </w:rPr>
        <w:t>mencionados en el párrafo anterior fue necesario</w:t>
      </w:r>
      <w:r w:rsidR="00490FA5" w:rsidRPr="0061347A">
        <w:rPr>
          <w:rFonts w:cs="Times New Roman"/>
        </w:rPr>
        <w:t xml:space="preserve"> </w:t>
      </w:r>
      <w:r w:rsidRPr="0061347A">
        <w:rPr>
          <w:rFonts w:cs="Times New Roman"/>
        </w:rPr>
        <w:t>eliminar los reactivos KM9 (</w:t>
      </w:r>
      <w:r w:rsidR="007967AF" w:rsidRPr="0061347A">
        <w:rPr>
          <w:rFonts w:cs="Times New Roman"/>
        </w:rPr>
        <w:t>"</w:t>
      </w:r>
      <w:r w:rsidRPr="0061347A">
        <w:rPr>
          <w:rFonts w:cs="Times New Roman"/>
        </w:rPr>
        <w:t>Tiene procedimientos para absorber conocimiento de los empleados en la empresa</w:t>
      </w:r>
      <w:r w:rsidR="007967AF" w:rsidRPr="0061347A">
        <w:rPr>
          <w:rFonts w:cs="Times New Roman"/>
        </w:rPr>
        <w:t>"</w:t>
      </w:r>
      <w:r w:rsidRPr="0061347A">
        <w:rPr>
          <w:rFonts w:cs="Times New Roman"/>
        </w:rPr>
        <w:t>) y KM12 (</w:t>
      </w:r>
      <w:r w:rsidR="007967AF" w:rsidRPr="0061347A">
        <w:rPr>
          <w:rFonts w:cs="Times New Roman"/>
        </w:rPr>
        <w:t>"</w:t>
      </w:r>
      <w:r w:rsidRPr="0061347A">
        <w:rPr>
          <w:rFonts w:cs="Times New Roman"/>
        </w:rPr>
        <w:t>Tiene procedimientos para sustituir los conocimientos desactualizados</w:t>
      </w:r>
      <w:r w:rsidR="007967AF" w:rsidRPr="0061347A">
        <w:rPr>
          <w:rFonts w:cs="Times New Roman"/>
        </w:rPr>
        <w:t>"</w:t>
      </w:r>
      <w:r w:rsidR="00951E8D" w:rsidRPr="0061347A">
        <w:rPr>
          <w:rFonts w:cs="Times New Roman"/>
        </w:rPr>
        <w:t xml:space="preserve">) del instrumento gestión de conocimiento. Así como </w:t>
      </w:r>
      <w:r w:rsidRPr="0061347A">
        <w:rPr>
          <w:rFonts w:cs="Times New Roman"/>
        </w:rPr>
        <w:t>también AF17 (</w:t>
      </w:r>
      <w:r w:rsidR="007967AF" w:rsidRPr="0061347A">
        <w:rPr>
          <w:rFonts w:cs="Times New Roman"/>
        </w:rPr>
        <w:t>"</w:t>
      </w:r>
      <w:r w:rsidRPr="0061347A">
        <w:rPr>
          <w:rFonts w:cs="Times New Roman"/>
        </w:rPr>
        <w:t>Validar las estimaciones financieras de ventas</w:t>
      </w:r>
      <w:r w:rsidR="007967AF" w:rsidRPr="0061347A">
        <w:rPr>
          <w:rFonts w:cs="Times New Roman"/>
        </w:rPr>
        <w:t>"</w:t>
      </w:r>
      <w:r w:rsidRPr="0061347A">
        <w:rPr>
          <w:rFonts w:cs="Times New Roman"/>
        </w:rPr>
        <w:t>) y AF22 (</w:t>
      </w:r>
      <w:r w:rsidR="007967AF" w:rsidRPr="0061347A">
        <w:rPr>
          <w:rFonts w:cs="Times New Roman"/>
        </w:rPr>
        <w:t>"</w:t>
      </w:r>
      <w:r w:rsidRPr="0061347A">
        <w:rPr>
          <w:rFonts w:cs="Times New Roman"/>
        </w:rPr>
        <w:t>Desarrollar y lanzar nuevos productos</w:t>
      </w:r>
      <w:r w:rsidR="007967AF" w:rsidRPr="0061347A">
        <w:rPr>
          <w:rFonts w:cs="Times New Roman"/>
        </w:rPr>
        <w:t>"</w:t>
      </w:r>
      <w:r w:rsidR="00490FA5" w:rsidRPr="0061347A">
        <w:rPr>
          <w:rFonts w:cs="Times New Roman"/>
        </w:rPr>
        <w:t>)</w:t>
      </w:r>
      <w:r w:rsidR="00951E8D" w:rsidRPr="0061347A">
        <w:rPr>
          <w:rFonts w:cs="Times New Roman"/>
        </w:rPr>
        <w:t xml:space="preserve"> del instrumento autoeficacia profesional, </w:t>
      </w:r>
      <w:r w:rsidR="00490FA5" w:rsidRPr="0061347A">
        <w:rPr>
          <w:rFonts w:cs="Times New Roman"/>
        </w:rPr>
        <w:t>para cumplir con el criterio de Fornell y Larcker (1981).</w:t>
      </w:r>
      <w:r w:rsidR="0057597A" w:rsidRPr="0061347A">
        <w:rPr>
          <w:rFonts w:cs="Times New Roman"/>
        </w:rPr>
        <w:t xml:space="preserve"> En vista que éstos cuatro reactivos (KM9, KM12, AF17 y AF22) tenía</w:t>
      </w:r>
      <w:r w:rsidR="00864C66" w:rsidRPr="0061347A">
        <w:rPr>
          <w:rFonts w:cs="Times New Roman"/>
        </w:rPr>
        <w:t xml:space="preserve">n alta correlación entre ellos (ver Figura </w:t>
      </w:r>
      <w:r w:rsidR="00FB6762" w:rsidRPr="0061347A">
        <w:rPr>
          <w:rFonts w:cs="Times New Roman"/>
        </w:rPr>
        <w:t>1</w:t>
      </w:r>
      <w:r w:rsidR="00864C66" w:rsidRPr="0061347A">
        <w:rPr>
          <w:rFonts w:cs="Times New Roman"/>
        </w:rPr>
        <w:t xml:space="preserve"> y Tabla 3)</w:t>
      </w:r>
    </w:p>
    <w:p w:rsidR="00654274" w:rsidRPr="0061347A" w:rsidRDefault="00654274" w:rsidP="00902BC3">
      <w:pPr>
        <w:spacing w:after="0"/>
        <w:jc w:val="both"/>
        <w:rPr>
          <w:rFonts w:cs="Times New Roman"/>
        </w:rPr>
      </w:pPr>
    </w:p>
    <w:p w:rsidR="00654274" w:rsidRPr="0061347A" w:rsidRDefault="00654274" w:rsidP="00902BC3">
      <w:pPr>
        <w:spacing w:after="0"/>
        <w:jc w:val="both"/>
        <w:rPr>
          <w:rFonts w:cs="Times New Roman"/>
        </w:rPr>
        <w:sectPr w:rsidR="00654274" w:rsidRPr="0061347A" w:rsidSect="00E15A4C">
          <w:pgSz w:w="11906" w:h="16838"/>
          <w:pgMar w:top="1417" w:right="1701" w:bottom="1417" w:left="1701" w:header="708" w:footer="708" w:gutter="0"/>
          <w:cols w:space="708"/>
          <w:docGrid w:linePitch="360"/>
        </w:sectPr>
      </w:pPr>
    </w:p>
    <w:p w:rsidR="009F491E" w:rsidRPr="0061347A" w:rsidRDefault="00D5174B" w:rsidP="008F03C4">
      <w:pPr>
        <w:spacing w:after="0"/>
        <w:jc w:val="both"/>
        <w:rPr>
          <w:rFonts w:cs="Times New Roman"/>
        </w:rPr>
      </w:pPr>
      <w:r w:rsidRPr="0061347A">
        <w:rPr>
          <w:rFonts w:cs="Times New Roman"/>
          <w:b/>
        </w:rPr>
        <w:lastRenderedPageBreak/>
        <w:t xml:space="preserve">Figura </w:t>
      </w:r>
      <w:r w:rsidR="00FB6762" w:rsidRPr="0061347A">
        <w:rPr>
          <w:rFonts w:cs="Times New Roman"/>
          <w:b/>
        </w:rPr>
        <w:t>1</w:t>
      </w:r>
      <w:r w:rsidR="005B59EC" w:rsidRPr="0061347A">
        <w:rPr>
          <w:rFonts w:cs="Times New Roman"/>
          <w:b/>
        </w:rPr>
        <w:t>.</w:t>
      </w:r>
      <w:r w:rsidRPr="0061347A">
        <w:rPr>
          <w:rFonts w:cs="Times New Roman"/>
        </w:rPr>
        <w:t xml:space="preserve"> </w:t>
      </w:r>
      <w:r w:rsidR="005B59EC" w:rsidRPr="0061347A">
        <w:rPr>
          <w:rFonts w:cs="Times New Roman"/>
        </w:rPr>
        <w:t xml:space="preserve">Resultados del </w:t>
      </w:r>
      <w:r w:rsidR="0075376C" w:rsidRPr="0061347A">
        <w:rPr>
          <w:rFonts w:cs="Times New Roman"/>
        </w:rPr>
        <w:t xml:space="preserve">Modelo </w:t>
      </w:r>
      <w:r w:rsidR="005B59EC" w:rsidRPr="0061347A">
        <w:rPr>
          <w:rFonts w:cs="Times New Roman"/>
        </w:rPr>
        <w:t>C</w:t>
      </w:r>
      <w:r w:rsidR="0075376C" w:rsidRPr="0061347A">
        <w:rPr>
          <w:rFonts w:cs="Times New Roman"/>
        </w:rPr>
        <w:t>onceptual</w:t>
      </w:r>
      <w:r w:rsidR="00D0692C" w:rsidRPr="0061347A">
        <w:rPr>
          <w:rFonts w:cs="Times New Roman"/>
        </w:rPr>
        <w:t xml:space="preserve"> (</w:t>
      </w:r>
      <w:r w:rsidR="00D0692C" w:rsidRPr="0061347A">
        <w:rPr>
          <w:rFonts w:cs="Times New Roman"/>
          <w:i/>
        </w:rPr>
        <w:t>R</w:t>
      </w:r>
      <w:r w:rsidR="00D0692C" w:rsidRPr="0061347A">
        <w:rPr>
          <w:rFonts w:cs="Times New Roman"/>
          <w:i/>
          <w:vertAlign w:val="superscript"/>
        </w:rPr>
        <w:t>2</w:t>
      </w:r>
      <w:r w:rsidR="00D0692C" w:rsidRPr="0061347A">
        <w:rPr>
          <w:rFonts w:cs="Times New Roman"/>
        </w:rPr>
        <w:t>, Coeficiente</w:t>
      </w:r>
      <w:r w:rsidR="004C37DF" w:rsidRPr="0061347A">
        <w:rPr>
          <w:rFonts w:cs="Times New Roman"/>
        </w:rPr>
        <w:t>s</w:t>
      </w:r>
      <w:r w:rsidR="00D0692C" w:rsidRPr="0061347A">
        <w:rPr>
          <w:rFonts w:cs="Times New Roman"/>
        </w:rPr>
        <w:t xml:space="preserve"> de </w:t>
      </w:r>
      <w:r w:rsidR="00FB55B9" w:rsidRPr="0061347A">
        <w:rPr>
          <w:rFonts w:cs="Times New Roman"/>
        </w:rPr>
        <w:t>ruta</w:t>
      </w:r>
      <w:r w:rsidR="004C37DF" w:rsidRPr="0061347A">
        <w:rPr>
          <w:rFonts w:cs="Times New Roman"/>
        </w:rPr>
        <w:t xml:space="preserve"> (</w:t>
      </w:r>
      <w:r w:rsidR="004C37DF" w:rsidRPr="0061347A">
        <w:rPr>
          <w:rFonts w:cs="Times New Roman"/>
          <w:i/>
        </w:rPr>
        <w:t>β</w:t>
      </w:r>
      <w:r w:rsidR="004C37DF" w:rsidRPr="0061347A">
        <w:rPr>
          <w:rFonts w:cs="Times New Roman"/>
        </w:rPr>
        <w:t>)</w:t>
      </w:r>
      <w:r w:rsidR="00D0692C" w:rsidRPr="0061347A">
        <w:rPr>
          <w:rFonts w:cs="Times New Roman"/>
        </w:rPr>
        <w:t>, Cargas factoriales)</w:t>
      </w:r>
    </w:p>
    <w:p w:rsidR="00A2614E" w:rsidRPr="0061347A" w:rsidRDefault="003361F4" w:rsidP="008F03C4">
      <w:pPr>
        <w:spacing w:after="0"/>
        <w:jc w:val="both"/>
        <w:rPr>
          <w:rFonts w:cs="Times New Roman"/>
        </w:rPr>
      </w:pPr>
      <w:r w:rsidRPr="0061347A">
        <w:rPr>
          <w:noProof/>
          <w:lang w:eastAsia="es-PE"/>
        </w:rPr>
        <w:drawing>
          <wp:anchor distT="0" distB="0" distL="114300" distR="114300" simplePos="0" relativeHeight="251703296" behindDoc="0" locked="0" layoutInCell="1" allowOverlap="1" wp14:anchorId="54786089" wp14:editId="291C4C1A">
            <wp:simplePos x="0" y="0"/>
            <wp:positionH relativeFrom="column">
              <wp:posOffset>22555</wp:posOffset>
            </wp:positionH>
            <wp:positionV relativeFrom="paragraph">
              <wp:posOffset>169821</wp:posOffset>
            </wp:positionV>
            <wp:extent cx="8910075" cy="4230094"/>
            <wp:effectExtent l="0" t="0" r="5715" b="0"/>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911893" cy="4230957"/>
                    </a:xfrm>
                    <a:prstGeom prst="rect">
                      <a:avLst/>
                    </a:prstGeom>
                  </pic:spPr>
                </pic:pic>
              </a:graphicData>
            </a:graphic>
            <wp14:sizeRelH relativeFrom="margin">
              <wp14:pctWidth>0</wp14:pctWidth>
            </wp14:sizeRelH>
            <wp14:sizeRelV relativeFrom="margin">
              <wp14:pctHeight>0</wp14:pctHeight>
            </wp14:sizeRelV>
          </wp:anchor>
        </w:drawing>
      </w:r>
    </w:p>
    <w:p w:rsidR="00A2614E" w:rsidRPr="0061347A" w:rsidRDefault="00A2614E" w:rsidP="008F03C4">
      <w:pPr>
        <w:spacing w:after="0"/>
        <w:jc w:val="both"/>
        <w:rPr>
          <w:rFonts w:cs="Times New Roman"/>
        </w:rPr>
      </w:pPr>
    </w:p>
    <w:p w:rsidR="00D5174B" w:rsidRPr="0061347A" w:rsidRDefault="00D5174B" w:rsidP="008F03C4">
      <w:pPr>
        <w:spacing w:after="0"/>
        <w:jc w:val="both"/>
        <w:rPr>
          <w:rFonts w:cs="Times New Roman"/>
        </w:rPr>
      </w:pPr>
    </w:p>
    <w:p w:rsidR="00F42D30" w:rsidRPr="0061347A" w:rsidRDefault="00F42D30" w:rsidP="008F03C4">
      <w:pPr>
        <w:spacing w:after="0"/>
        <w:jc w:val="both"/>
        <w:rPr>
          <w:rFonts w:cs="Times New Roman"/>
        </w:rPr>
      </w:pPr>
    </w:p>
    <w:p w:rsidR="00D7375E" w:rsidRPr="0061347A" w:rsidRDefault="00D7375E" w:rsidP="008F03C4">
      <w:pPr>
        <w:spacing w:after="0"/>
        <w:jc w:val="both"/>
        <w:rPr>
          <w:rFonts w:cs="Times New Roman"/>
        </w:rPr>
      </w:pPr>
    </w:p>
    <w:p w:rsidR="00D7375E" w:rsidRPr="0061347A" w:rsidRDefault="00D7375E" w:rsidP="008F03C4">
      <w:pPr>
        <w:spacing w:after="0"/>
        <w:jc w:val="both"/>
        <w:rPr>
          <w:rFonts w:cs="Times New Roman"/>
        </w:rPr>
      </w:pPr>
    </w:p>
    <w:p w:rsidR="00F42D30" w:rsidRPr="0061347A" w:rsidRDefault="00F42D30" w:rsidP="008F03C4">
      <w:pPr>
        <w:spacing w:after="0"/>
        <w:jc w:val="both"/>
        <w:rPr>
          <w:rFonts w:cs="Times New Roman"/>
        </w:rPr>
      </w:pPr>
    </w:p>
    <w:p w:rsidR="004814F3" w:rsidRPr="0061347A" w:rsidRDefault="004814F3" w:rsidP="008F03C4">
      <w:pPr>
        <w:spacing w:after="0"/>
        <w:jc w:val="both"/>
        <w:rPr>
          <w:rFonts w:cs="Times New Roman"/>
        </w:rPr>
      </w:pPr>
    </w:p>
    <w:p w:rsidR="00F42D30" w:rsidRPr="0061347A" w:rsidRDefault="00F42D30" w:rsidP="008F03C4">
      <w:pPr>
        <w:spacing w:after="0"/>
        <w:jc w:val="both"/>
        <w:rPr>
          <w:rFonts w:cs="Times New Roman"/>
        </w:rPr>
      </w:pPr>
    </w:p>
    <w:p w:rsidR="003F2C61" w:rsidRPr="0061347A" w:rsidRDefault="003F2C61" w:rsidP="008F03C4">
      <w:pPr>
        <w:spacing w:after="0"/>
        <w:jc w:val="both"/>
        <w:rPr>
          <w:rFonts w:cs="Times New Roman"/>
        </w:rPr>
      </w:pPr>
    </w:p>
    <w:p w:rsidR="00F42D30" w:rsidRPr="0061347A" w:rsidRDefault="00F42D30" w:rsidP="008F03C4">
      <w:pPr>
        <w:spacing w:after="0"/>
        <w:jc w:val="both"/>
        <w:rPr>
          <w:rFonts w:cs="Times New Roman"/>
        </w:rPr>
      </w:pPr>
    </w:p>
    <w:p w:rsidR="00EB45BB" w:rsidRPr="0061347A" w:rsidRDefault="00EB45BB"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9D091B" w:rsidRPr="0061347A" w:rsidRDefault="009D091B" w:rsidP="008F03C4">
      <w:pPr>
        <w:spacing w:after="0"/>
        <w:jc w:val="both"/>
        <w:rPr>
          <w:rFonts w:cs="Times New Roman"/>
        </w:rPr>
      </w:pPr>
    </w:p>
    <w:p w:rsidR="00A2614E" w:rsidRPr="0061347A" w:rsidRDefault="00A2614E"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8D68DB" w:rsidRPr="0061347A" w:rsidRDefault="008D68DB" w:rsidP="008F03C4">
      <w:pPr>
        <w:spacing w:after="0"/>
        <w:jc w:val="both"/>
        <w:rPr>
          <w:rFonts w:cs="Times New Roman"/>
        </w:rPr>
        <w:sectPr w:rsidR="008D68DB" w:rsidRPr="0061347A" w:rsidSect="009D091B">
          <w:pgSz w:w="16838" w:h="11906" w:orient="landscape"/>
          <w:pgMar w:top="1701" w:right="1417" w:bottom="1701" w:left="1417" w:header="708" w:footer="708" w:gutter="0"/>
          <w:cols w:space="708"/>
          <w:docGrid w:linePitch="360"/>
        </w:sectPr>
      </w:pPr>
    </w:p>
    <w:p w:rsidR="008D68DB" w:rsidRPr="0061347A" w:rsidRDefault="008D68DB" w:rsidP="008F03C4">
      <w:pPr>
        <w:spacing w:after="0"/>
        <w:jc w:val="both"/>
        <w:rPr>
          <w:rFonts w:cs="Times New Roman"/>
        </w:rPr>
      </w:pPr>
    </w:p>
    <w:p w:rsidR="00124D6C" w:rsidRPr="0061347A" w:rsidRDefault="00124D6C" w:rsidP="00124D6C">
      <w:pPr>
        <w:spacing w:after="0"/>
        <w:jc w:val="both"/>
        <w:rPr>
          <w:rFonts w:cs="Times New Roman"/>
        </w:rPr>
      </w:pPr>
      <w:r w:rsidRPr="0061347A">
        <w:rPr>
          <w:rFonts w:cs="Times New Roman"/>
          <w:b/>
        </w:rPr>
        <w:t>Tabla 3.</w:t>
      </w:r>
      <w:r w:rsidRPr="0061347A">
        <w:rPr>
          <w:rFonts w:cs="Times New Roman"/>
        </w:rPr>
        <w:t xml:space="preserve"> </w:t>
      </w:r>
      <w:r w:rsidR="00864C66" w:rsidRPr="0061347A">
        <w:rPr>
          <w:rFonts w:cs="Times New Roman"/>
        </w:rPr>
        <w:t xml:space="preserve">Cargas Factoriales de la Variables Observables, </w:t>
      </w:r>
      <w:r w:rsidRPr="0061347A">
        <w:rPr>
          <w:rFonts w:cs="Times New Roman"/>
        </w:rPr>
        <w:t>Validez</w:t>
      </w:r>
      <w:r w:rsidR="00864C66" w:rsidRPr="0061347A">
        <w:rPr>
          <w:rFonts w:cs="Times New Roman"/>
        </w:rPr>
        <w:t xml:space="preserve"> Convergente</w:t>
      </w:r>
      <w:r w:rsidRPr="0061347A">
        <w:rPr>
          <w:rFonts w:cs="Times New Roman"/>
        </w:rPr>
        <w:t xml:space="preserve"> y </w:t>
      </w:r>
      <w:r w:rsidR="00864C66" w:rsidRPr="0061347A">
        <w:rPr>
          <w:rFonts w:cs="Times New Roman"/>
        </w:rPr>
        <w:t>la Consistencia Interna del Modelo de Medida</w:t>
      </w:r>
    </w:p>
    <w:p w:rsidR="00124D6C" w:rsidRPr="0061347A" w:rsidRDefault="00C25B74" w:rsidP="008F03C4">
      <w:pPr>
        <w:spacing w:after="0"/>
        <w:jc w:val="both"/>
        <w:rPr>
          <w:rFonts w:cs="Times New Roman"/>
        </w:rPr>
      </w:pPr>
      <w:r w:rsidRPr="0061347A">
        <w:rPr>
          <w:rFonts w:cs="Times New Roman"/>
          <w:noProof/>
          <w:lang w:eastAsia="es-PE"/>
        </w:rPr>
        <w:drawing>
          <wp:anchor distT="0" distB="0" distL="114300" distR="114300" simplePos="0" relativeHeight="251726848" behindDoc="1" locked="0" layoutInCell="1" allowOverlap="1" wp14:anchorId="3DA03D3D" wp14:editId="475A250D">
            <wp:simplePos x="0" y="0"/>
            <wp:positionH relativeFrom="column">
              <wp:posOffset>-1298</wp:posOffset>
            </wp:positionH>
            <wp:positionV relativeFrom="paragraph">
              <wp:posOffset>-3506</wp:posOffset>
            </wp:positionV>
            <wp:extent cx="8888730" cy="4352925"/>
            <wp:effectExtent l="0" t="0" r="762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88730" cy="4352925"/>
                    </a:xfrm>
                    <a:prstGeom prst="rect">
                      <a:avLst/>
                    </a:prstGeom>
                    <a:noFill/>
                  </pic:spPr>
                </pic:pic>
              </a:graphicData>
            </a:graphic>
          </wp:anchor>
        </w:drawing>
      </w:r>
    </w:p>
    <w:p w:rsidR="003361F4" w:rsidRPr="0061347A" w:rsidRDefault="003361F4"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8D68DB" w:rsidRPr="0061347A" w:rsidRDefault="008D68DB" w:rsidP="008F03C4">
      <w:pPr>
        <w:spacing w:after="0"/>
        <w:jc w:val="both"/>
        <w:rPr>
          <w:rFonts w:cs="Times New Roman"/>
        </w:rPr>
      </w:pPr>
    </w:p>
    <w:p w:rsidR="008D68DB" w:rsidRPr="0061347A" w:rsidRDefault="008D68DB" w:rsidP="008F03C4">
      <w:pPr>
        <w:spacing w:after="0"/>
        <w:jc w:val="both"/>
        <w:rPr>
          <w:rFonts w:cs="Times New Roman"/>
        </w:rPr>
      </w:pPr>
    </w:p>
    <w:p w:rsidR="008D68DB" w:rsidRPr="0061347A" w:rsidRDefault="008D68DB" w:rsidP="008F03C4">
      <w:pPr>
        <w:spacing w:after="0"/>
        <w:jc w:val="both"/>
        <w:rPr>
          <w:rFonts w:cs="Times New Roman"/>
        </w:rPr>
      </w:pPr>
    </w:p>
    <w:p w:rsidR="008D68DB" w:rsidRPr="0061347A" w:rsidRDefault="008D68DB" w:rsidP="008F03C4">
      <w:pPr>
        <w:spacing w:after="0"/>
        <w:jc w:val="both"/>
        <w:rPr>
          <w:rFonts w:cs="Times New Roman"/>
        </w:rPr>
      </w:pPr>
    </w:p>
    <w:p w:rsidR="008D68DB" w:rsidRPr="0061347A" w:rsidRDefault="008D68DB" w:rsidP="008F03C4">
      <w:pPr>
        <w:spacing w:after="0"/>
        <w:jc w:val="both"/>
        <w:rPr>
          <w:rFonts w:cs="Times New Roman"/>
        </w:rPr>
      </w:pPr>
    </w:p>
    <w:p w:rsidR="00124D6C" w:rsidRPr="0061347A" w:rsidRDefault="00D111DC" w:rsidP="008F03C4">
      <w:pPr>
        <w:spacing w:after="0"/>
        <w:jc w:val="both"/>
        <w:rPr>
          <w:rFonts w:cs="Times New Roman"/>
        </w:rPr>
      </w:pPr>
      <w:r w:rsidRPr="0061347A">
        <w:rPr>
          <w:rFonts w:cs="Times New Roman"/>
        </w:rPr>
        <w:t>Continúa</w:t>
      </w:r>
      <w:r w:rsidR="00557C09" w:rsidRPr="0061347A">
        <w:rPr>
          <w:rFonts w:cs="Times New Roman"/>
        </w:rPr>
        <w:t>…</w:t>
      </w:r>
    </w:p>
    <w:p w:rsidR="008D68DB" w:rsidRPr="0061347A" w:rsidRDefault="008D68DB" w:rsidP="008F03C4">
      <w:pPr>
        <w:spacing w:after="0"/>
        <w:jc w:val="both"/>
        <w:rPr>
          <w:rFonts w:cs="Times New Roman"/>
        </w:rPr>
      </w:pPr>
    </w:p>
    <w:p w:rsidR="00124D6C" w:rsidRPr="0061347A" w:rsidRDefault="00411212" w:rsidP="008F03C4">
      <w:pPr>
        <w:spacing w:after="0"/>
        <w:jc w:val="both"/>
        <w:rPr>
          <w:rFonts w:cs="Times New Roman"/>
        </w:rPr>
      </w:pPr>
      <w:r w:rsidRPr="0061347A">
        <w:rPr>
          <w:noProof/>
          <w:lang w:eastAsia="es-PE"/>
        </w:rPr>
        <w:lastRenderedPageBreak/>
        <w:drawing>
          <wp:anchor distT="0" distB="0" distL="114300" distR="114300" simplePos="0" relativeHeight="251705344" behindDoc="0" locked="0" layoutInCell="1" allowOverlap="1" wp14:anchorId="684C4008" wp14:editId="50416AB7">
            <wp:simplePos x="0" y="0"/>
            <wp:positionH relativeFrom="column">
              <wp:posOffset>92982</wp:posOffset>
            </wp:positionH>
            <wp:positionV relativeFrom="paragraph">
              <wp:posOffset>88990</wp:posOffset>
            </wp:positionV>
            <wp:extent cx="8892046" cy="5009605"/>
            <wp:effectExtent l="0" t="0" r="4445" b="63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3949" cy="5010677"/>
                    </a:xfrm>
                    <a:prstGeom prst="rect">
                      <a:avLst/>
                    </a:prstGeom>
                    <a:noFill/>
                    <a:ln>
                      <a:noFill/>
                    </a:ln>
                  </pic:spPr>
                </pic:pic>
              </a:graphicData>
            </a:graphic>
            <wp14:sizeRelV relativeFrom="margin">
              <wp14:pctHeight>0</wp14:pctHeight>
            </wp14:sizeRelV>
          </wp:anchor>
        </w:drawing>
      </w: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A2614E" w:rsidRPr="0061347A" w:rsidRDefault="00A2614E" w:rsidP="008F03C4">
      <w:pPr>
        <w:spacing w:after="0"/>
        <w:jc w:val="both"/>
        <w:rPr>
          <w:rFonts w:cs="Times New Roman"/>
        </w:rPr>
      </w:pPr>
    </w:p>
    <w:p w:rsidR="009D091B" w:rsidRPr="0061347A" w:rsidRDefault="009D091B" w:rsidP="008F03C4">
      <w:pPr>
        <w:spacing w:after="0"/>
        <w:jc w:val="both"/>
        <w:rPr>
          <w:rFonts w:cs="Times New Roman"/>
        </w:rPr>
        <w:sectPr w:rsidR="009D091B" w:rsidRPr="0061347A" w:rsidSect="009D091B">
          <w:pgSz w:w="16838" w:h="11906" w:orient="landscape"/>
          <w:pgMar w:top="1701" w:right="1417" w:bottom="1701" w:left="1417" w:header="708" w:footer="708" w:gutter="0"/>
          <w:cols w:space="708"/>
          <w:docGrid w:linePitch="360"/>
        </w:sectPr>
      </w:pPr>
    </w:p>
    <w:p w:rsidR="007B7702" w:rsidRPr="0061347A" w:rsidRDefault="007B7702" w:rsidP="008F03C4">
      <w:pPr>
        <w:spacing w:after="0"/>
        <w:jc w:val="both"/>
        <w:rPr>
          <w:rFonts w:cs="Times New Roman"/>
        </w:rPr>
      </w:pPr>
      <w:r w:rsidRPr="0061347A">
        <w:rPr>
          <w:rFonts w:cs="Times New Roman"/>
          <w:b/>
        </w:rPr>
        <w:lastRenderedPageBreak/>
        <w:t xml:space="preserve">Tabla </w:t>
      </w:r>
      <w:r w:rsidR="00263480" w:rsidRPr="0061347A">
        <w:rPr>
          <w:rFonts w:cs="Times New Roman"/>
          <w:b/>
        </w:rPr>
        <w:t>4</w:t>
      </w:r>
      <w:r w:rsidR="00A20E06" w:rsidRPr="0061347A">
        <w:rPr>
          <w:rFonts w:cs="Times New Roman"/>
          <w:b/>
        </w:rPr>
        <w:t>.</w:t>
      </w:r>
      <w:r w:rsidRPr="0061347A">
        <w:rPr>
          <w:rFonts w:cs="Times New Roman"/>
        </w:rPr>
        <w:t xml:space="preserve"> </w:t>
      </w:r>
      <w:r w:rsidR="009F491E" w:rsidRPr="0061347A">
        <w:rPr>
          <w:rFonts w:cs="Times New Roman"/>
        </w:rPr>
        <w:t>Validez</w:t>
      </w:r>
      <w:r w:rsidR="003C2E65" w:rsidRPr="0061347A">
        <w:rPr>
          <w:rFonts w:cs="Times New Roman"/>
        </w:rPr>
        <w:t xml:space="preserve"> </w:t>
      </w:r>
      <w:r w:rsidR="00A20E06" w:rsidRPr="0061347A">
        <w:rPr>
          <w:rFonts w:cs="Times New Roman"/>
        </w:rPr>
        <w:t>D</w:t>
      </w:r>
      <w:r w:rsidR="003C2E65" w:rsidRPr="0061347A">
        <w:rPr>
          <w:rFonts w:cs="Times New Roman"/>
        </w:rPr>
        <w:t>iscriminante</w:t>
      </w:r>
      <w:r w:rsidR="00A20E06" w:rsidRPr="0061347A">
        <w:rPr>
          <w:rFonts w:cs="Times New Roman"/>
        </w:rPr>
        <w:t xml:space="preserve"> del Modelo de Medi</w:t>
      </w:r>
      <w:r w:rsidR="00CA3EFC" w:rsidRPr="0061347A">
        <w:rPr>
          <w:rFonts w:cs="Times New Roman"/>
        </w:rPr>
        <w:t xml:space="preserve">da usando </w:t>
      </w:r>
      <w:r w:rsidR="003C2E65" w:rsidRPr="0061347A">
        <w:rPr>
          <w:rFonts w:cs="Times New Roman"/>
        </w:rPr>
        <w:t xml:space="preserve">el </w:t>
      </w:r>
      <w:r w:rsidR="00A20E06" w:rsidRPr="0061347A">
        <w:rPr>
          <w:rFonts w:cs="Times New Roman"/>
        </w:rPr>
        <w:t>C</w:t>
      </w:r>
      <w:r w:rsidRPr="0061347A">
        <w:rPr>
          <w:rFonts w:cs="Times New Roman"/>
        </w:rPr>
        <w:t>riterio Fornell</w:t>
      </w:r>
      <w:r w:rsidR="003C2E65" w:rsidRPr="0061347A">
        <w:rPr>
          <w:rFonts w:cs="Times New Roman"/>
        </w:rPr>
        <w:t xml:space="preserve"> y</w:t>
      </w:r>
      <w:r w:rsidRPr="0061347A">
        <w:rPr>
          <w:rFonts w:cs="Times New Roman"/>
        </w:rPr>
        <w:t xml:space="preserve"> Larcker y </w:t>
      </w:r>
      <w:r w:rsidR="00CA3EFC" w:rsidRPr="0061347A">
        <w:rPr>
          <w:rFonts w:cs="Times New Roman"/>
        </w:rPr>
        <w:t xml:space="preserve">el </w:t>
      </w:r>
      <w:r w:rsidR="002F03E9" w:rsidRPr="0061347A">
        <w:rPr>
          <w:rFonts w:cs="Times New Roman"/>
        </w:rPr>
        <w:t>A</w:t>
      </w:r>
      <w:r w:rsidR="00CA3EFC" w:rsidRPr="0061347A">
        <w:rPr>
          <w:rFonts w:cs="Times New Roman"/>
        </w:rPr>
        <w:t xml:space="preserve">nálisis </w:t>
      </w:r>
      <w:r w:rsidR="003C2E65" w:rsidRPr="0061347A">
        <w:rPr>
          <w:rFonts w:cs="Times New Roman"/>
        </w:rPr>
        <w:t>HTMT</w:t>
      </w:r>
    </w:p>
    <w:p w:rsidR="007B7702" w:rsidRPr="0061347A" w:rsidRDefault="00BE3746" w:rsidP="008F03C4">
      <w:pPr>
        <w:spacing w:after="0"/>
        <w:jc w:val="both"/>
        <w:rPr>
          <w:rFonts w:cs="Times New Roman"/>
        </w:rPr>
      </w:pPr>
      <w:r w:rsidRPr="0061347A">
        <w:rPr>
          <w:noProof/>
          <w:lang w:eastAsia="es-PE"/>
        </w:rPr>
        <w:drawing>
          <wp:anchor distT="0" distB="0" distL="114300" distR="114300" simplePos="0" relativeHeight="251706368" behindDoc="0" locked="0" layoutInCell="1" allowOverlap="1" wp14:anchorId="78A7D953" wp14:editId="5A49461A">
            <wp:simplePos x="0" y="0"/>
            <wp:positionH relativeFrom="column">
              <wp:posOffset>635</wp:posOffset>
            </wp:positionH>
            <wp:positionV relativeFrom="paragraph">
              <wp:posOffset>56543</wp:posOffset>
            </wp:positionV>
            <wp:extent cx="5399278" cy="1884459"/>
            <wp:effectExtent l="0" t="0" r="0" b="190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278" cy="1884459"/>
                    </a:xfrm>
                    <a:prstGeom prst="rect">
                      <a:avLst/>
                    </a:prstGeom>
                    <a:noFill/>
                    <a:ln>
                      <a:noFill/>
                    </a:ln>
                  </pic:spPr>
                </pic:pic>
              </a:graphicData>
            </a:graphic>
            <wp14:sizeRelV relativeFrom="margin">
              <wp14:pctHeight>0</wp14:pctHeight>
            </wp14:sizeRelV>
          </wp:anchor>
        </w:drawing>
      </w: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500F6" w:rsidRPr="0061347A" w:rsidRDefault="00427849" w:rsidP="007500F6">
      <w:pPr>
        <w:pStyle w:val="Prrafodelista"/>
        <w:numPr>
          <w:ilvl w:val="1"/>
          <w:numId w:val="3"/>
        </w:numPr>
        <w:spacing w:after="0" w:line="240" w:lineRule="auto"/>
        <w:ind w:left="567" w:hanging="567"/>
        <w:rPr>
          <w:b/>
          <w:i/>
          <w:szCs w:val="24"/>
        </w:rPr>
      </w:pPr>
      <w:r w:rsidRPr="0061347A">
        <w:rPr>
          <w:b/>
          <w:i/>
          <w:szCs w:val="24"/>
        </w:rPr>
        <w:t xml:space="preserve">Evaluación del </w:t>
      </w:r>
      <w:r w:rsidR="00B9333D" w:rsidRPr="0061347A">
        <w:rPr>
          <w:b/>
          <w:i/>
          <w:szCs w:val="24"/>
        </w:rPr>
        <w:t xml:space="preserve">Modelo </w:t>
      </w:r>
      <w:r w:rsidR="007500F6" w:rsidRPr="0061347A">
        <w:rPr>
          <w:b/>
          <w:i/>
          <w:szCs w:val="24"/>
        </w:rPr>
        <w:t>Estructural</w:t>
      </w:r>
    </w:p>
    <w:p w:rsidR="0063532C" w:rsidRPr="0061347A" w:rsidRDefault="00193259" w:rsidP="0063532C">
      <w:pPr>
        <w:spacing w:after="0"/>
        <w:ind w:firstLine="426"/>
        <w:jc w:val="both"/>
        <w:rPr>
          <w:rFonts w:cs="Times New Roman"/>
        </w:rPr>
      </w:pPr>
      <w:r w:rsidRPr="0061347A">
        <w:rPr>
          <w:rFonts w:cs="Times New Roman"/>
        </w:rPr>
        <w:t>El punto de partida</w:t>
      </w:r>
      <w:r w:rsidR="00F009A4" w:rsidRPr="0061347A">
        <w:rPr>
          <w:rFonts w:cs="Times New Roman"/>
        </w:rPr>
        <w:t xml:space="preserve">, en esta investigación, </w:t>
      </w:r>
      <w:r w:rsidR="00682CCB" w:rsidRPr="0061347A">
        <w:rPr>
          <w:rFonts w:cs="Times New Roman"/>
        </w:rPr>
        <w:t>para</w:t>
      </w:r>
      <w:r w:rsidR="00F009A4" w:rsidRPr="0061347A">
        <w:rPr>
          <w:rFonts w:cs="Times New Roman"/>
        </w:rPr>
        <w:t xml:space="preserve"> la evaluación </w:t>
      </w:r>
      <w:r w:rsidRPr="0061347A">
        <w:rPr>
          <w:rFonts w:cs="Times New Roman"/>
        </w:rPr>
        <w:t xml:space="preserve">del modelo estructural </w:t>
      </w:r>
      <w:r w:rsidR="00F009A4" w:rsidRPr="0061347A">
        <w:rPr>
          <w:rFonts w:cs="Times New Roman"/>
        </w:rPr>
        <w:t>fue el coeficiente de determinación (</w:t>
      </w:r>
      <w:r w:rsidRPr="0061347A">
        <w:rPr>
          <w:rFonts w:cs="Times New Roman"/>
          <w:i/>
        </w:rPr>
        <w:t>R</w:t>
      </w:r>
      <w:r w:rsidRPr="0061347A">
        <w:rPr>
          <w:rFonts w:cs="Times New Roman"/>
          <w:i/>
          <w:vertAlign w:val="superscript"/>
        </w:rPr>
        <w:t>2</w:t>
      </w:r>
      <w:r w:rsidR="00F009A4" w:rsidRPr="0061347A">
        <w:rPr>
          <w:rFonts w:cs="Times New Roman"/>
        </w:rPr>
        <w:t xml:space="preserve">) </w:t>
      </w:r>
      <w:r w:rsidRPr="0061347A">
        <w:rPr>
          <w:rFonts w:cs="Times New Roman"/>
        </w:rPr>
        <w:t xml:space="preserve">(Henseler, 2017). </w:t>
      </w:r>
      <w:r w:rsidR="00286DF3" w:rsidRPr="0061347A">
        <w:rPr>
          <w:rFonts w:cs="Times New Roman"/>
        </w:rPr>
        <w:t xml:space="preserve">El coeficiente de determinación (R2), que según Hair et al. (2019), viene a ser la medida de la proporción de la varianza de un constructo endógeno que es explicada por sus constructos predictores (valor predictivo) y también Hair et al. (2017) establecieron que 0,75, 0,50 y 0.25 (sustancial, moderado y débil). En el modelo del presente estudio se obtuvo un R2 = 0.696 (valor sustancial para la gestión de conocimiento) y R2 = 0.562 (valor </w:t>
      </w:r>
      <w:r w:rsidR="009B0866" w:rsidRPr="0061347A">
        <w:rPr>
          <w:rFonts w:cs="Times New Roman"/>
        </w:rPr>
        <w:t xml:space="preserve">sustancial </w:t>
      </w:r>
      <w:r w:rsidR="00286DF3" w:rsidRPr="0061347A">
        <w:rPr>
          <w:rFonts w:cs="Times New Roman"/>
        </w:rPr>
        <w:t>para la rentabilidad); lo que implica que la autoeficacia profesional explica 69.6% de la gestión de conocimiento y un 56.2% de la rentabilidad</w:t>
      </w:r>
      <w:r w:rsidR="00026A6D" w:rsidRPr="0061347A">
        <w:rPr>
          <w:rFonts w:cs="Times New Roman"/>
        </w:rPr>
        <w:t xml:space="preserve"> es explicada la autoeficacia y la gestión del conocimiento </w:t>
      </w:r>
      <w:r w:rsidR="00645C27" w:rsidRPr="0061347A">
        <w:rPr>
          <w:rFonts w:cs="Times New Roman"/>
        </w:rPr>
        <w:t>en</w:t>
      </w:r>
      <w:r w:rsidR="00026A6D" w:rsidRPr="0061347A">
        <w:rPr>
          <w:rFonts w:cs="Times New Roman"/>
        </w:rPr>
        <w:t xml:space="preserve"> las </w:t>
      </w:r>
      <w:r w:rsidR="00286DF3" w:rsidRPr="0061347A">
        <w:rPr>
          <w:rFonts w:cs="Times New Roman"/>
        </w:rPr>
        <w:t>empresas mineras peruanas (ver Tabla 7)</w:t>
      </w:r>
      <w:r w:rsidR="00645C27" w:rsidRPr="0061347A">
        <w:rPr>
          <w:rFonts w:cs="Times New Roman"/>
        </w:rPr>
        <w:t>.</w:t>
      </w:r>
    </w:p>
    <w:p w:rsidR="00171FD7" w:rsidRPr="0061347A" w:rsidRDefault="0063532C" w:rsidP="0063532C">
      <w:pPr>
        <w:spacing w:after="0"/>
        <w:ind w:firstLine="426"/>
        <w:jc w:val="both"/>
        <w:rPr>
          <w:rFonts w:cs="Times New Roman"/>
        </w:rPr>
      </w:pPr>
      <w:r w:rsidRPr="0061347A">
        <w:rPr>
          <w:rFonts w:cs="Times New Roman"/>
        </w:rPr>
        <w:t xml:space="preserve">Además, de la evaluación de </w:t>
      </w:r>
      <w:r w:rsidRPr="0061347A">
        <w:rPr>
          <w:rFonts w:cs="Times New Roman"/>
          <w:i/>
        </w:rPr>
        <w:t>R</w:t>
      </w:r>
      <w:r w:rsidRPr="0061347A">
        <w:rPr>
          <w:rFonts w:cs="Times New Roman"/>
          <w:i/>
          <w:vertAlign w:val="superscript"/>
        </w:rPr>
        <w:t>2</w:t>
      </w:r>
      <w:r w:rsidRPr="0061347A">
        <w:rPr>
          <w:rFonts w:cs="Times New Roman"/>
        </w:rPr>
        <w:t xml:space="preserve"> de los constructos endógenos, es necesario saber el cambio en </w:t>
      </w:r>
      <w:r w:rsidRPr="0061347A">
        <w:rPr>
          <w:rFonts w:cs="Times New Roman"/>
          <w:i/>
        </w:rPr>
        <w:t>R</w:t>
      </w:r>
      <w:r w:rsidRPr="0061347A">
        <w:rPr>
          <w:rFonts w:cs="Times New Roman"/>
          <w:i/>
          <w:vertAlign w:val="superscript"/>
        </w:rPr>
        <w:t>2</w:t>
      </w:r>
      <w:r w:rsidRPr="0061347A">
        <w:rPr>
          <w:rFonts w:cs="Times New Roman"/>
        </w:rPr>
        <w:t xml:space="preserve"> cuando un determinado constructo exógeno es omitido del modelo; es decir, el tamaño del efecto f2</w:t>
      </w:r>
      <w:r w:rsidR="00A01C20" w:rsidRPr="0061347A">
        <w:rPr>
          <w:rFonts w:cs="Times New Roman"/>
        </w:rPr>
        <w:t>. Para este objetivo, Cohen (198</w:t>
      </w:r>
      <w:r w:rsidRPr="0061347A">
        <w:rPr>
          <w:rFonts w:cs="Times New Roman"/>
        </w:rPr>
        <w:t>8) indica que para un valor de f2 de 0.02 representa un pequeño efecto, de 0.15 representa un efecto medio, y de 0.35 significa un efecto grande. Es ese sentido, como podemos observar en la Tabla 7, la autoeficacia profesional tiene un efecto grande (f2: 2.294) en la gestión del conocimiento y un efecto medio (f2:0.211) en la en la rentabilidad. Sin embargo, la gestión del conocimiento tiene un efecto pequeño (f2: 0.035) en la rentabilidad.</w:t>
      </w:r>
      <w:r w:rsidR="00171FD7" w:rsidRPr="0061347A">
        <w:rPr>
          <w:rFonts w:cs="Times New Roman"/>
        </w:rPr>
        <w:t xml:space="preserve"> Los coeficientes de trayectoria fuertes y tamaños de efecto grandes observados en la las </w:t>
      </w:r>
      <w:r w:rsidR="00737F9D" w:rsidRPr="0061347A">
        <w:rPr>
          <w:rFonts w:cs="Times New Roman"/>
        </w:rPr>
        <w:t>Tabla</w:t>
      </w:r>
      <w:r w:rsidR="00171FD7" w:rsidRPr="0061347A">
        <w:rPr>
          <w:rFonts w:cs="Times New Roman"/>
        </w:rPr>
        <w:t>s</w:t>
      </w:r>
      <w:r w:rsidR="00737F9D" w:rsidRPr="0061347A">
        <w:rPr>
          <w:rFonts w:cs="Times New Roman"/>
        </w:rPr>
        <w:t xml:space="preserve"> 5 y 7 </w:t>
      </w:r>
      <w:r w:rsidR="00171FD7" w:rsidRPr="0061347A">
        <w:rPr>
          <w:rFonts w:cs="Times New Roman"/>
        </w:rPr>
        <w:t>ciertamente justifican la confiabilidad de los resultados de la presente investigación en el contexto de tamaños de muestra pequeños (Cepeda-Carrion et al., 2019)</w:t>
      </w:r>
      <w:r w:rsidR="00BD399F" w:rsidRPr="0061347A">
        <w:rPr>
          <w:rFonts w:cs="Times New Roman"/>
        </w:rPr>
        <w:t>.</w:t>
      </w:r>
    </w:p>
    <w:p w:rsidR="0063532C" w:rsidRPr="0061347A" w:rsidRDefault="0063532C" w:rsidP="0063532C">
      <w:pPr>
        <w:spacing w:after="0"/>
        <w:ind w:firstLine="426"/>
        <w:jc w:val="both"/>
        <w:rPr>
          <w:rFonts w:cs="Times New Roman"/>
        </w:rPr>
      </w:pPr>
      <w:r w:rsidRPr="0061347A">
        <w:rPr>
          <w:rFonts w:cs="Times New Roman"/>
        </w:rPr>
        <w:t xml:space="preserve">Adicionalmente al </w:t>
      </w:r>
      <w:r w:rsidRPr="0061347A">
        <w:rPr>
          <w:rFonts w:cs="Times New Roman"/>
          <w:i/>
        </w:rPr>
        <w:t>R</w:t>
      </w:r>
      <w:r w:rsidRPr="0061347A">
        <w:rPr>
          <w:rFonts w:cs="Times New Roman"/>
          <w:i/>
          <w:vertAlign w:val="superscript"/>
        </w:rPr>
        <w:t>2</w:t>
      </w:r>
      <w:r w:rsidRPr="0061347A">
        <w:rPr>
          <w:rFonts w:cs="Times New Roman"/>
        </w:rPr>
        <w:t xml:space="preserve"> como un criterio predictivo, Hair et al. (2017) recomienda examinar Q2, para valorar la relevancia predictiva del modelo estructural, para los cuales establecen valores de 0.02 como valores pequeños, valores de 0.15 como valores medios y 0.35 como valores grandes, para considerar validez predictiva del modelo. Los constructos endógenos para el caso de estu</w:t>
      </w:r>
      <w:r w:rsidR="00DC7016" w:rsidRPr="0061347A">
        <w:rPr>
          <w:rFonts w:cs="Times New Roman"/>
        </w:rPr>
        <w:t>dio tuvieron predicción de 0,657</w:t>
      </w:r>
      <w:r w:rsidRPr="0061347A">
        <w:rPr>
          <w:rFonts w:cs="Times New Roman"/>
        </w:rPr>
        <w:t xml:space="preserve"> y 0.509 lo que significa que la validez predictiva del modelo es grande. El mismo que se determinó bajo el procedimiento blindfolding (Stone, 1974) en SmartPLS.</w:t>
      </w:r>
      <w:r w:rsidR="005D5C51" w:rsidRPr="0061347A">
        <w:rPr>
          <w:rFonts w:cs="Times New Roman"/>
        </w:rPr>
        <w:t xml:space="preserve"> Ya que, estos nuevos métodos proporcionan grandes aumentos en el rigor con el que se pueden analizar los datos correlacionales (Cliff, N., 1983).</w:t>
      </w:r>
    </w:p>
    <w:p w:rsidR="00B5773C" w:rsidRPr="0061347A" w:rsidRDefault="000367A5" w:rsidP="008367D1">
      <w:pPr>
        <w:spacing w:after="0"/>
        <w:ind w:firstLine="426"/>
        <w:jc w:val="both"/>
        <w:rPr>
          <w:rFonts w:cs="Times New Roman"/>
        </w:rPr>
      </w:pPr>
      <w:r w:rsidRPr="0061347A">
        <w:rPr>
          <w:rFonts w:cs="Times New Roman"/>
        </w:rPr>
        <w:t xml:space="preserve">Para medir el constructo autoeficacia profesional se emplearon 24 de 26 reactivos. </w:t>
      </w:r>
      <w:r w:rsidR="00D90C05" w:rsidRPr="0061347A">
        <w:rPr>
          <w:rFonts w:cs="Times New Roman"/>
        </w:rPr>
        <w:t>P</w:t>
      </w:r>
      <w:r w:rsidRPr="0061347A">
        <w:rPr>
          <w:rFonts w:cs="Times New Roman"/>
        </w:rPr>
        <w:t>ara medir el constructo gestión del conocimiento se emplearon 24 de 26</w:t>
      </w:r>
      <w:r w:rsidR="00A3554C" w:rsidRPr="0061347A">
        <w:rPr>
          <w:rFonts w:cs="Times New Roman"/>
        </w:rPr>
        <w:t xml:space="preserve"> reactivos</w:t>
      </w:r>
      <w:r w:rsidRPr="0061347A">
        <w:rPr>
          <w:rFonts w:cs="Times New Roman"/>
        </w:rPr>
        <w:t xml:space="preserve">, </w:t>
      </w:r>
      <w:r w:rsidRPr="0061347A">
        <w:rPr>
          <w:rFonts w:cs="Times New Roman"/>
        </w:rPr>
        <w:lastRenderedPageBreak/>
        <w:t>mientras que para el constructo</w:t>
      </w:r>
      <w:r w:rsidR="00AD3B20" w:rsidRPr="0061347A">
        <w:rPr>
          <w:rFonts w:cs="Times New Roman"/>
        </w:rPr>
        <w:t xml:space="preserve"> rentabilidad</w:t>
      </w:r>
      <w:r w:rsidRPr="0061347A">
        <w:rPr>
          <w:rFonts w:cs="Times New Roman"/>
        </w:rPr>
        <w:t xml:space="preserve"> se utilizaron tres</w:t>
      </w:r>
      <w:r w:rsidR="00AD3B20" w:rsidRPr="0061347A">
        <w:rPr>
          <w:rFonts w:cs="Times New Roman"/>
        </w:rPr>
        <w:t xml:space="preserve"> indicadores</w:t>
      </w:r>
      <w:r w:rsidR="00D90C05" w:rsidRPr="0061347A">
        <w:rPr>
          <w:rFonts w:cs="Times New Roman"/>
        </w:rPr>
        <w:t>:</w:t>
      </w:r>
      <w:r w:rsidR="00AD3B20" w:rsidRPr="0061347A">
        <w:rPr>
          <w:rFonts w:cs="Times New Roman"/>
        </w:rPr>
        <w:t xml:space="preserve"> R</w:t>
      </w:r>
      <w:r w:rsidRPr="0061347A">
        <w:rPr>
          <w:rFonts w:cs="Times New Roman"/>
        </w:rPr>
        <w:t>OA, ROE y ROIC</w:t>
      </w:r>
      <w:r w:rsidR="00D90C05" w:rsidRPr="0061347A">
        <w:rPr>
          <w:rFonts w:cs="Times New Roman"/>
        </w:rPr>
        <w:t>,</w:t>
      </w:r>
      <w:r w:rsidR="00AD3B20" w:rsidRPr="0061347A">
        <w:rPr>
          <w:rFonts w:cs="Times New Roman"/>
        </w:rPr>
        <w:t xml:space="preserve"> </w:t>
      </w:r>
      <w:r w:rsidRPr="0061347A">
        <w:rPr>
          <w:rFonts w:cs="Times New Roman"/>
        </w:rPr>
        <w:t>de los cuatro propuestos inici</w:t>
      </w:r>
      <w:r w:rsidR="00E34FEA" w:rsidRPr="0061347A">
        <w:rPr>
          <w:rFonts w:cs="Times New Roman"/>
        </w:rPr>
        <w:t xml:space="preserve">almente (ver Figura </w:t>
      </w:r>
      <w:r w:rsidR="00FB6762" w:rsidRPr="0061347A">
        <w:rPr>
          <w:rFonts w:cs="Times New Roman"/>
        </w:rPr>
        <w:t>1</w:t>
      </w:r>
      <w:r w:rsidRPr="0061347A">
        <w:rPr>
          <w:rFonts w:cs="Times New Roman"/>
        </w:rPr>
        <w:t>)</w:t>
      </w:r>
      <w:r w:rsidR="00E0363A" w:rsidRPr="0061347A">
        <w:rPr>
          <w:rFonts w:cs="Times New Roman"/>
        </w:rPr>
        <w:t xml:space="preserve">. </w:t>
      </w:r>
      <w:r w:rsidR="00B5773C" w:rsidRPr="0061347A">
        <w:rPr>
          <w:rFonts w:cs="Times New Roman"/>
        </w:rPr>
        <w:t xml:space="preserve">Para probar la relación de los constructos </w:t>
      </w:r>
      <w:r w:rsidR="00E0363A" w:rsidRPr="0061347A">
        <w:rPr>
          <w:rFonts w:cs="Times New Roman"/>
        </w:rPr>
        <w:t>representados en las hipótesis H1, H2 y H3,</w:t>
      </w:r>
      <w:r w:rsidR="00AD3B20" w:rsidRPr="0061347A">
        <w:rPr>
          <w:rFonts w:cs="Times New Roman"/>
        </w:rPr>
        <w:t xml:space="preserve"> se ejecutó la </w:t>
      </w:r>
      <w:r w:rsidR="00B5773C" w:rsidRPr="0061347A">
        <w:rPr>
          <w:rFonts w:cs="Times New Roman"/>
        </w:rPr>
        <w:t>opció</w:t>
      </w:r>
      <w:r w:rsidR="00FB2AA2" w:rsidRPr="0061347A">
        <w:rPr>
          <w:rFonts w:cs="Times New Roman"/>
        </w:rPr>
        <w:t xml:space="preserve">n de coeficiente de </w:t>
      </w:r>
      <w:r w:rsidR="00E03486" w:rsidRPr="0061347A">
        <w:rPr>
          <w:rFonts w:cs="Times New Roman"/>
        </w:rPr>
        <w:t>ruta</w:t>
      </w:r>
      <w:r w:rsidR="00FB2AA2" w:rsidRPr="0061347A">
        <w:rPr>
          <w:rFonts w:cs="Times New Roman"/>
        </w:rPr>
        <w:t xml:space="preserve"> (p</w:t>
      </w:r>
      <w:r w:rsidR="00B5773C" w:rsidRPr="0061347A">
        <w:rPr>
          <w:rFonts w:cs="Times New Roman"/>
        </w:rPr>
        <w:t xml:space="preserve">ath coefficients) </w:t>
      </w:r>
      <w:r w:rsidR="00E0363A" w:rsidRPr="0061347A">
        <w:rPr>
          <w:rFonts w:cs="Times New Roman"/>
        </w:rPr>
        <w:t>en SmartPLS4</w:t>
      </w:r>
      <w:r w:rsidR="00171C87" w:rsidRPr="0061347A">
        <w:rPr>
          <w:rFonts w:cs="Times New Roman"/>
        </w:rPr>
        <w:t xml:space="preserve"> (PLS-algorithm)</w:t>
      </w:r>
      <w:r w:rsidR="00D90C05" w:rsidRPr="0061347A">
        <w:rPr>
          <w:rFonts w:cs="Times New Roman"/>
        </w:rPr>
        <w:t>.</w:t>
      </w:r>
      <w:r w:rsidR="002C350E" w:rsidRPr="0061347A">
        <w:rPr>
          <w:rFonts w:cs="Times New Roman"/>
        </w:rPr>
        <w:t xml:space="preserve"> Los coeficientes de trayectoria del modelo de ecuaciones estructurales deben interpretarse como coeficientes de regresión estandarizados, que se entiende como la relación de trayectoria entre una variable dependiente y una independiente y cuantifica el aumento esperado en una variable dependiente si la variable independiente aumenta en una desviación estándar y todas las demás variables independientes en la ecuación de regresión se mantienen constantes (Henseler, 2017).</w:t>
      </w:r>
      <w:r w:rsidR="00D90C05" w:rsidRPr="0061347A">
        <w:rPr>
          <w:rFonts w:cs="Times New Roman"/>
        </w:rPr>
        <w:t xml:space="preserve"> S</w:t>
      </w:r>
      <w:r w:rsidR="00E0363A" w:rsidRPr="0061347A">
        <w:rPr>
          <w:rFonts w:cs="Times New Roman"/>
        </w:rPr>
        <w:t xml:space="preserve">e </w:t>
      </w:r>
      <w:r w:rsidR="00D90C05" w:rsidRPr="0061347A">
        <w:rPr>
          <w:rFonts w:cs="Times New Roman"/>
        </w:rPr>
        <w:t>obtuvieron</w:t>
      </w:r>
      <w:r w:rsidR="00FB2AA2" w:rsidRPr="0061347A">
        <w:rPr>
          <w:rFonts w:cs="Times New Roman"/>
        </w:rPr>
        <w:t xml:space="preserve"> los </w:t>
      </w:r>
      <w:r w:rsidR="00E0363A" w:rsidRPr="0061347A">
        <w:rPr>
          <w:rFonts w:cs="Times New Roman"/>
        </w:rPr>
        <w:t>valores para H1 = 0.55</w:t>
      </w:r>
      <w:r w:rsidR="00223DBA" w:rsidRPr="0061347A">
        <w:rPr>
          <w:rFonts w:cs="Times New Roman"/>
        </w:rPr>
        <w:t>2</w:t>
      </w:r>
      <w:r w:rsidR="00E0363A" w:rsidRPr="0061347A">
        <w:rPr>
          <w:rFonts w:cs="Times New Roman"/>
        </w:rPr>
        <w:t>, H2 = 0.834 y H3 = 0.22</w:t>
      </w:r>
      <w:r w:rsidR="00223DBA" w:rsidRPr="0061347A">
        <w:rPr>
          <w:rFonts w:cs="Times New Roman"/>
        </w:rPr>
        <w:t>4</w:t>
      </w:r>
      <w:r w:rsidR="00B5773C" w:rsidRPr="0061347A">
        <w:rPr>
          <w:rFonts w:cs="Times New Roman"/>
        </w:rPr>
        <w:t xml:space="preserve">, lo que significa que existe </w:t>
      </w:r>
      <w:r w:rsidR="00D90C05" w:rsidRPr="0061347A">
        <w:rPr>
          <w:rFonts w:cs="Times New Roman"/>
        </w:rPr>
        <w:t xml:space="preserve">una </w:t>
      </w:r>
      <w:r w:rsidR="00B5773C" w:rsidRPr="0061347A">
        <w:rPr>
          <w:rFonts w:cs="Times New Roman"/>
        </w:rPr>
        <w:t>relación positiva</w:t>
      </w:r>
      <w:r w:rsidR="006F10E5" w:rsidRPr="0061347A">
        <w:rPr>
          <w:rFonts w:cs="Times New Roman"/>
        </w:rPr>
        <w:t xml:space="preserve"> entre las variables</w:t>
      </w:r>
      <w:r w:rsidR="00E0363A" w:rsidRPr="0061347A">
        <w:rPr>
          <w:rFonts w:cs="Times New Roman"/>
        </w:rPr>
        <w:t xml:space="preserve"> en todos los casos</w:t>
      </w:r>
      <w:r w:rsidR="00B5773C" w:rsidRPr="0061347A">
        <w:rPr>
          <w:rFonts w:cs="Times New Roman"/>
        </w:rPr>
        <w:t xml:space="preserve"> (ver Tabla 5)</w:t>
      </w:r>
      <w:r w:rsidR="00E0363A" w:rsidRPr="0061347A">
        <w:rPr>
          <w:rFonts w:cs="Times New Roman"/>
        </w:rPr>
        <w:t xml:space="preserve"> </w:t>
      </w:r>
      <w:r w:rsidR="00B5773C" w:rsidRPr="0061347A">
        <w:rPr>
          <w:rFonts w:cs="Times New Roman"/>
        </w:rPr>
        <w:t>(Florea &amp; Munteanu, 2020; Hair J.F., 2021).</w:t>
      </w:r>
    </w:p>
    <w:p w:rsidR="0061026E" w:rsidRPr="0061347A" w:rsidRDefault="0061026E" w:rsidP="00627B84">
      <w:pPr>
        <w:spacing w:after="0"/>
        <w:jc w:val="both"/>
        <w:rPr>
          <w:rFonts w:cs="Times New Roman"/>
        </w:rPr>
      </w:pPr>
    </w:p>
    <w:p w:rsidR="006F10E5" w:rsidRPr="0061347A" w:rsidRDefault="006F10E5" w:rsidP="006F10E5">
      <w:pPr>
        <w:pStyle w:val="Prrafodelista"/>
        <w:numPr>
          <w:ilvl w:val="1"/>
          <w:numId w:val="3"/>
        </w:numPr>
        <w:spacing w:after="0" w:line="240" w:lineRule="auto"/>
        <w:ind w:left="567" w:hanging="567"/>
        <w:rPr>
          <w:b/>
          <w:i/>
          <w:szCs w:val="24"/>
        </w:rPr>
      </w:pPr>
      <w:r w:rsidRPr="0061347A">
        <w:rPr>
          <w:b/>
          <w:i/>
          <w:szCs w:val="24"/>
        </w:rPr>
        <w:t>Pruebas de Hipótesis</w:t>
      </w:r>
    </w:p>
    <w:p w:rsidR="003204A2" w:rsidRPr="0061347A" w:rsidRDefault="00A629DC" w:rsidP="0061026E">
      <w:pPr>
        <w:spacing w:after="0"/>
        <w:ind w:firstLine="426"/>
        <w:jc w:val="both"/>
        <w:rPr>
          <w:rFonts w:cs="Times New Roman"/>
        </w:rPr>
      </w:pPr>
      <w:r w:rsidRPr="0061347A">
        <w:rPr>
          <w:rFonts w:cs="Times New Roman"/>
        </w:rPr>
        <w:t xml:space="preserve">Para evaluar la significancia estadística </w:t>
      </w:r>
      <w:r w:rsidR="00C74F20" w:rsidRPr="0061347A">
        <w:rPr>
          <w:rFonts w:cs="Times New Roman"/>
        </w:rPr>
        <w:t>de</w:t>
      </w:r>
      <w:r w:rsidR="00FB64CF" w:rsidRPr="0061347A">
        <w:rPr>
          <w:rFonts w:cs="Times New Roman"/>
        </w:rPr>
        <w:t xml:space="preserve"> las relaciones entre variables incluidas en el </w:t>
      </w:r>
      <w:r w:rsidR="00C74F20" w:rsidRPr="0061347A">
        <w:rPr>
          <w:rFonts w:cs="Times New Roman"/>
        </w:rPr>
        <w:t xml:space="preserve">modelo conceptual se </w:t>
      </w:r>
      <w:r w:rsidR="000367A5" w:rsidRPr="0061347A">
        <w:rPr>
          <w:rFonts w:cs="Times New Roman"/>
        </w:rPr>
        <w:t>e</w:t>
      </w:r>
      <w:r w:rsidR="00964EE9" w:rsidRPr="0061347A">
        <w:rPr>
          <w:rFonts w:cs="Times New Roman"/>
        </w:rPr>
        <w:t xml:space="preserve">mpleó el análisis de </w:t>
      </w:r>
      <w:r w:rsidR="00964EE9" w:rsidRPr="0061347A">
        <w:rPr>
          <w:rFonts w:cs="Times New Roman"/>
          <w:i/>
        </w:rPr>
        <w:t>b</w:t>
      </w:r>
      <w:r w:rsidRPr="0061347A">
        <w:rPr>
          <w:rFonts w:cs="Times New Roman"/>
          <w:i/>
        </w:rPr>
        <w:t>ootstrapping</w:t>
      </w:r>
      <w:r w:rsidR="00FB64CF" w:rsidRPr="0061347A">
        <w:rPr>
          <w:rFonts w:cs="Times New Roman"/>
          <w:i/>
        </w:rPr>
        <w:t xml:space="preserve"> </w:t>
      </w:r>
      <w:r w:rsidR="00FB64CF" w:rsidRPr="0061347A">
        <w:rPr>
          <w:rFonts w:cs="Times New Roman"/>
        </w:rPr>
        <w:t xml:space="preserve">usando 5000 </w:t>
      </w:r>
      <w:r w:rsidR="00944CE2" w:rsidRPr="0061347A">
        <w:rPr>
          <w:rFonts w:cs="Times New Roman"/>
        </w:rPr>
        <w:t>interacciones</w:t>
      </w:r>
      <w:r w:rsidR="00073CA1" w:rsidRPr="0061347A">
        <w:rPr>
          <w:rFonts w:cs="Times New Roman"/>
        </w:rPr>
        <w:t>, considerando una cola ya que se ha determinado o hipotetizado una dirección o signo</w:t>
      </w:r>
      <w:r w:rsidR="00F20B0A" w:rsidRPr="0061347A">
        <w:rPr>
          <w:rFonts w:cs="Times New Roman"/>
        </w:rPr>
        <w:t xml:space="preserve"> para los coeficientes de trayectoria </w:t>
      </w:r>
      <w:r w:rsidR="00073CA1" w:rsidRPr="0061347A">
        <w:rPr>
          <w:rFonts w:cs="Times New Roman"/>
        </w:rPr>
        <w:t>(</w:t>
      </w:r>
      <w:r w:rsidR="00393846" w:rsidRPr="0061347A">
        <w:rPr>
          <w:rFonts w:cs="Times New Roman"/>
        </w:rPr>
        <w:t>Cepeda-Carrion et al., 2019</w:t>
      </w:r>
      <w:r w:rsidR="00073CA1" w:rsidRPr="0061347A">
        <w:rPr>
          <w:rFonts w:cs="Times New Roman"/>
        </w:rPr>
        <w:t xml:space="preserve">). </w:t>
      </w:r>
      <w:r w:rsidR="00FB64CF" w:rsidRPr="0061347A">
        <w:rPr>
          <w:rFonts w:cs="Times New Roman"/>
        </w:rPr>
        <w:t xml:space="preserve">Los resultados muestran </w:t>
      </w:r>
      <w:r w:rsidR="00E0363A" w:rsidRPr="0061347A">
        <w:rPr>
          <w:rFonts w:cs="Times New Roman"/>
        </w:rPr>
        <w:t xml:space="preserve">que </w:t>
      </w:r>
      <w:r w:rsidR="008E0B22" w:rsidRPr="0061347A">
        <w:rPr>
          <w:rFonts w:cs="Times New Roman"/>
        </w:rPr>
        <w:t xml:space="preserve">se verifica la significancia </w:t>
      </w:r>
      <w:r w:rsidR="00964EE9" w:rsidRPr="0061347A">
        <w:rPr>
          <w:rFonts w:cs="Times New Roman"/>
        </w:rPr>
        <w:t xml:space="preserve">estadística de </w:t>
      </w:r>
      <w:r w:rsidR="008E0B22" w:rsidRPr="0061347A">
        <w:rPr>
          <w:rFonts w:cs="Times New Roman"/>
        </w:rPr>
        <w:t xml:space="preserve">las </w:t>
      </w:r>
      <w:r w:rsidRPr="0061347A">
        <w:rPr>
          <w:rFonts w:cs="Times New Roman"/>
        </w:rPr>
        <w:t>hipótesis H1</w:t>
      </w:r>
      <w:r w:rsidR="002E1D1F" w:rsidRPr="0061347A">
        <w:rPr>
          <w:rFonts w:cs="Times New Roman"/>
        </w:rPr>
        <w:t>, que indica que existe una relación positiva y significativa entre la autoeficacia profesional y la rentabilidad de las empresas</w:t>
      </w:r>
      <w:r w:rsidR="00843121" w:rsidRPr="0061347A">
        <w:rPr>
          <w:rFonts w:cs="Times New Roman"/>
        </w:rPr>
        <w:t xml:space="preserve"> (</w:t>
      </w:r>
      <w:r w:rsidR="00843121" w:rsidRPr="0061347A">
        <w:rPr>
          <w:rFonts w:cs="Times New Roman"/>
          <w:i/>
        </w:rPr>
        <w:t>t</w:t>
      </w:r>
      <w:r w:rsidR="00843121" w:rsidRPr="0061347A">
        <w:rPr>
          <w:rFonts w:cs="Times New Roman"/>
        </w:rPr>
        <w:t>-student =</w:t>
      </w:r>
      <w:r w:rsidR="000B1635" w:rsidRPr="0061347A">
        <w:rPr>
          <w:rFonts w:cs="Times New Roman"/>
        </w:rPr>
        <w:t xml:space="preserve"> 5.871</w:t>
      </w:r>
      <w:r w:rsidR="00843121" w:rsidRPr="0061347A">
        <w:rPr>
          <w:rFonts w:cs="Times New Roman"/>
        </w:rPr>
        <w:t xml:space="preserve">, </w:t>
      </w:r>
      <w:r w:rsidR="00843121" w:rsidRPr="0061347A">
        <w:rPr>
          <w:rFonts w:cs="Times New Roman"/>
          <w:i/>
        </w:rPr>
        <w:t>p</w:t>
      </w:r>
      <w:r w:rsidR="00843121" w:rsidRPr="0061347A">
        <w:rPr>
          <w:rFonts w:cs="Times New Roman"/>
        </w:rPr>
        <w:t>-value &lt; 0.05), H2</w:t>
      </w:r>
      <w:r w:rsidR="002E1D1F" w:rsidRPr="0061347A">
        <w:rPr>
          <w:rFonts w:cs="Times New Roman"/>
        </w:rPr>
        <w:t xml:space="preserve">, que indica que existe una relación positiva y significativa entre la autoeficacia profesional y la gestión del conocimiento </w:t>
      </w:r>
      <w:r w:rsidR="00843121" w:rsidRPr="0061347A">
        <w:rPr>
          <w:rFonts w:cs="Times New Roman"/>
        </w:rPr>
        <w:t>(</w:t>
      </w:r>
      <w:r w:rsidR="00843121" w:rsidRPr="0061347A">
        <w:rPr>
          <w:rFonts w:cs="Times New Roman"/>
          <w:i/>
        </w:rPr>
        <w:t>t</w:t>
      </w:r>
      <w:r w:rsidR="00843121" w:rsidRPr="0061347A">
        <w:rPr>
          <w:rFonts w:cs="Times New Roman"/>
        </w:rPr>
        <w:t>-student =</w:t>
      </w:r>
      <w:r w:rsidR="000B1635" w:rsidRPr="0061347A">
        <w:rPr>
          <w:rFonts w:cs="Times New Roman"/>
        </w:rPr>
        <w:t xml:space="preserve"> 20.636</w:t>
      </w:r>
      <w:r w:rsidR="00843121" w:rsidRPr="0061347A">
        <w:rPr>
          <w:rFonts w:cs="Times New Roman"/>
        </w:rPr>
        <w:t xml:space="preserve">, </w:t>
      </w:r>
      <w:r w:rsidR="00843121" w:rsidRPr="0061347A">
        <w:rPr>
          <w:rFonts w:cs="Times New Roman"/>
          <w:i/>
        </w:rPr>
        <w:t>p</w:t>
      </w:r>
      <w:r w:rsidR="00843121" w:rsidRPr="0061347A">
        <w:rPr>
          <w:rFonts w:cs="Times New Roman"/>
        </w:rPr>
        <w:t>-value &lt; 0.05) y H3</w:t>
      </w:r>
      <w:r w:rsidR="002E1D1F" w:rsidRPr="0061347A">
        <w:rPr>
          <w:rFonts w:cs="Times New Roman"/>
        </w:rPr>
        <w:t xml:space="preserve">, </w:t>
      </w:r>
      <w:r w:rsidR="00401257" w:rsidRPr="0061347A">
        <w:rPr>
          <w:rFonts w:cs="Times New Roman"/>
        </w:rPr>
        <w:t xml:space="preserve">que indica que existe una relación positiva y significativa entre la gestión del conocimiento y la rentabilidad de las empresas </w:t>
      </w:r>
      <w:r w:rsidR="00843121" w:rsidRPr="0061347A">
        <w:rPr>
          <w:rFonts w:cs="Times New Roman"/>
        </w:rPr>
        <w:t>(</w:t>
      </w:r>
      <w:r w:rsidR="00843121" w:rsidRPr="0061347A">
        <w:rPr>
          <w:rFonts w:cs="Times New Roman"/>
          <w:i/>
        </w:rPr>
        <w:t>t</w:t>
      </w:r>
      <w:r w:rsidR="00843121" w:rsidRPr="0061347A">
        <w:rPr>
          <w:rFonts w:cs="Times New Roman"/>
        </w:rPr>
        <w:t>-student =</w:t>
      </w:r>
      <w:r w:rsidR="000B1635" w:rsidRPr="0061347A">
        <w:rPr>
          <w:rFonts w:cs="Times New Roman"/>
        </w:rPr>
        <w:t xml:space="preserve"> 2.427</w:t>
      </w:r>
      <w:r w:rsidR="00843121" w:rsidRPr="0061347A">
        <w:rPr>
          <w:rFonts w:cs="Times New Roman"/>
        </w:rPr>
        <w:t xml:space="preserve">, </w:t>
      </w:r>
      <w:r w:rsidR="00843121" w:rsidRPr="0061347A">
        <w:rPr>
          <w:rFonts w:cs="Times New Roman"/>
          <w:i/>
        </w:rPr>
        <w:t>p</w:t>
      </w:r>
      <w:r w:rsidR="00843121" w:rsidRPr="0061347A">
        <w:rPr>
          <w:rFonts w:cs="Times New Roman"/>
        </w:rPr>
        <w:t>-value &lt; 0.05)</w:t>
      </w:r>
      <w:r w:rsidR="00964EE9" w:rsidRPr="0061347A">
        <w:rPr>
          <w:rFonts w:cs="Times New Roman"/>
        </w:rPr>
        <w:t xml:space="preserve">, por lo que se </w:t>
      </w:r>
      <w:r w:rsidR="00843121" w:rsidRPr="0061347A">
        <w:rPr>
          <w:rFonts w:cs="Times New Roman"/>
        </w:rPr>
        <w:t>acepta</w:t>
      </w:r>
      <w:r w:rsidR="00964EE9" w:rsidRPr="0061347A">
        <w:rPr>
          <w:rFonts w:cs="Times New Roman"/>
        </w:rPr>
        <w:t>ron</w:t>
      </w:r>
      <w:r w:rsidR="00223DBA" w:rsidRPr="0061347A">
        <w:rPr>
          <w:rFonts w:cs="Times New Roman"/>
        </w:rPr>
        <w:t xml:space="preserve"> </w:t>
      </w:r>
      <w:r w:rsidR="00E34FEA" w:rsidRPr="0061347A">
        <w:rPr>
          <w:rFonts w:cs="Times New Roman"/>
        </w:rPr>
        <w:t>(ver Tabla 6</w:t>
      </w:r>
      <w:r w:rsidR="00843121" w:rsidRPr="0061347A">
        <w:rPr>
          <w:rFonts w:cs="Times New Roman"/>
        </w:rPr>
        <w:t>). Así también</w:t>
      </w:r>
      <w:r w:rsidR="00964EE9" w:rsidRPr="0061347A">
        <w:rPr>
          <w:rFonts w:cs="Times New Roman"/>
        </w:rPr>
        <w:t>,</w:t>
      </w:r>
      <w:r w:rsidR="00843121" w:rsidRPr="0061347A">
        <w:rPr>
          <w:rFonts w:cs="Times New Roman"/>
        </w:rPr>
        <w:t xml:space="preserve"> la hipótesis H4 </w:t>
      </w:r>
      <w:r w:rsidR="003D4F72" w:rsidRPr="0061347A">
        <w:rPr>
          <w:rFonts w:cs="Times New Roman"/>
        </w:rPr>
        <w:t>(</w:t>
      </w:r>
      <w:r w:rsidR="003D4F72" w:rsidRPr="0061347A">
        <w:rPr>
          <w:rFonts w:cs="Times New Roman"/>
          <w:i/>
        </w:rPr>
        <w:t>t</w:t>
      </w:r>
      <w:r w:rsidR="003D4F72" w:rsidRPr="0061347A">
        <w:rPr>
          <w:rFonts w:cs="Times New Roman"/>
        </w:rPr>
        <w:t>-student</w:t>
      </w:r>
      <w:r w:rsidR="00E231CA" w:rsidRPr="0061347A">
        <w:rPr>
          <w:rFonts w:cs="Times New Roman"/>
        </w:rPr>
        <w:t xml:space="preserve"> =</w:t>
      </w:r>
      <w:r w:rsidR="000B1635" w:rsidRPr="0061347A">
        <w:rPr>
          <w:rFonts w:cs="Times New Roman"/>
        </w:rPr>
        <w:t xml:space="preserve"> 2.318</w:t>
      </w:r>
      <w:r w:rsidR="00843121" w:rsidRPr="0061347A">
        <w:rPr>
          <w:rFonts w:cs="Times New Roman"/>
        </w:rPr>
        <w:t xml:space="preserve">, </w:t>
      </w:r>
      <w:r w:rsidR="003D4F72" w:rsidRPr="0061347A">
        <w:rPr>
          <w:rFonts w:cs="Times New Roman"/>
          <w:i/>
        </w:rPr>
        <w:t>p</w:t>
      </w:r>
      <w:r w:rsidR="003D4F72" w:rsidRPr="0061347A">
        <w:rPr>
          <w:rFonts w:cs="Times New Roman"/>
        </w:rPr>
        <w:t>-value &lt; 0.05)</w:t>
      </w:r>
      <w:r w:rsidR="0016369C" w:rsidRPr="0061347A">
        <w:rPr>
          <w:rFonts w:cs="Times New Roman"/>
        </w:rPr>
        <w:t xml:space="preserve"> </w:t>
      </w:r>
      <w:r w:rsidR="00964EE9" w:rsidRPr="0061347A">
        <w:rPr>
          <w:rFonts w:cs="Times New Roman"/>
        </w:rPr>
        <w:t>fue aceptada</w:t>
      </w:r>
      <w:r w:rsidR="00843121" w:rsidRPr="0061347A">
        <w:rPr>
          <w:rFonts w:cs="Times New Roman"/>
        </w:rPr>
        <w:t>.</w:t>
      </w:r>
      <w:r w:rsidR="00A95613" w:rsidRPr="0061347A">
        <w:rPr>
          <w:rFonts w:cs="Times New Roman"/>
        </w:rPr>
        <w:t xml:space="preserve"> Por lo tanto, </w:t>
      </w:r>
      <w:r w:rsidR="00964EE9" w:rsidRPr="0061347A">
        <w:rPr>
          <w:rFonts w:cs="Times New Roman"/>
        </w:rPr>
        <w:t xml:space="preserve">se concluyó </w:t>
      </w:r>
      <w:r w:rsidR="00A95613" w:rsidRPr="0061347A">
        <w:rPr>
          <w:rFonts w:cs="Times New Roman"/>
        </w:rPr>
        <w:t>que existe</w:t>
      </w:r>
      <w:r w:rsidR="004E693F" w:rsidRPr="0061347A">
        <w:rPr>
          <w:rFonts w:cs="Times New Roman"/>
        </w:rPr>
        <w:t xml:space="preserve"> un efecto mediador parcial complementario y significativo (a=0.834, b=0.225, c´=0.551; a x b = 0.188(efecto indirecto positivo)) </w:t>
      </w:r>
      <w:r w:rsidR="00962435" w:rsidRPr="0061347A">
        <w:rPr>
          <w:rFonts w:cs="Times New Roman"/>
        </w:rPr>
        <w:t xml:space="preserve">de la </w:t>
      </w:r>
      <w:r w:rsidR="00A95613" w:rsidRPr="0061347A">
        <w:rPr>
          <w:rFonts w:cs="Times New Roman"/>
        </w:rPr>
        <w:t xml:space="preserve">gestión del conocimiento </w:t>
      </w:r>
      <w:r w:rsidR="00964EE9" w:rsidRPr="0061347A">
        <w:rPr>
          <w:rFonts w:cs="Times New Roman"/>
        </w:rPr>
        <w:t xml:space="preserve">en </w:t>
      </w:r>
      <w:r w:rsidR="00A95613" w:rsidRPr="0061347A">
        <w:rPr>
          <w:rFonts w:cs="Times New Roman"/>
        </w:rPr>
        <w:t xml:space="preserve">la relación </w:t>
      </w:r>
      <w:r w:rsidR="00964EE9" w:rsidRPr="0061347A">
        <w:rPr>
          <w:rFonts w:cs="Times New Roman"/>
        </w:rPr>
        <w:t xml:space="preserve">entre </w:t>
      </w:r>
      <w:r w:rsidR="00A95613" w:rsidRPr="0061347A">
        <w:rPr>
          <w:rFonts w:cs="Times New Roman"/>
        </w:rPr>
        <w:t>la autoeficacia profesional y la rentabilidad de las empresas mineras (</w:t>
      </w:r>
      <w:r w:rsidR="003458E8" w:rsidRPr="0061347A">
        <w:rPr>
          <w:rFonts w:cs="Times New Roman"/>
          <w:szCs w:val="24"/>
        </w:rPr>
        <w:t xml:space="preserve">Baron &amp; Kenny, 1986; </w:t>
      </w:r>
      <w:r w:rsidR="00B46E92" w:rsidRPr="0061347A">
        <w:rPr>
          <w:rFonts w:cs="Times New Roman"/>
          <w:szCs w:val="24"/>
        </w:rPr>
        <w:t>Cepeda-Carrion et al., 2019</w:t>
      </w:r>
      <w:r w:rsidR="003458E8" w:rsidRPr="0061347A">
        <w:rPr>
          <w:rFonts w:cs="Times New Roman"/>
          <w:szCs w:val="24"/>
        </w:rPr>
        <w:t>; Nitzl et al., 2016; Zhao et al., 2011</w:t>
      </w:r>
      <w:r w:rsidR="00A95613" w:rsidRPr="0061347A">
        <w:rPr>
          <w:rFonts w:cs="Times New Roman"/>
          <w:szCs w:val="24"/>
        </w:rPr>
        <w:t>)</w:t>
      </w:r>
      <w:r w:rsidR="00A95613" w:rsidRPr="0061347A">
        <w:rPr>
          <w:rFonts w:cs="Times New Roman"/>
        </w:rPr>
        <w:t>.</w:t>
      </w:r>
    </w:p>
    <w:p w:rsidR="00601DC8" w:rsidRPr="0061347A" w:rsidRDefault="00601DC8" w:rsidP="00F73523">
      <w:pPr>
        <w:spacing w:after="0"/>
        <w:jc w:val="both"/>
        <w:rPr>
          <w:rFonts w:cs="Times New Roman"/>
        </w:rPr>
      </w:pPr>
    </w:p>
    <w:p w:rsidR="00002F25" w:rsidRPr="0061347A" w:rsidRDefault="0039486D" w:rsidP="00FE2AF7">
      <w:pPr>
        <w:jc w:val="both"/>
        <w:rPr>
          <w:rFonts w:cs="Times New Roman"/>
        </w:rPr>
      </w:pPr>
      <w:r w:rsidRPr="0061347A">
        <w:rPr>
          <w:rFonts w:cs="Times New Roman"/>
          <w:noProof/>
          <w:lang w:eastAsia="es-PE"/>
        </w:rPr>
        <mc:AlternateContent>
          <mc:Choice Requires="wpg">
            <w:drawing>
              <wp:anchor distT="0" distB="0" distL="114300" distR="114300" simplePos="0" relativeHeight="251721728" behindDoc="0" locked="0" layoutInCell="1" allowOverlap="1" wp14:anchorId="48134483" wp14:editId="2638331A">
                <wp:simplePos x="0" y="0"/>
                <wp:positionH relativeFrom="column">
                  <wp:posOffset>2540</wp:posOffset>
                </wp:positionH>
                <wp:positionV relativeFrom="paragraph">
                  <wp:posOffset>284529</wp:posOffset>
                </wp:positionV>
                <wp:extent cx="4867275" cy="1081405"/>
                <wp:effectExtent l="0" t="0" r="9525" b="0"/>
                <wp:wrapNone/>
                <wp:docPr id="3" name="Grupo 3"/>
                <wp:cNvGraphicFramePr/>
                <a:graphic xmlns:a="http://schemas.openxmlformats.org/drawingml/2006/main">
                  <a:graphicData uri="http://schemas.microsoft.com/office/word/2010/wordprocessingGroup">
                    <wpg:wgp>
                      <wpg:cNvGrpSpPr/>
                      <wpg:grpSpPr>
                        <a:xfrm>
                          <a:off x="0" y="0"/>
                          <a:ext cx="4867275" cy="1081405"/>
                          <a:chOff x="0" y="0"/>
                          <a:chExt cx="4867275" cy="1081796"/>
                        </a:xfrm>
                      </wpg:grpSpPr>
                      <pic:pic xmlns:pic="http://schemas.openxmlformats.org/drawingml/2006/picture">
                        <pic:nvPicPr>
                          <pic:cNvPr id="8" name="Imagen 8"/>
                          <pic:cNvPicPr>
                            <a:picLocks noChangeAspect="1"/>
                          </pic:cNvPicPr>
                        </pic:nvPicPr>
                        <pic:blipFill rotWithShape="1">
                          <a:blip r:embed="rId15">
                            <a:extLst>
                              <a:ext uri="{28A0092B-C50C-407E-A947-70E740481C1C}">
                                <a14:useLocalDpi xmlns:a14="http://schemas.microsoft.com/office/drawing/2010/main" val="0"/>
                              </a:ext>
                            </a:extLst>
                          </a:blip>
                          <a:srcRect t="27224"/>
                          <a:stretch/>
                        </pic:blipFill>
                        <pic:spPr bwMode="auto">
                          <a:xfrm>
                            <a:off x="35170" y="0"/>
                            <a:ext cx="4455795" cy="5448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 name="Imagen 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696351"/>
                            <a:ext cx="4867275" cy="385445"/>
                          </a:xfrm>
                          <a:prstGeom prst="rect">
                            <a:avLst/>
                          </a:prstGeom>
                          <a:noFill/>
                          <a:ln>
                            <a:noFill/>
                          </a:ln>
                        </pic:spPr>
                      </pic:pic>
                    </wpg:wgp>
                  </a:graphicData>
                </a:graphic>
              </wp:anchor>
            </w:drawing>
          </mc:Choice>
          <mc:Fallback>
            <w:pict>
              <v:group w14:anchorId="68A9066B" id="Grupo 3" o:spid="_x0000_s1026" style="position:absolute;margin-left:.2pt;margin-top:22.4pt;width:383.25pt;height:85.15pt;z-index:251721728" coordsize="48672,108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 o:spid="_x0000_s1027" type="#_x0000_t75" style="position:absolute;left:351;width:44558;height: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">
                  <v:imagedata r:id="rId17" o:title="" croptop="17842f"/>
                  <v:path arrowok="t"/>
                </v:shape>
                <v:shape id="Imagen 9" o:spid="_x0000_s1028" type="#_x0000_t75" style="position:absolute;top:6963;width:48672;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">
                  <v:imagedata r:id="rId18" o:title=""/>
                  <v:path arrowok="t"/>
                </v:shape>
              </v:group>
            </w:pict>
          </mc:Fallback>
        </mc:AlternateContent>
      </w:r>
      <w:r w:rsidR="003859EE" w:rsidRPr="0061347A">
        <w:rPr>
          <w:rFonts w:cs="Times New Roman"/>
          <w:b/>
        </w:rPr>
        <w:t xml:space="preserve">Tabla </w:t>
      </w:r>
      <w:r w:rsidR="000874E6" w:rsidRPr="0061347A">
        <w:rPr>
          <w:rFonts w:cs="Times New Roman"/>
          <w:b/>
        </w:rPr>
        <w:t>5</w:t>
      </w:r>
      <w:r w:rsidR="00301E60" w:rsidRPr="0061347A">
        <w:rPr>
          <w:rFonts w:cs="Times New Roman"/>
          <w:b/>
        </w:rPr>
        <w:t>.</w:t>
      </w:r>
      <w:r w:rsidR="00E033C4" w:rsidRPr="0061347A">
        <w:rPr>
          <w:rFonts w:cs="Times New Roman"/>
        </w:rPr>
        <w:t xml:space="preserve"> </w:t>
      </w:r>
      <w:r w:rsidR="00AE49A7" w:rsidRPr="0061347A">
        <w:rPr>
          <w:rFonts w:cs="Times New Roman"/>
        </w:rPr>
        <w:t xml:space="preserve">Coeficiente de </w:t>
      </w:r>
      <w:r w:rsidR="008E0681" w:rsidRPr="0061347A">
        <w:rPr>
          <w:rFonts w:cs="Times New Roman"/>
        </w:rPr>
        <w:t>Ruta</w:t>
      </w:r>
      <w:r w:rsidR="006D38D1" w:rsidRPr="0061347A">
        <w:rPr>
          <w:rFonts w:cs="Times New Roman"/>
        </w:rPr>
        <w:t xml:space="preserve"> </w:t>
      </w:r>
      <w:r w:rsidR="006D38D1" w:rsidRPr="0061347A">
        <w:rPr>
          <w:rFonts w:cs="Times New Roman"/>
          <w:i/>
        </w:rPr>
        <w:t>(</w:t>
      </w:r>
      <w:r w:rsidR="00C9582D" w:rsidRPr="0061347A">
        <w:rPr>
          <w:rFonts w:cs="Times New Roman"/>
          <w:i/>
        </w:rPr>
        <w:t>β</w:t>
      </w:r>
      <w:r w:rsidR="006D38D1" w:rsidRPr="0061347A">
        <w:rPr>
          <w:rFonts w:cs="Times New Roman"/>
          <w:i/>
        </w:rPr>
        <w:t>)</w:t>
      </w:r>
      <w:r w:rsidR="00002F25" w:rsidRPr="0061347A">
        <w:rPr>
          <w:rFonts w:cs="Times New Roman"/>
        </w:rPr>
        <w:t xml:space="preserve"> y</w:t>
      </w:r>
      <w:r w:rsidR="00002F25" w:rsidRPr="0061347A">
        <w:rPr>
          <w:rFonts w:cs="Times New Roman"/>
          <w:i/>
        </w:rPr>
        <w:t xml:space="preserve"> </w:t>
      </w:r>
      <w:r w:rsidR="00002F25" w:rsidRPr="0061347A">
        <w:rPr>
          <w:rFonts w:cs="Times New Roman"/>
        </w:rPr>
        <w:t>la</w:t>
      </w:r>
      <w:r w:rsidR="00002F25" w:rsidRPr="0061347A">
        <w:rPr>
          <w:rFonts w:cs="Times New Roman"/>
          <w:i/>
        </w:rPr>
        <w:t xml:space="preserve"> </w:t>
      </w:r>
      <w:r w:rsidR="00002F25" w:rsidRPr="0061347A">
        <w:rPr>
          <w:rFonts w:cs="Times New Roman"/>
        </w:rPr>
        <w:t>Mediación</w:t>
      </w:r>
    </w:p>
    <w:p w:rsidR="003859EE" w:rsidRPr="0061347A" w:rsidRDefault="003859EE" w:rsidP="00FE2AF7">
      <w:pPr>
        <w:jc w:val="both"/>
        <w:rPr>
          <w:rFonts w:cs="Times New Roman"/>
        </w:rPr>
      </w:pPr>
    </w:p>
    <w:p w:rsidR="00AE49A7" w:rsidRPr="0061347A" w:rsidRDefault="00AE49A7" w:rsidP="00FE2AF7">
      <w:pPr>
        <w:jc w:val="both"/>
        <w:rPr>
          <w:rFonts w:cs="Times New Roman"/>
        </w:rPr>
      </w:pPr>
    </w:p>
    <w:p w:rsidR="002404E2" w:rsidRPr="0061347A" w:rsidRDefault="002404E2" w:rsidP="00FE2AF7">
      <w:pPr>
        <w:jc w:val="both"/>
        <w:rPr>
          <w:rFonts w:cs="Times New Roman"/>
        </w:rPr>
      </w:pPr>
    </w:p>
    <w:p w:rsidR="002404E2" w:rsidRPr="0061347A" w:rsidRDefault="002404E2" w:rsidP="00FE2AF7">
      <w:pPr>
        <w:jc w:val="both"/>
        <w:rPr>
          <w:rFonts w:cs="Times New Roman"/>
        </w:rPr>
      </w:pPr>
    </w:p>
    <w:p w:rsidR="00DA3D14" w:rsidRPr="0061347A" w:rsidRDefault="00DA3D14" w:rsidP="00FE2AF7">
      <w:pPr>
        <w:jc w:val="both"/>
        <w:rPr>
          <w:rFonts w:cs="Times New Roman"/>
        </w:rPr>
      </w:pPr>
    </w:p>
    <w:p w:rsidR="00DA2372" w:rsidRPr="0061347A" w:rsidRDefault="00DA2372" w:rsidP="00FE2AF7">
      <w:pPr>
        <w:jc w:val="both"/>
        <w:rPr>
          <w:rFonts w:cs="Times New Roman"/>
        </w:rPr>
      </w:pPr>
      <w:r w:rsidRPr="0061347A">
        <w:rPr>
          <w:rFonts w:cs="Times New Roman"/>
          <w:b/>
        </w:rPr>
        <w:t xml:space="preserve">Tabla </w:t>
      </w:r>
      <w:r w:rsidR="000874E6" w:rsidRPr="0061347A">
        <w:rPr>
          <w:rFonts w:cs="Times New Roman"/>
          <w:b/>
        </w:rPr>
        <w:t>6</w:t>
      </w:r>
      <w:r w:rsidR="00ED2DF4" w:rsidRPr="0061347A">
        <w:rPr>
          <w:rFonts w:cs="Times New Roman"/>
          <w:b/>
        </w:rPr>
        <w:t>.</w:t>
      </w:r>
      <w:r w:rsidRPr="0061347A">
        <w:rPr>
          <w:rFonts w:cs="Times New Roman"/>
        </w:rPr>
        <w:t xml:space="preserve"> Análisis Boo</w:t>
      </w:r>
      <w:r w:rsidR="00B52F00" w:rsidRPr="0061347A">
        <w:rPr>
          <w:rFonts w:cs="Times New Roman"/>
        </w:rPr>
        <w:t>t</w:t>
      </w:r>
      <w:r w:rsidR="00826E80" w:rsidRPr="0061347A">
        <w:rPr>
          <w:rFonts w:cs="Times New Roman"/>
        </w:rPr>
        <w:t>st</w:t>
      </w:r>
      <w:r w:rsidRPr="0061347A">
        <w:rPr>
          <w:rFonts w:cs="Times New Roman"/>
        </w:rPr>
        <w:t>rapping</w:t>
      </w:r>
      <w:r w:rsidR="00EF3855" w:rsidRPr="0061347A">
        <w:rPr>
          <w:rFonts w:cs="Times New Roman"/>
        </w:rPr>
        <w:t xml:space="preserve"> del </w:t>
      </w:r>
      <w:r w:rsidR="00107151" w:rsidRPr="0061347A">
        <w:rPr>
          <w:rFonts w:cs="Times New Roman"/>
        </w:rPr>
        <w:t>M</w:t>
      </w:r>
      <w:r w:rsidR="00EF3855" w:rsidRPr="0061347A">
        <w:rPr>
          <w:rFonts w:cs="Times New Roman"/>
        </w:rPr>
        <w:t>odelo</w:t>
      </w:r>
      <w:r w:rsidR="00107151" w:rsidRPr="0061347A">
        <w:rPr>
          <w:rFonts w:cs="Times New Roman"/>
        </w:rPr>
        <w:t xml:space="preserve"> Estructural</w:t>
      </w:r>
      <w:r w:rsidR="005B0491" w:rsidRPr="0061347A">
        <w:rPr>
          <w:rFonts w:cs="Times New Roman"/>
        </w:rPr>
        <w:t xml:space="preserve"> con 5000 </w:t>
      </w:r>
      <w:r w:rsidR="00944CE2" w:rsidRPr="0061347A">
        <w:rPr>
          <w:rFonts w:cs="Times New Roman"/>
        </w:rPr>
        <w:t>interacciones</w:t>
      </w:r>
    </w:p>
    <w:p w:rsidR="00DA2372" w:rsidRPr="0061347A" w:rsidRDefault="000B5FDF" w:rsidP="00FE2AF7">
      <w:pPr>
        <w:jc w:val="both"/>
        <w:rPr>
          <w:rFonts w:cs="Times New Roman"/>
        </w:rPr>
      </w:pPr>
      <w:r w:rsidRPr="0061347A">
        <w:rPr>
          <w:rFonts w:cs="Times New Roman"/>
          <w:noProof/>
          <w:lang w:eastAsia="es-PE"/>
        </w:rPr>
        <w:drawing>
          <wp:anchor distT="0" distB="0" distL="114300" distR="114300" simplePos="0" relativeHeight="251727872" behindDoc="1" locked="0" layoutInCell="1" allowOverlap="1" wp14:anchorId="550D3A4B" wp14:editId="778244E1">
            <wp:simplePos x="0" y="0"/>
            <wp:positionH relativeFrom="column">
              <wp:posOffset>-635</wp:posOffset>
            </wp:positionH>
            <wp:positionV relativeFrom="paragraph">
              <wp:posOffset>-635</wp:posOffset>
            </wp:positionV>
            <wp:extent cx="5400040" cy="1174750"/>
            <wp:effectExtent l="0" t="0" r="0"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1174750"/>
                    </a:xfrm>
                    <a:prstGeom prst="rect">
                      <a:avLst/>
                    </a:prstGeom>
                  </pic:spPr>
                </pic:pic>
              </a:graphicData>
            </a:graphic>
          </wp:anchor>
        </w:drawing>
      </w:r>
    </w:p>
    <w:p w:rsidR="00504757" w:rsidRPr="0061347A" w:rsidRDefault="00504757" w:rsidP="00FE2AF7">
      <w:pPr>
        <w:jc w:val="both"/>
        <w:rPr>
          <w:rFonts w:cs="Times New Roman"/>
        </w:rPr>
      </w:pPr>
    </w:p>
    <w:p w:rsidR="003859EE" w:rsidRPr="0061347A" w:rsidRDefault="003859EE" w:rsidP="00FE2AF7">
      <w:pPr>
        <w:jc w:val="both"/>
        <w:rPr>
          <w:rFonts w:cs="Times New Roman"/>
        </w:rPr>
      </w:pPr>
    </w:p>
    <w:p w:rsidR="003B7692" w:rsidRPr="0061347A" w:rsidRDefault="003B7692" w:rsidP="00FE2AF7">
      <w:pPr>
        <w:jc w:val="both"/>
        <w:rPr>
          <w:rFonts w:cs="Times New Roman"/>
        </w:rPr>
      </w:pPr>
    </w:p>
    <w:p w:rsidR="003B7692" w:rsidRPr="0061347A" w:rsidRDefault="003B7692" w:rsidP="00FE2AF7">
      <w:pPr>
        <w:jc w:val="both"/>
        <w:rPr>
          <w:rFonts w:cs="Times New Roman"/>
        </w:rPr>
      </w:pPr>
      <w:r w:rsidRPr="0061347A">
        <w:rPr>
          <w:rFonts w:cs="Times New Roman"/>
          <w:b/>
        </w:rPr>
        <w:t>Tabla 7.</w:t>
      </w:r>
      <w:r w:rsidRPr="0061347A">
        <w:rPr>
          <w:rFonts w:cs="Times New Roman"/>
        </w:rPr>
        <w:t xml:space="preserve"> </w:t>
      </w:r>
      <w:r w:rsidR="00002F25" w:rsidRPr="0061347A">
        <w:rPr>
          <w:rFonts w:cs="Times New Roman"/>
        </w:rPr>
        <w:t>Evaluación del Modelo Estructural</w:t>
      </w:r>
    </w:p>
    <w:p w:rsidR="003B7692" w:rsidRPr="0061347A" w:rsidRDefault="00A64F0B" w:rsidP="00FE2AF7">
      <w:pPr>
        <w:jc w:val="both"/>
        <w:rPr>
          <w:rFonts w:cs="Times New Roman"/>
          <w:noProof/>
          <w:lang w:eastAsia="es-PE"/>
        </w:rPr>
      </w:pPr>
      <w:r w:rsidRPr="0061347A">
        <w:rPr>
          <w:rFonts w:cs="Times New Roman"/>
          <w:noProof/>
          <w:lang w:eastAsia="es-PE"/>
        </w:rPr>
        <w:drawing>
          <wp:anchor distT="0" distB="0" distL="114300" distR="114300" simplePos="0" relativeHeight="251725824" behindDoc="0" locked="0" layoutInCell="1" allowOverlap="1" wp14:anchorId="5B9972AF" wp14:editId="28D182A9">
            <wp:simplePos x="0" y="0"/>
            <wp:positionH relativeFrom="column">
              <wp:posOffset>-635</wp:posOffset>
            </wp:positionH>
            <wp:positionV relativeFrom="paragraph">
              <wp:posOffset>1270</wp:posOffset>
            </wp:positionV>
            <wp:extent cx="5400040" cy="158369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1583690"/>
                    </a:xfrm>
                    <a:prstGeom prst="rect">
                      <a:avLst/>
                    </a:prstGeom>
                  </pic:spPr>
                </pic:pic>
              </a:graphicData>
            </a:graphic>
          </wp:anchor>
        </w:drawing>
      </w:r>
    </w:p>
    <w:p w:rsidR="007E62D3" w:rsidRPr="0061347A" w:rsidRDefault="007E62D3" w:rsidP="00FE2AF7">
      <w:pPr>
        <w:jc w:val="both"/>
        <w:rPr>
          <w:rFonts w:cs="Times New Roman"/>
          <w:noProof/>
          <w:lang w:eastAsia="es-PE"/>
        </w:rPr>
      </w:pPr>
    </w:p>
    <w:p w:rsidR="007E62D3" w:rsidRPr="0061347A" w:rsidRDefault="007E62D3" w:rsidP="00FE2AF7">
      <w:pPr>
        <w:jc w:val="both"/>
        <w:rPr>
          <w:rFonts w:cs="Times New Roman"/>
          <w:noProof/>
          <w:lang w:eastAsia="es-PE"/>
        </w:rPr>
      </w:pPr>
    </w:p>
    <w:p w:rsidR="007E62D3" w:rsidRPr="0061347A" w:rsidRDefault="007E62D3" w:rsidP="00FE2AF7">
      <w:pPr>
        <w:jc w:val="both"/>
        <w:rPr>
          <w:rFonts w:cs="Times New Roman"/>
          <w:noProof/>
          <w:lang w:eastAsia="es-PE"/>
        </w:rPr>
      </w:pPr>
    </w:p>
    <w:p w:rsidR="007E62D3" w:rsidRPr="0061347A" w:rsidRDefault="007E62D3" w:rsidP="00FE2AF7">
      <w:pPr>
        <w:jc w:val="both"/>
        <w:rPr>
          <w:rFonts w:cs="Times New Roman"/>
          <w:noProof/>
          <w:lang w:eastAsia="es-PE"/>
        </w:rPr>
      </w:pPr>
    </w:p>
    <w:p w:rsidR="0072159D" w:rsidRPr="0061347A" w:rsidRDefault="0072159D" w:rsidP="00FE2AF7">
      <w:pPr>
        <w:jc w:val="both"/>
        <w:rPr>
          <w:rFonts w:cs="Times New Roman"/>
        </w:rPr>
      </w:pPr>
    </w:p>
    <w:p w:rsidR="00D25950" w:rsidRPr="0061347A" w:rsidRDefault="00D25950" w:rsidP="00D25950">
      <w:pPr>
        <w:jc w:val="both"/>
        <w:rPr>
          <w:rFonts w:cs="Times New Roman"/>
        </w:rPr>
      </w:pPr>
      <w:r w:rsidRPr="0061347A">
        <w:rPr>
          <w:rFonts w:cs="Times New Roman"/>
          <w:b/>
        </w:rPr>
        <w:t>Tabla 8.</w:t>
      </w:r>
      <w:r w:rsidRPr="0061347A">
        <w:rPr>
          <w:rFonts w:cs="Times New Roman"/>
        </w:rPr>
        <w:t xml:space="preserve"> Evaluación del Índice de Ajuste</w:t>
      </w:r>
    </w:p>
    <w:p w:rsidR="00D25950" w:rsidRPr="0061347A" w:rsidRDefault="00D25950" w:rsidP="00D25950">
      <w:pPr>
        <w:jc w:val="both"/>
        <w:rPr>
          <w:rFonts w:cs="Times New Roman"/>
        </w:rPr>
      </w:pPr>
      <w:r w:rsidRPr="0061347A">
        <w:rPr>
          <w:noProof/>
          <w:lang w:eastAsia="es-PE"/>
        </w:rPr>
        <w:drawing>
          <wp:inline distT="0" distB="0" distL="0" distR="0" wp14:anchorId="088E5421" wp14:editId="573E3B72">
            <wp:extent cx="4463415" cy="1072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3415" cy="1072515"/>
                    </a:xfrm>
                    <a:prstGeom prst="rect">
                      <a:avLst/>
                    </a:prstGeom>
                    <a:noFill/>
                    <a:ln>
                      <a:noFill/>
                    </a:ln>
                  </pic:spPr>
                </pic:pic>
              </a:graphicData>
            </a:graphic>
          </wp:inline>
        </w:drawing>
      </w:r>
    </w:p>
    <w:p w:rsidR="00E544A9" w:rsidRPr="0061347A" w:rsidRDefault="00EC5A8D" w:rsidP="00E544A9">
      <w:pPr>
        <w:pStyle w:val="Ttulo2"/>
        <w:numPr>
          <w:ilvl w:val="0"/>
          <w:numId w:val="3"/>
        </w:numPr>
        <w:spacing w:line="240" w:lineRule="auto"/>
        <w:ind w:left="426" w:hanging="426"/>
        <w:rPr>
          <w:rFonts w:cs="Times New Roman"/>
          <w:sz w:val="26"/>
        </w:rPr>
      </w:pPr>
      <w:r w:rsidRPr="0061347A">
        <w:rPr>
          <w:rFonts w:cs="Times New Roman"/>
          <w:sz w:val="26"/>
        </w:rPr>
        <w:t>Implicancia</w:t>
      </w:r>
      <w:r w:rsidR="00766022" w:rsidRPr="0061347A">
        <w:rPr>
          <w:rFonts w:cs="Times New Roman"/>
          <w:sz w:val="26"/>
        </w:rPr>
        <w:t>s</w:t>
      </w:r>
      <w:r w:rsidRPr="0061347A">
        <w:rPr>
          <w:rFonts w:cs="Times New Roman"/>
          <w:sz w:val="26"/>
        </w:rPr>
        <w:t xml:space="preserve"> Teóricas y Prácticas</w:t>
      </w:r>
    </w:p>
    <w:p w:rsidR="00DA7EF2" w:rsidRPr="0061347A" w:rsidRDefault="008F0E6E" w:rsidP="00641D65">
      <w:pPr>
        <w:spacing w:after="0"/>
        <w:ind w:firstLine="426"/>
        <w:jc w:val="both"/>
        <w:rPr>
          <w:rFonts w:cs="Times New Roman"/>
        </w:rPr>
      </w:pPr>
      <w:r w:rsidRPr="0061347A">
        <w:rPr>
          <w:rFonts w:cs="Times New Roman"/>
        </w:rPr>
        <w:t xml:space="preserve">Empíricamente, este estudio examinó el papel mediador no investigado previamente de la gestión del conocimiento </w:t>
      </w:r>
      <w:r w:rsidR="00FE63CB" w:rsidRPr="0061347A">
        <w:rPr>
          <w:rFonts w:cs="Times New Roman"/>
        </w:rPr>
        <w:t xml:space="preserve">en la relación entre la </w:t>
      </w:r>
      <w:r w:rsidRPr="0061347A">
        <w:rPr>
          <w:rFonts w:cs="Times New Roman"/>
        </w:rPr>
        <w:t xml:space="preserve">autoeficacia profesional y la rentabilidad de las empresas mineras peruanas. </w:t>
      </w:r>
      <w:r w:rsidR="00EA6848" w:rsidRPr="0061347A">
        <w:rPr>
          <w:rFonts w:cs="Times New Roman"/>
        </w:rPr>
        <w:t>Además, confirmó la relación positiva y significativa entre la autoeficacia profesional y la gestión del conocimiento</w:t>
      </w:r>
      <w:r w:rsidR="00C25D1F" w:rsidRPr="0061347A">
        <w:rPr>
          <w:rFonts w:cs="Times New Roman"/>
        </w:rPr>
        <w:t xml:space="preserve">, la autoeficacia profesional con </w:t>
      </w:r>
      <w:r w:rsidR="00EA6848" w:rsidRPr="0061347A">
        <w:rPr>
          <w:rFonts w:cs="Times New Roman"/>
        </w:rPr>
        <w:t>la rentabilidad</w:t>
      </w:r>
      <w:r w:rsidR="00C25D1F" w:rsidRPr="0061347A">
        <w:rPr>
          <w:rFonts w:cs="Times New Roman"/>
        </w:rPr>
        <w:t xml:space="preserve"> y la gestión del conocimiento con la rentabilidad. </w:t>
      </w:r>
      <w:r w:rsidR="00034C4C" w:rsidRPr="0061347A">
        <w:rPr>
          <w:rFonts w:cs="Times New Roman"/>
        </w:rPr>
        <w:t xml:space="preserve">Por lo tanto, el estudio </w:t>
      </w:r>
      <w:r w:rsidR="00EA109A" w:rsidRPr="0061347A">
        <w:rPr>
          <w:rFonts w:cs="Times New Roman"/>
        </w:rPr>
        <w:t xml:space="preserve">se suma </w:t>
      </w:r>
      <w:r w:rsidR="00034C4C" w:rsidRPr="0061347A">
        <w:rPr>
          <w:rFonts w:cs="Times New Roman"/>
        </w:rPr>
        <w:t xml:space="preserve">a los hallazgos empíricos de Cassia y Magno (2021) que mostraron el </w:t>
      </w:r>
      <w:r w:rsidR="00EA109A" w:rsidRPr="0061347A">
        <w:rPr>
          <w:rFonts w:cs="Times New Roman"/>
        </w:rPr>
        <w:t>impacto positivo y significativo de la gestión del conocimiento</w:t>
      </w:r>
      <w:r w:rsidR="00552B57" w:rsidRPr="0061347A">
        <w:rPr>
          <w:rFonts w:cs="Times New Roman"/>
        </w:rPr>
        <w:t xml:space="preserve"> y</w:t>
      </w:r>
      <w:r w:rsidR="00EA6848" w:rsidRPr="0061347A">
        <w:rPr>
          <w:rFonts w:cs="Times New Roman"/>
        </w:rPr>
        <w:t xml:space="preserve"> </w:t>
      </w:r>
      <w:r w:rsidR="00552B57" w:rsidRPr="0061347A">
        <w:rPr>
          <w:rFonts w:cs="Times New Roman"/>
        </w:rPr>
        <w:t xml:space="preserve">la autoeficacia profesional </w:t>
      </w:r>
      <w:r w:rsidR="00EA109A" w:rsidRPr="0061347A">
        <w:rPr>
          <w:rFonts w:cs="Times New Roman"/>
        </w:rPr>
        <w:t xml:space="preserve">en </w:t>
      </w:r>
      <w:r w:rsidR="00552B57" w:rsidRPr="0061347A">
        <w:rPr>
          <w:rFonts w:cs="Times New Roman"/>
        </w:rPr>
        <w:t xml:space="preserve">los resultados financieros </w:t>
      </w:r>
      <w:r w:rsidR="00034C4C" w:rsidRPr="0061347A">
        <w:rPr>
          <w:rFonts w:cs="Times New Roman"/>
        </w:rPr>
        <w:t>de las empresas. E</w:t>
      </w:r>
      <w:r w:rsidR="00EA6848" w:rsidRPr="0061347A">
        <w:rPr>
          <w:rFonts w:cs="Times New Roman"/>
        </w:rPr>
        <w:t>l</w:t>
      </w:r>
      <w:r w:rsidR="00034C4C" w:rsidRPr="0061347A">
        <w:rPr>
          <w:rFonts w:cs="Times New Roman"/>
        </w:rPr>
        <w:t xml:space="preserve"> hallazgo </w:t>
      </w:r>
      <w:r w:rsidR="00EA6848" w:rsidRPr="0061347A">
        <w:rPr>
          <w:rFonts w:cs="Times New Roman"/>
        </w:rPr>
        <w:t xml:space="preserve">sobre la mediación </w:t>
      </w:r>
      <w:r w:rsidR="00034C4C" w:rsidRPr="0061347A">
        <w:rPr>
          <w:rFonts w:cs="Times New Roman"/>
        </w:rPr>
        <w:t xml:space="preserve">contribuye a la literatura </w:t>
      </w:r>
      <w:r w:rsidR="00942A14" w:rsidRPr="0061347A">
        <w:rPr>
          <w:rFonts w:cs="Times New Roman"/>
        </w:rPr>
        <w:t xml:space="preserve">sobre la </w:t>
      </w:r>
      <w:r w:rsidR="00034C4C" w:rsidRPr="0061347A">
        <w:rPr>
          <w:rFonts w:cs="Times New Roman"/>
        </w:rPr>
        <w:t xml:space="preserve">relevancia de orientar esfuerzos </w:t>
      </w:r>
      <w:r w:rsidR="00942A14" w:rsidRPr="0061347A">
        <w:rPr>
          <w:rFonts w:cs="Times New Roman"/>
        </w:rPr>
        <w:t xml:space="preserve">hacia </w:t>
      </w:r>
      <w:r w:rsidR="00034C4C" w:rsidRPr="0061347A">
        <w:rPr>
          <w:rFonts w:cs="Times New Roman"/>
        </w:rPr>
        <w:t xml:space="preserve">una gestión eficiente del conocimiento </w:t>
      </w:r>
      <w:r w:rsidR="00942A14" w:rsidRPr="0061347A">
        <w:rPr>
          <w:rFonts w:cs="Times New Roman"/>
        </w:rPr>
        <w:t xml:space="preserve">e implementar una política para mejorar la </w:t>
      </w:r>
      <w:r w:rsidR="00034C4C" w:rsidRPr="0061347A">
        <w:rPr>
          <w:rFonts w:cs="Times New Roman"/>
        </w:rPr>
        <w:t>autoefica</w:t>
      </w:r>
      <w:r w:rsidR="00942A14" w:rsidRPr="0061347A">
        <w:rPr>
          <w:rFonts w:cs="Times New Roman"/>
        </w:rPr>
        <w:t xml:space="preserve">cia profesional en </w:t>
      </w:r>
      <w:r w:rsidR="006719E4" w:rsidRPr="0061347A">
        <w:rPr>
          <w:rFonts w:cs="Times New Roman"/>
        </w:rPr>
        <w:t xml:space="preserve">las empresas como parte de la </w:t>
      </w:r>
      <w:r w:rsidR="00630EAF" w:rsidRPr="0061347A">
        <w:rPr>
          <w:rFonts w:cs="Times New Roman"/>
        </w:rPr>
        <w:t>eficiencia y efectividad de la empresa buscando una mayor rentabilidad.</w:t>
      </w:r>
    </w:p>
    <w:p w:rsidR="00FA6CE8" w:rsidRPr="0061347A" w:rsidRDefault="00DA7EF2" w:rsidP="004F0B41">
      <w:pPr>
        <w:spacing w:after="0"/>
        <w:ind w:firstLine="426"/>
        <w:jc w:val="both"/>
        <w:rPr>
          <w:rFonts w:cs="Times New Roman"/>
        </w:rPr>
      </w:pPr>
      <w:r w:rsidRPr="0061347A">
        <w:rPr>
          <w:rFonts w:cs="Times New Roman"/>
        </w:rPr>
        <w:t>Adicionalmente</w:t>
      </w:r>
      <w:r w:rsidR="00FA6CE8" w:rsidRPr="0061347A">
        <w:rPr>
          <w:rFonts w:cs="Times New Roman"/>
        </w:rPr>
        <w:t xml:space="preserve">, </w:t>
      </w:r>
      <w:r w:rsidR="00267CB2" w:rsidRPr="0061347A">
        <w:rPr>
          <w:rFonts w:cs="Times New Roman"/>
        </w:rPr>
        <w:t xml:space="preserve">este estudio </w:t>
      </w:r>
      <w:r w:rsidR="00F6712A" w:rsidRPr="0061347A">
        <w:rPr>
          <w:rFonts w:cs="Times New Roman"/>
        </w:rPr>
        <w:t xml:space="preserve">contribuye a la literatura con </w:t>
      </w:r>
      <w:r w:rsidR="00FA6CE8" w:rsidRPr="0061347A">
        <w:rPr>
          <w:rFonts w:cs="Times New Roman"/>
        </w:rPr>
        <w:t>un modelo conceptual de medición de la rentabilidad</w:t>
      </w:r>
      <w:r w:rsidR="005C2FB8" w:rsidRPr="0061347A">
        <w:rPr>
          <w:rFonts w:cs="Times New Roman"/>
        </w:rPr>
        <w:t xml:space="preserve">, con gran poder predictivo y un alto valor explicativo (ver Tabla 7), </w:t>
      </w:r>
      <w:r w:rsidR="00FA6CE8" w:rsidRPr="0061347A">
        <w:rPr>
          <w:rFonts w:cs="Times New Roman"/>
        </w:rPr>
        <w:t>como herramienta efectiva para planificar y diseñar estrategias para lograr un desempeño financiero superior</w:t>
      </w:r>
      <w:r w:rsidR="00C84A41" w:rsidRPr="0061347A">
        <w:rPr>
          <w:rFonts w:cs="Times New Roman"/>
        </w:rPr>
        <w:t xml:space="preserve"> en </w:t>
      </w:r>
      <w:r w:rsidR="00115BF3" w:rsidRPr="0061347A">
        <w:rPr>
          <w:rFonts w:cs="Times New Roman"/>
        </w:rPr>
        <w:t>los negocios de la gran y mediana minería peruana</w:t>
      </w:r>
      <w:r w:rsidR="00474DC8" w:rsidRPr="0061347A">
        <w:rPr>
          <w:rFonts w:cs="Times New Roman"/>
        </w:rPr>
        <w:t xml:space="preserve">, usando la autoeficacia profesional y la gestión del conocimiento como las variables causales. </w:t>
      </w:r>
      <w:r w:rsidR="004F0B41" w:rsidRPr="0061347A">
        <w:rPr>
          <w:rFonts w:cs="Times New Roman"/>
        </w:rPr>
        <w:t>Otro aporte importante de este estudio a la literatura es la corrobación de la validez de la técnica estadística multivariante (PLS-SEM) en un entorno de muestras pequeñas</w:t>
      </w:r>
      <w:r w:rsidR="00444224" w:rsidRPr="0061347A">
        <w:rPr>
          <w:rFonts w:cs="Times New Roman"/>
        </w:rPr>
        <w:t xml:space="preserve"> </w:t>
      </w:r>
      <w:r w:rsidR="004F0B41" w:rsidRPr="0061347A">
        <w:rPr>
          <w:rFonts w:cs="Times New Roman"/>
        </w:rPr>
        <w:t>desde la perspectiva de la varianza</w:t>
      </w:r>
      <w:r w:rsidR="00444224" w:rsidRPr="0061347A">
        <w:rPr>
          <w:rFonts w:cs="Times New Roman"/>
        </w:rPr>
        <w:t>, así como la validación</w:t>
      </w:r>
      <w:r w:rsidR="00CA7004" w:rsidRPr="0061347A">
        <w:rPr>
          <w:rFonts w:cs="Times New Roman"/>
        </w:rPr>
        <w:t xml:space="preserve"> de dos de los instrumentos de validación usados, </w:t>
      </w:r>
      <w:r w:rsidR="00A539EB" w:rsidRPr="0061347A">
        <w:rPr>
          <w:rFonts w:cs="Times New Roman"/>
        </w:rPr>
        <w:t>una vez más,</w:t>
      </w:r>
      <w:r w:rsidR="00444224" w:rsidRPr="0061347A">
        <w:rPr>
          <w:rFonts w:cs="Times New Roman"/>
        </w:rPr>
        <w:t xml:space="preserve"> para medir la gestión del conocimiento </w:t>
      </w:r>
      <w:r w:rsidR="00352AA1" w:rsidRPr="0061347A">
        <w:rPr>
          <w:rFonts w:cs="Times New Roman"/>
        </w:rPr>
        <w:t>(</w:t>
      </w:r>
      <w:r w:rsidR="00444224" w:rsidRPr="0061347A">
        <w:rPr>
          <w:rFonts w:cs="Times New Roman"/>
        </w:rPr>
        <w:t>adaptado por Idress et al.</w:t>
      </w:r>
      <w:r w:rsidR="00352AA1" w:rsidRPr="0061347A">
        <w:rPr>
          <w:rFonts w:cs="Times New Roman"/>
        </w:rPr>
        <w:t xml:space="preserve">, </w:t>
      </w:r>
      <w:r w:rsidR="00444224" w:rsidRPr="0061347A">
        <w:rPr>
          <w:rFonts w:cs="Times New Roman"/>
        </w:rPr>
        <w:t xml:space="preserve">2023) y corroborar la validez de la escala CESE para medir autoeficacia </w:t>
      </w:r>
      <w:r w:rsidR="00352AA1" w:rsidRPr="0061347A">
        <w:rPr>
          <w:rFonts w:cs="Times New Roman"/>
        </w:rPr>
        <w:t>(</w:t>
      </w:r>
      <w:r w:rsidR="00444224" w:rsidRPr="0061347A">
        <w:rPr>
          <w:rFonts w:cs="Times New Roman"/>
        </w:rPr>
        <w:t xml:space="preserve">adaptado y validado </w:t>
      </w:r>
      <w:r w:rsidR="00597002" w:rsidRPr="0061347A">
        <w:rPr>
          <w:rFonts w:cs="Times New Roman"/>
        </w:rPr>
        <w:t xml:space="preserve">por </w:t>
      </w:r>
      <w:r w:rsidR="00444224" w:rsidRPr="0061347A">
        <w:rPr>
          <w:rFonts w:cs="Times New Roman"/>
        </w:rPr>
        <w:t>Moriano et al.</w:t>
      </w:r>
      <w:r w:rsidR="00415BB3" w:rsidRPr="0061347A">
        <w:rPr>
          <w:rFonts w:cs="Times New Roman"/>
        </w:rPr>
        <w:t xml:space="preserve"> (2012)</w:t>
      </w:r>
      <w:r w:rsidR="00444224" w:rsidRPr="0061347A">
        <w:rPr>
          <w:rFonts w:cs="Times New Roman"/>
        </w:rPr>
        <w:t xml:space="preserve"> </w:t>
      </w:r>
      <w:r w:rsidR="00415BB3" w:rsidRPr="0061347A">
        <w:rPr>
          <w:rFonts w:cs="Times New Roman"/>
        </w:rPr>
        <w:t>en España)</w:t>
      </w:r>
      <w:r w:rsidR="00F74B4A" w:rsidRPr="0061347A">
        <w:rPr>
          <w:rFonts w:cs="Times New Roman"/>
        </w:rPr>
        <w:t>.</w:t>
      </w:r>
    </w:p>
    <w:p w:rsidR="006719E4" w:rsidRPr="0061347A" w:rsidRDefault="006719E4" w:rsidP="00232751">
      <w:pPr>
        <w:spacing w:after="0"/>
        <w:ind w:firstLine="426"/>
        <w:jc w:val="both"/>
        <w:rPr>
          <w:rFonts w:cs="Times New Roman"/>
          <w:szCs w:val="24"/>
        </w:rPr>
      </w:pPr>
      <w:r w:rsidRPr="0061347A">
        <w:rPr>
          <w:rFonts w:cs="Times New Roman"/>
        </w:rPr>
        <w:t xml:space="preserve">El </w:t>
      </w:r>
      <w:r w:rsidR="00411212" w:rsidRPr="0061347A">
        <w:rPr>
          <w:rFonts w:cs="Times New Roman"/>
        </w:rPr>
        <w:t xml:space="preserve">resultado de la comprobación </w:t>
      </w:r>
      <w:r w:rsidRPr="0061347A">
        <w:rPr>
          <w:rFonts w:cs="Times New Roman"/>
        </w:rPr>
        <w:t xml:space="preserve">de la hipótesis H1 es consistente con los hallazgos de Li et al. (2022) </w:t>
      </w:r>
      <w:r w:rsidR="009E7CEC" w:rsidRPr="0061347A">
        <w:rPr>
          <w:rFonts w:cs="Times New Roman"/>
        </w:rPr>
        <w:t xml:space="preserve">que demostraron </w:t>
      </w:r>
      <w:r w:rsidRPr="0061347A">
        <w:rPr>
          <w:rFonts w:cs="Times New Roman"/>
        </w:rPr>
        <w:t xml:space="preserve">que la autoeficacia de los empleados mejora el </w:t>
      </w:r>
      <w:r w:rsidRPr="0061347A">
        <w:rPr>
          <w:rFonts w:cs="Times New Roman"/>
        </w:rPr>
        <w:lastRenderedPageBreak/>
        <w:t xml:space="preserve">desempeño de la empresa. </w:t>
      </w:r>
      <w:r w:rsidR="00370CAE" w:rsidRPr="0061347A">
        <w:rPr>
          <w:rFonts w:cs="Times New Roman"/>
        </w:rPr>
        <w:t xml:space="preserve">Lo mismo ocurre con </w:t>
      </w:r>
      <w:r w:rsidR="009E7CEC" w:rsidRPr="0061347A">
        <w:rPr>
          <w:rFonts w:cs="Times New Roman"/>
        </w:rPr>
        <w:t>la</w:t>
      </w:r>
      <w:r w:rsidR="00732558" w:rsidRPr="0061347A">
        <w:rPr>
          <w:rFonts w:cs="Times New Roman"/>
        </w:rPr>
        <w:t xml:space="preserve"> comprobación de la</w:t>
      </w:r>
      <w:r w:rsidR="009E7CEC" w:rsidRPr="0061347A">
        <w:rPr>
          <w:rFonts w:cs="Times New Roman"/>
        </w:rPr>
        <w:t xml:space="preserve"> hipótesis H2</w:t>
      </w:r>
      <w:r w:rsidR="00732558" w:rsidRPr="0061347A">
        <w:rPr>
          <w:rFonts w:cs="Times New Roman"/>
        </w:rPr>
        <w:t xml:space="preserve">, </w:t>
      </w:r>
      <w:r w:rsidR="005430B6" w:rsidRPr="0061347A">
        <w:rPr>
          <w:rFonts w:cs="Times New Roman"/>
        </w:rPr>
        <w:t xml:space="preserve">la </w:t>
      </w:r>
      <w:r w:rsidR="00732558" w:rsidRPr="0061347A">
        <w:rPr>
          <w:rFonts w:cs="Times New Roman"/>
        </w:rPr>
        <w:t xml:space="preserve">cual </w:t>
      </w:r>
      <w:r w:rsidR="00370CAE" w:rsidRPr="0061347A">
        <w:rPr>
          <w:rFonts w:cs="Times New Roman"/>
        </w:rPr>
        <w:t>concuerda con los hallazgos de Zhao et al. (2021) que muestran que la autoeficacia profesional y la motivación interna influyen positivamente</w:t>
      </w:r>
      <w:r w:rsidR="0049609F" w:rsidRPr="0061347A">
        <w:rPr>
          <w:rFonts w:cs="Times New Roman"/>
        </w:rPr>
        <w:t xml:space="preserve"> en la gestión del conocimiento, poniendo en relieve su importancia. Con respecto a la </w:t>
      </w:r>
      <w:r w:rsidR="000155D1" w:rsidRPr="0061347A">
        <w:rPr>
          <w:rFonts w:cs="Times New Roman"/>
        </w:rPr>
        <w:t xml:space="preserve">comprobación de </w:t>
      </w:r>
      <w:r w:rsidR="0049609F" w:rsidRPr="0061347A">
        <w:rPr>
          <w:rFonts w:cs="Times New Roman"/>
        </w:rPr>
        <w:t>la hipótesis H3</w:t>
      </w:r>
      <w:r w:rsidR="000155D1" w:rsidRPr="0061347A">
        <w:rPr>
          <w:rFonts w:cs="Times New Roman"/>
        </w:rPr>
        <w:t xml:space="preserve">, su aceptación </w:t>
      </w:r>
      <w:r w:rsidR="00232751" w:rsidRPr="0061347A">
        <w:rPr>
          <w:rFonts w:cs="Times New Roman"/>
        </w:rPr>
        <w:t xml:space="preserve">se ajusta con lo hallado por el estudio de </w:t>
      </w:r>
      <w:r w:rsidR="00232751" w:rsidRPr="0061347A">
        <w:rPr>
          <w:rFonts w:cs="Times New Roman"/>
          <w:szCs w:val="24"/>
        </w:rPr>
        <w:t>Kavalić et al. (2021)</w:t>
      </w:r>
      <w:r w:rsidR="005430B6" w:rsidRPr="0061347A">
        <w:rPr>
          <w:rFonts w:cs="Times New Roman"/>
          <w:szCs w:val="24"/>
        </w:rPr>
        <w:t xml:space="preserve">, quienes </w:t>
      </w:r>
      <w:r w:rsidR="00232751" w:rsidRPr="0061347A">
        <w:rPr>
          <w:rFonts w:cs="Times New Roman"/>
          <w:szCs w:val="24"/>
        </w:rPr>
        <w:t xml:space="preserve">encontraron que el desempeño financiero es un indicador confiable del éxito de la gestión del conocimiento. Por lo tanto, el estudio proporciona a las empresas mineras </w:t>
      </w:r>
      <w:r w:rsidR="00420ACB" w:rsidRPr="0061347A">
        <w:rPr>
          <w:rFonts w:cs="Times New Roman"/>
          <w:szCs w:val="24"/>
        </w:rPr>
        <w:t xml:space="preserve">y similares </w:t>
      </w:r>
      <w:r w:rsidR="00232751" w:rsidRPr="0061347A">
        <w:rPr>
          <w:rFonts w:cs="Times New Roman"/>
          <w:szCs w:val="24"/>
        </w:rPr>
        <w:t>nuevos medios para desarrollar y m</w:t>
      </w:r>
      <w:r w:rsidR="000F3B0D" w:rsidRPr="0061347A">
        <w:rPr>
          <w:rFonts w:cs="Times New Roman"/>
          <w:szCs w:val="24"/>
        </w:rPr>
        <w:t>antener una ventaja competitiva, basado en la aceptación de la hipótesis H4</w:t>
      </w:r>
      <w:r w:rsidR="00AD20C7" w:rsidRPr="0061347A">
        <w:rPr>
          <w:rFonts w:cs="Times New Roman"/>
          <w:szCs w:val="24"/>
        </w:rPr>
        <w:t>, la</w:t>
      </w:r>
      <w:r w:rsidR="000F3B0D" w:rsidRPr="0061347A">
        <w:rPr>
          <w:rFonts w:cs="Times New Roman"/>
          <w:szCs w:val="24"/>
        </w:rPr>
        <w:t xml:space="preserve"> que corrobora la relevancia del efecto mediador complementario</w:t>
      </w:r>
      <w:r w:rsidR="00B83433" w:rsidRPr="0061347A">
        <w:rPr>
          <w:rFonts w:cs="Times New Roman"/>
          <w:szCs w:val="24"/>
        </w:rPr>
        <w:t xml:space="preserve"> (Zhao et al., 201</w:t>
      </w:r>
      <w:r w:rsidR="006924FF" w:rsidRPr="0061347A">
        <w:rPr>
          <w:rFonts w:cs="Times New Roman"/>
          <w:szCs w:val="24"/>
        </w:rPr>
        <w:t>1</w:t>
      </w:r>
      <w:r w:rsidR="00B83433" w:rsidRPr="0061347A">
        <w:rPr>
          <w:rFonts w:cs="Times New Roman"/>
          <w:szCs w:val="24"/>
        </w:rPr>
        <w:t>)</w:t>
      </w:r>
      <w:r w:rsidR="000F3B0D" w:rsidRPr="0061347A">
        <w:rPr>
          <w:rFonts w:cs="Times New Roman"/>
          <w:szCs w:val="24"/>
        </w:rPr>
        <w:t xml:space="preserve"> de la gestión del conocimiento en la relación entre la autoeficacia profesional y la renta</w:t>
      </w:r>
      <w:r w:rsidR="00C82E2A" w:rsidRPr="0061347A">
        <w:rPr>
          <w:rFonts w:cs="Times New Roman"/>
          <w:szCs w:val="24"/>
        </w:rPr>
        <w:t>bilidad de las empresas.</w:t>
      </w:r>
    </w:p>
    <w:p w:rsidR="006F3A15" w:rsidRPr="0061347A" w:rsidRDefault="009540D4" w:rsidP="002654AF">
      <w:pPr>
        <w:spacing w:after="0"/>
        <w:ind w:firstLine="426"/>
        <w:jc w:val="both"/>
        <w:rPr>
          <w:rFonts w:cs="Times New Roman"/>
        </w:rPr>
      </w:pPr>
      <w:r w:rsidRPr="0061347A">
        <w:rPr>
          <w:rFonts w:cs="Times New Roman"/>
        </w:rPr>
        <w:t>La evidencia empírica pone en relieve la importancia de la gestión del conocimiento para el logro de los objetivos</w:t>
      </w:r>
      <w:r w:rsidR="003820C0" w:rsidRPr="0061347A">
        <w:rPr>
          <w:rFonts w:cs="Times New Roman"/>
        </w:rPr>
        <w:t xml:space="preserve"> financieros</w:t>
      </w:r>
      <w:r w:rsidRPr="0061347A">
        <w:rPr>
          <w:rFonts w:cs="Times New Roman"/>
        </w:rPr>
        <w:t xml:space="preserve"> empresariales, hallazgo que deberían tener en consideración los tomadores de decisiones de las empresas </w:t>
      </w:r>
      <w:r w:rsidR="00793B19" w:rsidRPr="0061347A">
        <w:rPr>
          <w:rFonts w:cs="Times New Roman"/>
        </w:rPr>
        <w:t>en general</w:t>
      </w:r>
      <w:r w:rsidRPr="0061347A">
        <w:rPr>
          <w:rFonts w:cs="Times New Roman"/>
        </w:rPr>
        <w:t xml:space="preserve">. Los gerentes </w:t>
      </w:r>
      <w:r w:rsidR="002E77B5" w:rsidRPr="0061347A">
        <w:rPr>
          <w:rFonts w:cs="Times New Roman"/>
        </w:rPr>
        <w:t xml:space="preserve">deberían </w:t>
      </w:r>
      <w:r w:rsidRPr="0061347A">
        <w:rPr>
          <w:rFonts w:cs="Times New Roman"/>
        </w:rPr>
        <w:t xml:space="preserve">implementar políticas para asegurarse de una gestión eficiente del conocimiento, no solo para reducir costos </w:t>
      </w:r>
      <w:r w:rsidR="000808B2" w:rsidRPr="0061347A">
        <w:rPr>
          <w:rFonts w:cs="Times New Roman"/>
        </w:rPr>
        <w:t>y optimizar procesos</w:t>
      </w:r>
      <w:r w:rsidR="00E303AF" w:rsidRPr="0061347A">
        <w:rPr>
          <w:rFonts w:cs="Times New Roman"/>
        </w:rPr>
        <w:t xml:space="preserve"> en la gestión de las empresas</w:t>
      </w:r>
      <w:r w:rsidR="000808B2" w:rsidRPr="0061347A">
        <w:rPr>
          <w:rFonts w:cs="Times New Roman"/>
        </w:rPr>
        <w:t>, sino también para explorar nuevas competencias de gestión y habilidades para sus colaboradores.</w:t>
      </w:r>
    </w:p>
    <w:p w:rsidR="00207772" w:rsidRPr="0061347A" w:rsidRDefault="000808B2" w:rsidP="00A94985">
      <w:pPr>
        <w:spacing w:after="0"/>
        <w:ind w:firstLine="426"/>
        <w:jc w:val="both"/>
        <w:rPr>
          <w:rFonts w:cs="Times New Roman"/>
        </w:rPr>
      </w:pPr>
      <w:r w:rsidRPr="0061347A">
        <w:rPr>
          <w:rFonts w:cs="Times New Roman"/>
        </w:rPr>
        <w:t xml:space="preserve">Para las empresas con bajas competencias </w:t>
      </w:r>
      <w:r w:rsidR="00E303AF" w:rsidRPr="0061347A">
        <w:rPr>
          <w:rFonts w:cs="Times New Roman"/>
        </w:rPr>
        <w:t xml:space="preserve">en la gestión del conocimiento, se recomienda </w:t>
      </w:r>
      <w:r w:rsidRPr="0061347A">
        <w:rPr>
          <w:rFonts w:cs="Times New Roman"/>
        </w:rPr>
        <w:t xml:space="preserve">establecer una </w:t>
      </w:r>
      <w:r w:rsidR="00AE4530" w:rsidRPr="0061347A">
        <w:rPr>
          <w:rFonts w:cs="Times New Roman"/>
        </w:rPr>
        <w:t xml:space="preserve">política clara </w:t>
      </w:r>
      <w:r w:rsidR="00233DF6" w:rsidRPr="0061347A">
        <w:rPr>
          <w:rFonts w:cs="Times New Roman"/>
        </w:rPr>
        <w:t xml:space="preserve">e </w:t>
      </w:r>
      <w:r w:rsidR="00E303AF" w:rsidRPr="0061347A">
        <w:rPr>
          <w:rFonts w:cs="Times New Roman"/>
        </w:rPr>
        <w:t>institucional, que coadyuve a lograr las cuatro fases de la gestión del conocimiento: adquirirlo, convertirlo, aplicarlo y protegerlo</w:t>
      </w:r>
      <w:r w:rsidR="005576BF" w:rsidRPr="0061347A">
        <w:rPr>
          <w:rFonts w:cs="Times New Roman"/>
        </w:rPr>
        <w:t>. Y mientras se mejora las competencias de gestión de conocimiento, el gerente debe establecer funciones específicas para ir incluyendo en su gestión indicadores de optimización de la autoeficacia profesional en sus colaboradores.</w:t>
      </w:r>
      <w:r w:rsidR="00A94985" w:rsidRPr="0061347A">
        <w:rPr>
          <w:rFonts w:cs="Times New Roman"/>
        </w:rPr>
        <w:t xml:space="preserve"> Al haberse demostrado que existe un efecto mediador parcial complementario y significativo de la gestión del conocimiento en la relación entre la autoeficacia profesional y la rentabilidad de las empresas mineras (</w:t>
      </w:r>
      <w:r w:rsidR="00A94985" w:rsidRPr="0061347A">
        <w:rPr>
          <w:rFonts w:cs="Times New Roman"/>
          <w:szCs w:val="24"/>
        </w:rPr>
        <w:t xml:space="preserve">Baron &amp; Kenny, 1986; Cepeda-Carrion et al., 2019; Nitzl et al., 2016; Zhao et al., 2011), queda demostrado que </w:t>
      </w:r>
      <w:r w:rsidR="00A94985" w:rsidRPr="0061347A">
        <w:rPr>
          <w:rFonts w:cs="Times New Roman"/>
        </w:rPr>
        <w:t xml:space="preserve">el </w:t>
      </w:r>
      <w:r w:rsidR="00207772" w:rsidRPr="0061347A">
        <w:rPr>
          <w:rFonts w:cs="Times New Roman"/>
        </w:rPr>
        <w:t xml:space="preserve">tomador de decisiones de </w:t>
      </w:r>
      <w:r w:rsidR="00A94985" w:rsidRPr="0061347A">
        <w:rPr>
          <w:rFonts w:cs="Times New Roman"/>
        </w:rPr>
        <w:t xml:space="preserve">tales empresas deberían considerar la relevancia del caso a la </w:t>
      </w:r>
      <w:r w:rsidR="00207772" w:rsidRPr="0061347A">
        <w:rPr>
          <w:rFonts w:cs="Times New Roman"/>
        </w:rPr>
        <w:t>gestión eficientemente</w:t>
      </w:r>
      <w:r w:rsidR="00A94985" w:rsidRPr="0061347A">
        <w:rPr>
          <w:rFonts w:cs="Times New Roman"/>
        </w:rPr>
        <w:t xml:space="preserve"> del conocimiento, de </w:t>
      </w:r>
      <w:r w:rsidR="00207772" w:rsidRPr="0061347A">
        <w:rPr>
          <w:rFonts w:cs="Times New Roman"/>
        </w:rPr>
        <w:t xml:space="preserve">la autoeficacia profesional </w:t>
      </w:r>
      <w:r w:rsidR="00B96187" w:rsidRPr="0061347A">
        <w:rPr>
          <w:rFonts w:cs="Times New Roman"/>
        </w:rPr>
        <w:t xml:space="preserve">con la finalidad </w:t>
      </w:r>
      <w:r w:rsidR="00A94985" w:rsidRPr="0061347A">
        <w:rPr>
          <w:rFonts w:cs="Times New Roman"/>
        </w:rPr>
        <w:t>garantizar la rentabilidad</w:t>
      </w:r>
      <w:r w:rsidR="00B96187" w:rsidRPr="0061347A">
        <w:rPr>
          <w:rFonts w:cs="Times New Roman"/>
        </w:rPr>
        <w:t>, ulterior sostenibilidad y por ende responsabilidad social (Cegarra-Navarro &amp; Martínez-Martínez, 2009)</w:t>
      </w:r>
    </w:p>
    <w:p w:rsidR="006F3A15" w:rsidRPr="0061347A" w:rsidRDefault="006F3A15" w:rsidP="006F3A15">
      <w:pPr>
        <w:spacing w:after="0" w:line="240" w:lineRule="auto"/>
        <w:rPr>
          <w:b/>
          <w:szCs w:val="24"/>
        </w:rPr>
      </w:pPr>
    </w:p>
    <w:p w:rsidR="00450358" w:rsidRPr="0061347A" w:rsidRDefault="00450358" w:rsidP="000C78D7">
      <w:pPr>
        <w:pStyle w:val="Ttulo2"/>
        <w:numPr>
          <w:ilvl w:val="0"/>
          <w:numId w:val="3"/>
        </w:numPr>
        <w:spacing w:line="240" w:lineRule="auto"/>
        <w:ind w:left="426" w:hanging="426"/>
        <w:rPr>
          <w:rFonts w:cs="Times New Roman"/>
          <w:sz w:val="26"/>
        </w:rPr>
      </w:pPr>
      <w:r w:rsidRPr="0061347A">
        <w:rPr>
          <w:rFonts w:cs="Times New Roman"/>
          <w:sz w:val="26"/>
        </w:rPr>
        <w:t>Limitaciones e Investigaciones Futuras</w:t>
      </w:r>
    </w:p>
    <w:p w:rsidR="00FA384A" w:rsidRPr="0061347A" w:rsidRDefault="00630BAA" w:rsidP="00FA384A">
      <w:pPr>
        <w:spacing w:after="0"/>
        <w:ind w:firstLine="426"/>
        <w:jc w:val="both"/>
        <w:rPr>
          <w:rFonts w:cs="Times New Roman"/>
        </w:rPr>
      </w:pPr>
      <w:r w:rsidRPr="0061347A">
        <w:rPr>
          <w:szCs w:val="24"/>
        </w:rPr>
        <w:t xml:space="preserve">Este estudio </w:t>
      </w:r>
      <w:r w:rsidR="007C44AE" w:rsidRPr="0061347A">
        <w:rPr>
          <w:szCs w:val="24"/>
        </w:rPr>
        <w:t xml:space="preserve">tuvo varias </w:t>
      </w:r>
      <w:r w:rsidRPr="0061347A">
        <w:rPr>
          <w:szCs w:val="24"/>
        </w:rPr>
        <w:t xml:space="preserve">limitaciones. En primer lugar, la investigación </w:t>
      </w:r>
      <w:r w:rsidR="00E303AF" w:rsidRPr="0061347A">
        <w:rPr>
          <w:szCs w:val="24"/>
        </w:rPr>
        <w:t xml:space="preserve">fue </w:t>
      </w:r>
      <w:r w:rsidRPr="0061347A">
        <w:rPr>
          <w:szCs w:val="24"/>
        </w:rPr>
        <w:t>transversal</w:t>
      </w:r>
      <w:r w:rsidR="00E303AF" w:rsidRPr="0061347A">
        <w:rPr>
          <w:szCs w:val="24"/>
        </w:rPr>
        <w:t>. Se recomienda en el futuro repetirla usando data correspondiente a</w:t>
      </w:r>
      <w:r w:rsidR="00903894" w:rsidRPr="0061347A">
        <w:rPr>
          <w:szCs w:val="24"/>
        </w:rPr>
        <w:t xml:space="preserve"> más de cinco </w:t>
      </w:r>
      <w:r w:rsidR="00E303AF" w:rsidRPr="0061347A">
        <w:rPr>
          <w:szCs w:val="24"/>
        </w:rPr>
        <w:t xml:space="preserve">años, para comprobar estos resultados. La investigación aplicó un </w:t>
      </w:r>
      <w:r w:rsidRPr="0061347A">
        <w:rPr>
          <w:szCs w:val="24"/>
        </w:rPr>
        <w:t>c</w:t>
      </w:r>
      <w:r w:rsidR="00E303AF" w:rsidRPr="0061347A">
        <w:rPr>
          <w:szCs w:val="24"/>
        </w:rPr>
        <w:t>enso,</w:t>
      </w:r>
      <w:r w:rsidR="00915F75" w:rsidRPr="0061347A">
        <w:rPr>
          <w:szCs w:val="24"/>
        </w:rPr>
        <w:t xml:space="preserve"> con un tamaño poblacional pequeño, </w:t>
      </w:r>
      <w:r w:rsidR="00E303AF" w:rsidRPr="0061347A">
        <w:rPr>
          <w:szCs w:val="24"/>
        </w:rPr>
        <w:t>por lo que los resultados</w:t>
      </w:r>
      <w:r w:rsidR="00915F75" w:rsidRPr="0061347A">
        <w:rPr>
          <w:szCs w:val="24"/>
        </w:rPr>
        <w:t xml:space="preserve"> tienen que tomarse con cautela, en vista</w:t>
      </w:r>
      <w:r w:rsidR="00371B26" w:rsidRPr="0061347A">
        <w:rPr>
          <w:szCs w:val="24"/>
        </w:rPr>
        <w:t xml:space="preserve"> de</w:t>
      </w:r>
      <w:r w:rsidR="00915F75" w:rsidRPr="0061347A">
        <w:rPr>
          <w:szCs w:val="24"/>
        </w:rPr>
        <w:t xml:space="preserve"> que aplican a esa población. </w:t>
      </w:r>
      <w:r w:rsidR="00E303AF" w:rsidRPr="0061347A">
        <w:rPr>
          <w:szCs w:val="24"/>
        </w:rPr>
        <w:t xml:space="preserve">Esto se debió a que en el país solamente existen 50 empresas mineras que cumplieron con todos los requisitos </w:t>
      </w:r>
      <w:r w:rsidR="00201B69" w:rsidRPr="0061347A">
        <w:rPr>
          <w:szCs w:val="24"/>
        </w:rPr>
        <w:t xml:space="preserve">establecidos </w:t>
      </w:r>
      <w:r w:rsidR="00E303AF" w:rsidRPr="0061347A">
        <w:rPr>
          <w:szCs w:val="24"/>
        </w:rPr>
        <w:t xml:space="preserve">para ser </w:t>
      </w:r>
      <w:r w:rsidR="00201B69" w:rsidRPr="0061347A">
        <w:rPr>
          <w:szCs w:val="24"/>
        </w:rPr>
        <w:t xml:space="preserve">incluidos </w:t>
      </w:r>
      <w:r w:rsidR="00E303AF" w:rsidRPr="0061347A">
        <w:rPr>
          <w:szCs w:val="24"/>
        </w:rPr>
        <w:t>en el estudio.</w:t>
      </w:r>
      <w:r w:rsidR="00201B69" w:rsidRPr="0061347A">
        <w:rPr>
          <w:szCs w:val="24"/>
        </w:rPr>
        <w:t xml:space="preserve"> Esta limitación en parte tuvo que ver con las restricciones que todavía existían, asociadas con políticas empresariales post </w:t>
      </w:r>
      <w:r w:rsidR="00145D90" w:rsidRPr="0061347A">
        <w:rPr>
          <w:szCs w:val="24"/>
        </w:rPr>
        <w:t>pande</w:t>
      </w:r>
      <w:r w:rsidR="001B237C" w:rsidRPr="0061347A">
        <w:rPr>
          <w:szCs w:val="24"/>
        </w:rPr>
        <w:t xml:space="preserve">mia </w:t>
      </w:r>
      <w:r w:rsidR="00201B69" w:rsidRPr="0061347A">
        <w:rPr>
          <w:szCs w:val="24"/>
        </w:rPr>
        <w:t xml:space="preserve">Covid-19. </w:t>
      </w:r>
      <w:r w:rsidR="00440727" w:rsidRPr="0061347A">
        <w:rPr>
          <w:szCs w:val="24"/>
        </w:rPr>
        <w:t>Por lo tanto</w:t>
      </w:r>
      <w:r w:rsidR="00C53552" w:rsidRPr="0061347A">
        <w:rPr>
          <w:szCs w:val="24"/>
        </w:rPr>
        <w:t xml:space="preserve">, futuras investigaciones deberían </w:t>
      </w:r>
      <w:r w:rsidR="007541CB" w:rsidRPr="0061347A">
        <w:rPr>
          <w:szCs w:val="24"/>
        </w:rPr>
        <w:t>incluir</w:t>
      </w:r>
      <w:r w:rsidR="00915F75" w:rsidRPr="0061347A">
        <w:rPr>
          <w:szCs w:val="24"/>
        </w:rPr>
        <w:t xml:space="preserve"> empresas mineras medianas y grandes </w:t>
      </w:r>
      <w:r w:rsidR="006C151E" w:rsidRPr="0061347A">
        <w:rPr>
          <w:szCs w:val="24"/>
        </w:rPr>
        <w:t xml:space="preserve">de otros países, tales como </w:t>
      </w:r>
      <w:r w:rsidR="007541CB" w:rsidRPr="0061347A">
        <w:rPr>
          <w:szCs w:val="24"/>
        </w:rPr>
        <w:t>Chile y Colombia, cuya cultura empresarial es muy similar a la peruana.</w:t>
      </w:r>
      <w:r w:rsidR="00FA384A" w:rsidRPr="0061347A">
        <w:rPr>
          <w:szCs w:val="24"/>
        </w:rPr>
        <w:t xml:space="preserve"> </w:t>
      </w:r>
      <w:r w:rsidR="00FA384A" w:rsidRPr="0061347A">
        <w:rPr>
          <w:rFonts w:cs="Times New Roman"/>
        </w:rPr>
        <w:t xml:space="preserve">Además, el modelo propuesto puede ampliarse añadiendo nuevos constructos y moderadores, como </w:t>
      </w:r>
      <w:r w:rsidR="00A62DE2" w:rsidRPr="0061347A">
        <w:rPr>
          <w:rFonts w:cs="Times New Roman"/>
        </w:rPr>
        <w:t>el impacto</w:t>
      </w:r>
      <w:r w:rsidR="00FA384A" w:rsidRPr="0061347A">
        <w:rPr>
          <w:rFonts w:cs="Times New Roman"/>
        </w:rPr>
        <w:t xml:space="preserve"> ambiental.</w:t>
      </w:r>
    </w:p>
    <w:p w:rsidR="0094330E" w:rsidRPr="0061347A" w:rsidRDefault="00C53552" w:rsidP="00947D3C">
      <w:pPr>
        <w:spacing w:after="0"/>
        <w:ind w:firstLine="426"/>
        <w:jc w:val="both"/>
        <w:rPr>
          <w:szCs w:val="24"/>
        </w:rPr>
      </w:pPr>
      <w:r w:rsidRPr="0061347A">
        <w:rPr>
          <w:szCs w:val="24"/>
        </w:rPr>
        <w:lastRenderedPageBreak/>
        <w:t xml:space="preserve">En segundo lugar, </w:t>
      </w:r>
      <w:r w:rsidR="00BB48F1" w:rsidRPr="0061347A">
        <w:rPr>
          <w:szCs w:val="24"/>
        </w:rPr>
        <w:t>el estudio ha tenido un alcance limitado a los datos empíricos, que se recopilaron solamente teniendo en cuenta</w:t>
      </w:r>
      <w:r w:rsidR="00CD4783" w:rsidRPr="0061347A">
        <w:rPr>
          <w:szCs w:val="24"/>
        </w:rPr>
        <w:t xml:space="preserve"> en</w:t>
      </w:r>
      <w:r w:rsidR="00BB48F1" w:rsidRPr="0061347A">
        <w:rPr>
          <w:szCs w:val="24"/>
        </w:rPr>
        <w:t xml:space="preserve"> las empresas mineras de la gran y mediana minería peruana, lo que sólo muestra una perspectiva constringen</w:t>
      </w:r>
      <w:r w:rsidR="0094330E" w:rsidRPr="0061347A">
        <w:rPr>
          <w:szCs w:val="24"/>
        </w:rPr>
        <w:t xml:space="preserve">te de las economías emergentes. Y para limitar más aún la </w:t>
      </w:r>
      <w:r w:rsidR="00947D3C" w:rsidRPr="0061347A">
        <w:rPr>
          <w:szCs w:val="24"/>
        </w:rPr>
        <w:t xml:space="preserve">ejecución de la investigación </w:t>
      </w:r>
      <w:r w:rsidR="0002592F" w:rsidRPr="0061347A">
        <w:rPr>
          <w:szCs w:val="24"/>
        </w:rPr>
        <w:t xml:space="preserve">se </w:t>
      </w:r>
      <w:r w:rsidR="00947D3C" w:rsidRPr="0061347A">
        <w:rPr>
          <w:szCs w:val="24"/>
        </w:rPr>
        <w:t xml:space="preserve">encontró </w:t>
      </w:r>
      <w:r w:rsidR="0094330E" w:rsidRPr="0061347A">
        <w:rPr>
          <w:szCs w:val="24"/>
        </w:rPr>
        <w:t xml:space="preserve">una restricción legal </w:t>
      </w:r>
      <w:r w:rsidR="00947D3C" w:rsidRPr="0061347A">
        <w:rPr>
          <w:szCs w:val="24"/>
        </w:rPr>
        <w:t>asociada con la entrega de datos, debido a</w:t>
      </w:r>
      <w:r w:rsidR="00F7652B" w:rsidRPr="0061347A">
        <w:rPr>
          <w:szCs w:val="24"/>
        </w:rPr>
        <w:t xml:space="preserve">l fallo del Tribunal Constitucional </w:t>
      </w:r>
      <w:r w:rsidR="002424B7" w:rsidRPr="0061347A">
        <w:rPr>
          <w:szCs w:val="24"/>
        </w:rPr>
        <w:t xml:space="preserve">peruano </w:t>
      </w:r>
      <w:r w:rsidR="00F7652B" w:rsidRPr="0061347A">
        <w:rPr>
          <w:szCs w:val="24"/>
        </w:rPr>
        <w:t xml:space="preserve">que declara fundada la demanda de inconstitucionalidad interpuesta contra la </w:t>
      </w:r>
      <w:r w:rsidR="00947D3C" w:rsidRPr="0061347A">
        <w:rPr>
          <w:szCs w:val="24"/>
        </w:rPr>
        <w:t xml:space="preserve">Ley </w:t>
      </w:r>
      <w:r w:rsidR="00F7652B" w:rsidRPr="0061347A">
        <w:rPr>
          <w:szCs w:val="24"/>
        </w:rPr>
        <w:t xml:space="preserve">N° 29720 que promueve las emisiones de valores mobiliarios y </w:t>
      </w:r>
      <w:r w:rsidR="00352618" w:rsidRPr="0061347A">
        <w:rPr>
          <w:szCs w:val="24"/>
        </w:rPr>
        <w:t xml:space="preserve">que </w:t>
      </w:r>
      <w:r w:rsidR="00F7652B" w:rsidRPr="0061347A">
        <w:rPr>
          <w:szCs w:val="24"/>
        </w:rPr>
        <w:t>fortalece el mercado de capitales.</w:t>
      </w:r>
      <w:r w:rsidR="00110DF5" w:rsidRPr="0061347A">
        <w:rPr>
          <w:szCs w:val="24"/>
        </w:rPr>
        <w:t xml:space="preserve"> </w:t>
      </w:r>
      <w:r w:rsidR="0094330E" w:rsidRPr="0061347A">
        <w:rPr>
          <w:szCs w:val="24"/>
        </w:rPr>
        <w:t xml:space="preserve">Por lo tanto, </w:t>
      </w:r>
      <w:r w:rsidR="005923A3" w:rsidRPr="0061347A">
        <w:rPr>
          <w:szCs w:val="24"/>
        </w:rPr>
        <w:t>las re</w:t>
      </w:r>
      <w:r w:rsidR="00361784" w:rsidRPr="0061347A">
        <w:rPr>
          <w:szCs w:val="24"/>
        </w:rPr>
        <w:t>plica</w:t>
      </w:r>
      <w:r w:rsidR="00B80491" w:rsidRPr="0061347A">
        <w:rPr>
          <w:szCs w:val="24"/>
        </w:rPr>
        <w:t>ciones</w:t>
      </w:r>
      <w:r w:rsidR="00361784" w:rsidRPr="0061347A">
        <w:rPr>
          <w:szCs w:val="24"/>
        </w:rPr>
        <w:t xml:space="preserve"> de este estudio</w:t>
      </w:r>
      <w:r w:rsidR="00110DF5" w:rsidRPr="0061347A">
        <w:rPr>
          <w:szCs w:val="24"/>
        </w:rPr>
        <w:t xml:space="preserve"> deberían buscar superar la limitación legal mencionada y</w:t>
      </w:r>
      <w:r w:rsidR="003E2AEA" w:rsidRPr="0061347A">
        <w:rPr>
          <w:szCs w:val="24"/>
        </w:rPr>
        <w:t>,</w:t>
      </w:r>
      <w:r w:rsidR="00110DF5" w:rsidRPr="0061347A">
        <w:rPr>
          <w:szCs w:val="24"/>
        </w:rPr>
        <w:t xml:space="preserve"> además, </w:t>
      </w:r>
      <w:r w:rsidR="00361784" w:rsidRPr="0061347A">
        <w:rPr>
          <w:szCs w:val="24"/>
        </w:rPr>
        <w:t>deberían</w:t>
      </w:r>
      <w:r w:rsidR="0094330E" w:rsidRPr="0061347A">
        <w:rPr>
          <w:szCs w:val="24"/>
        </w:rPr>
        <w:t xml:space="preserve"> </w:t>
      </w:r>
      <w:r w:rsidR="00361784" w:rsidRPr="0061347A">
        <w:rPr>
          <w:szCs w:val="24"/>
        </w:rPr>
        <w:t xml:space="preserve">considerar diferentes economías, para alcanzar un entendimiento holístico del tema de investigación </w:t>
      </w:r>
      <w:r w:rsidR="00E51921" w:rsidRPr="0061347A">
        <w:rPr>
          <w:szCs w:val="24"/>
        </w:rPr>
        <w:t>planteado.</w:t>
      </w:r>
    </w:p>
    <w:p w:rsidR="00255D95" w:rsidRPr="0061347A" w:rsidRDefault="00396BD9" w:rsidP="00255D95">
      <w:pPr>
        <w:spacing w:after="0"/>
        <w:ind w:firstLine="426"/>
        <w:jc w:val="both"/>
        <w:rPr>
          <w:rFonts w:cs="Times New Roman"/>
        </w:rPr>
      </w:pPr>
      <w:r w:rsidRPr="0061347A">
        <w:rPr>
          <w:szCs w:val="24"/>
        </w:rPr>
        <w:t xml:space="preserve">Por otro lado, las futuras investigaciones en gestión del conocimiento deberían considerar </w:t>
      </w:r>
      <w:r w:rsidR="00751815" w:rsidRPr="0061347A">
        <w:rPr>
          <w:szCs w:val="24"/>
        </w:rPr>
        <w:t xml:space="preserve">el efecto mediador de la </w:t>
      </w:r>
      <w:r w:rsidRPr="0061347A">
        <w:rPr>
          <w:szCs w:val="24"/>
        </w:rPr>
        <w:t xml:space="preserve">innovación verde y los negocios sostenibles en las empresas mineras peruanas, </w:t>
      </w:r>
      <w:r w:rsidR="00751815" w:rsidRPr="0061347A">
        <w:rPr>
          <w:szCs w:val="24"/>
        </w:rPr>
        <w:t>considerando contextos económicos y sociales del país, porque los resultados de la presente investigación sugieren que las empresas privadas y las entidades del gobierno peruano deberían fomentar programas de capacitación para el desarrollo profesional de los gerentes, coadyuvando de esa manera organizaciones sostenible.</w:t>
      </w:r>
      <w:r w:rsidR="00FA384A" w:rsidRPr="0061347A">
        <w:rPr>
          <w:szCs w:val="24"/>
        </w:rPr>
        <w:t xml:space="preserve"> </w:t>
      </w:r>
      <w:r w:rsidR="00255D95" w:rsidRPr="0061347A">
        <w:rPr>
          <w:rFonts w:cs="Times New Roman"/>
        </w:rPr>
        <w:t>En ese sentido, es importante tener en cuenta que el presente estudio sólo examinó las percepciones de los directivos y, por lo tanto, las investigaciones futuras también podrían considerar las percepciones del personal no directivo.</w:t>
      </w:r>
    </w:p>
    <w:p w:rsidR="00061B88" w:rsidRPr="0061347A" w:rsidRDefault="00E06FEC" w:rsidP="00255D95">
      <w:pPr>
        <w:spacing w:after="0"/>
        <w:ind w:firstLine="426"/>
        <w:jc w:val="both"/>
        <w:rPr>
          <w:rFonts w:cs="Times New Roman"/>
        </w:rPr>
      </w:pPr>
      <w:r w:rsidRPr="0061347A">
        <w:rPr>
          <w:rFonts w:cs="Times New Roman"/>
        </w:rPr>
        <w:t>De manera sim</w:t>
      </w:r>
      <w:r w:rsidR="00FA576C" w:rsidRPr="0061347A">
        <w:rPr>
          <w:rFonts w:cs="Times New Roman"/>
        </w:rPr>
        <w:t>i</w:t>
      </w:r>
      <w:r w:rsidRPr="0061347A">
        <w:rPr>
          <w:rFonts w:cs="Times New Roman"/>
        </w:rPr>
        <w:t xml:space="preserve">lar, </w:t>
      </w:r>
      <w:r w:rsidRPr="0061347A">
        <w:rPr>
          <w:szCs w:val="24"/>
        </w:rPr>
        <w:t>los resultados del presente estudio destacan la importancia de la gestión del conocimiento para lograr rentabilidad en las empresas mineras; por lo tanto, la necesidad de investigación empírica adicional sobre este tema es, de hecho, una de las principales implicaciones prácticas de este estudio.</w:t>
      </w:r>
    </w:p>
    <w:p w:rsidR="0094330E" w:rsidRPr="0061347A" w:rsidRDefault="00BB44C1" w:rsidP="00C53552">
      <w:pPr>
        <w:spacing w:after="0"/>
        <w:ind w:firstLine="426"/>
        <w:jc w:val="both"/>
        <w:rPr>
          <w:szCs w:val="24"/>
        </w:rPr>
      </w:pPr>
      <w:r w:rsidRPr="0061347A">
        <w:rPr>
          <w:szCs w:val="24"/>
        </w:rPr>
        <w:t>Finalmente</w:t>
      </w:r>
      <w:r w:rsidR="0094330E" w:rsidRPr="0061347A">
        <w:rPr>
          <w:szCs w:val="24"/>
        </w:rPr>
        <w:t xml:space="preserve">, este estudio sólo se centra en medir los efectos de </w:t>
      </w:r>
      <w:r w:rsidR="005923A3" w:rsidRPr="0061347A">
        <w:rPr>
          <w:szCs w:val="24"/>
        </w:rPr>
        <w:t>l</w:t>
      </w:r>
      <w:r w:rsidR="0094330E" w:rsidRPr="0061347A">
        <w:rPr>
          <w:szCs w:val="24"/>
        </w:rPr>
        <w:t xml:space="preserve">a gestión del conocimiento en </w:t>
      </w:r>
      <w:r w:rsidR="000542B6" w:rsidRPr="0061347A">
        <w:rPr>
          <w:szCs w:val="24"/>
        </w:rPr>
        <w:t xml:space="preserve">la </w:t>
      </w:r>
      <w:r w:rsidR="0094330E" w:rsidRPr="0061347A">
        <w:rPr>
          <w:szCs w:val="24"/>
        </w:rPr>
        <w:t>relación</w:t>
      </w:r>
      <w:r w:rsidR="002B23BD" w:rsidRPr="0061347A">
        <w:rPr>
          <w:szCs w:val="24"/>
        </w:rPr>
        <w:t xml:space="preserve"> entre</w:t>
      </w:r>
      <w:r w:rsidR="0094330E" w:rsidRPr="0061347A">
        <w:rPr>
          <w:szCs w:val="24"/>
        </w:rPr>
        <w:t xml:space="preserve"> la autoeficacia profesional y la rentabilidad de las empresas, pero no ofrece ninguna alternativa de cómo mejorar la gestión de conocimiento ni la autoeficacia profesional. En ese sentido l</w:t>
      </w:r>
      <w:r w:rsidR="005E7FF6" w:rsidRPr="0061347A">
        <w:rPr>
          <w:szCs w:val="24"/>
        </w:rPr>
        <w:t>as futura</w:t>
      </w:r>
      <w:r w:rsidR="0094330E" w:rsidRPr="0061347A">
        <w:rPr>
          <w:szCs w:val="24"/>
        </w:rPr>
        <w:t>s investiga</w:t>
      </w:r>
      <w:r w:rsidR="005E7FF6" w:rsidRPr="0061347A">
        <w:rPr>
          <w:szCs w:val="24"/>
        </w:rPr>
        <w:t xml:space="preserve">ciones </w:t>
      </w:r>
      <w:r w:rsidR="0094330E" w:rsidRPr="0061347A">
        <w:rPr>
          <w:szCs w:val="24"/>
        </w:rPr>
        <w:t>tienen el desafío de proporcionar una comprensión más profunda del efecto mediador de la gestión del conocimiento y recomendar herramientas para la gestión no sólo del conocimiento, sino también herramientas para mejorar la autoeficacia de los profesionales.</w:t>
      </w:r>
    </w:p>
    <w:p w:rsidR="008436CF" w:rsidRPr="0061347A" w:rsidRDefault="008436CF" w:rsidP="00C53552">
      <w:pPr>
        <w:spacing w:after="0"/>
        <w:ind w:firstLine="426"/>
        <w:jc w:val="both"/>
        <w:rPr>
          <w:szCs w:val="24"/>
        </w:rPr>
      </w:pPr>
    </w:p>
    <w:p w:rsidR="00D058B9" w:rsidRPr="0061347A" w:rsidRDefault="00D058B9" w:rsidP="0096327A">
      <w:pPr>
        <w:pStyle w:val="Ttulo2"/>
        <w:numPr>
          <w:ilvl w:val="0"/>
          <w:numId w:val="3"/>
        </w:numPr>
        <w:spacing w:line="240" w:lineRule="auto"/>
        <w:ind w:left="426" w:hanging="426"/>
        <w:rPr>
          <w:rFonts w:cs="Times New Roman"/>
          <w:sz w:val="26"/>
        </w:rPr>
      </w:pPr>
      <w:r w:rsidRPr="0061347A">
        <w:rPr>
          <w:rFonts w:cs="Times New Roman"/>
          <w:sz w:val="26"/>
        </w:rPr>
        <w:t>Conclusiones</w:t>
      </w:r>
      <w:r w:rsidR="00F63DEC" w:rsidRPr="0061347A">
        <w:rPr>
          <w:rFonts w:cs="Times New Roman"/>
          <w:sz w:val="26"/>
        </w:rPr>
        <w:t xml:space="preserve"> y Recomendaciones</w:t>
      </w:r>
    </w:p>
    <w:p w:rsidR="00B9320D" w:rsidRPr="0061347A" w:rsidRDefault="0062233E" w:rsidP="00B91D97">
      <w:pPr>
        <w:spacing w:after="0"/>
        <w:ind w:firstLine="426"/>
        <w:jc w:val="both"/>
        <w:rPr>
          <w:rFonts w:cs="Times New Roman"/>
          <w:szCs w:val="24"/>
        </w:rPr>
      </w:pPr>
      <w:r w:rsidRPr="0061347A">
        <w:rPr>
          <w:rFonts w:cs="Times New Roman"/>
        </w:rPr>
        <w:t>La hipótesis H1</w:t>
      </w:r>
      <w:r w:rsidR="00994641" w:rsidRPr="0061347A">
        <w:rPr>
          <w:rFonts w:cs="Times New Roman"/>
        </w:rPr>
        <w:t xml:space="preserve"> fue aceptada con un nivel de significancia estadística de </w:t>
      </w:r>
      <w:r w:rsidR="00994641" w:rsidRPr="0061347A">
        <w:rPr>
          <w:rFonts w:cs="Times New Roman"/>
          <w:i/>
        </w:rPr>
        <w:t>p</w:t>
      </w:r>
      <w:r w:rsidR="00994641" w:rsidRPr="0061347A">
        <w:rPr>
          <w:rFonts w:cs="Times New Roman"/>
        </w:rPr>
        <w:t xml:space="preserve"> &lt; 0.000. Este resultado indica que </w:t>
      </w:r>
      <w:r w:rsidR="00331E7B" w:rsidRPr="0061347A">
        <w:rPr>
          <w:rFonts w:cs="Times New Roman"/>
        </w:rPr>
        <w:t xml:space="preserve">existe una relación positiva y significativa entre la autoeficacia profesional y </w:t>
      </w:r>
      <w:r w:rsidR="00994641" w:rsidRPr="0061347A">
        <w:rPr>
          <w:rFonts w:cs="Times New Roman"/>
        </w:rPr>
        <w:t xml:space="preserve">la rentabilidad de las empresas. </w:t>
      </w:r>
      <w:r w:rsidR="00B9320D" w:rsidRPr="0061347A">
        <w:rPr>
          <w:rFonts w:cs="Times New Roman"/>
        </w:rPr>
        <w:t>De la misma manera</w:t>
      </w:r>
      <w:r w:rsidR="00994641" w:rsidRPr="0061347A">
        <w:rPr>
          <w:rFonts w:cs="Times New Roman"/>
        </w:rPr>
        <w:t>, también se aceptó</w:t>
      </w:r>
      <w:r w:rsidR="00B9320D" w:rsidRPr="0061347A">
        <w:rPr>
          <w:rFonts w:cs="Times New Roman"/>
        </w:rPr>
        <w:t xml:space="preserve"> l</w:t>
      </w:r>
      <w:r w:rsidR="00376023" w:rsidRPr="0061347A">
        <w:rPr>
          <w:rFonts w:cs="Times New Roman"/>
        </w:rPr>
        <w:t>a hipótesis H2,</w:t>
      </w:r>
      <w:r w:rsidR="00994641" w:rsidRPr="0061347A">
        <w:rPr>
          <w:rFonts w:cs="Times New Roman"/>
        </w:rPr>
        <w:t xml:space="preserve"> con un </w:t>
      </w:r>
      <w:r w:rsidR="0036342B" w:rsidRPr="0061347A">
        <w:rPr>
          <w:rFonts w:cs="Times New Roman"/>
        </w:rPr>
        <w:t xml:space="preserve">nivel de significancia de </w:t>
      </w:r>
      <w:r w:rsidR="00994641" w:rsidRPr="0061347A">
        <w:rPr>
          <w:rFonts w:cs="Times New Roman"/>
          <w:i/>
        </w:rPr>
        <w:t xml:space="preserve">p </w:t>
      </w:r>
      <w:r w:rsidR="00994641" w:rsidRPr="0061347A">
        <w:rPr>
          <w:rFonts w:cs="Times New Roman"/>
        </w:rPr>
        <w:t xml:space="preserve">&lt; 0.000, lo cual significa </w:t>
      </w:r>
      <w:r w:rsidR="00376023" w:rsidRPr="0061347A">
        <w:rPr>
          <w:rFonts w:cs="Times New Roman"/>
        </w:rPr>
        <w:t>que existe una relación positiva y significativa entre la autoeficacia profesional y la gestión del conocimiento</w:t>
      </w:r>
      <w:r w:rsidR="00994641" w:rsidRPr="0061347A">
        <w:rPr>
          <w:rFonts w:cs="Times New Roman"/>
        </w:rPr>
        <w:t>. De igual modo</w:t>
      </w:r>
      <w:r w:rsidR="00376023" w:rsidRPr="0061347A">
        <w:rPr>
          <w:rFonts w:cs="Times New Roman"/>
        </w:rPr>
        <w:t>, se acept</w:t>
      </w:r>
      <w:r w:rsidR="00994641" w:rsidRPr="0061347A">
        <w:rPr>
          <w:rFonts w:cs="Times New Roman"/>
        </w:rPr>
        <w:t xml:space="preserve">ó </w:t>
      </w:r>
      <w:r w:rsidR="00A662B3" w:rsidRPr="0061347A">
        <w:rPr>
          <w:rFonts w:cs="Times New Roman"/>
        </w:rPr>
        <w:t xml:space="preserve">la </w:t>
      </w:r>
      <w:r w:rsidR="00B9320D" w:rsidRPr="0061347A">
        <w:rPr>
          <w:rFonts w:cs="Times New Roman"/>
        </w:rPr>
        <w:t>hipótesis H3,</w:t>
      </w:r>
      <w:r w:rsidR="00994641" w:rsidRPr="0061347A">
        <w:rPr>
          <w:rFonts w:cs="Times New Roman"/>
        </w:rPr>
        <w:t xml:space="preserve"> con un </w:t>
      </w:r>
      <w:r w:rsidR="00766D23" w:rsidRPr="0061347A">
        <w:rPr>
          <w:rFonts w:cs="Times New Roman"/>
        </w:rPr>
        <w:t xml:space="preserve">nivel de significancia de </w:t>
      </w:r>
      <w:r w:rsidR="00994641" w:rsidRPr="0061347A">
        <w:rPr>
          <w:rFonts w:cs="Times New Roman"/>
          <w:i/>
        </w:rPr>
        <w:t>p</w:t>
      </w:r>
      <w:r w:rsidR="00994641" w:rsidRPr="0061347A">
        <w:rPr>
          <w:rFonts w:cs="Times New Roman"/>
        </w:rPr>
        <w:t xml:space="preserve"> &lt; 0.015, lo que indica que </w:t>
      </w:r>
      <w:r w:rsidR="000E4070" w:rsidRPr="0061347A">
        <w:rPr>
          <w:rFonts w:cs="Times New Roman"/>
          <w:szCs w:val="24"/>
        </w:rPr>
        <w:t>existe una relación positiva y significativa entre la gestión del conocimiento y la rentabilidad de las empresas</w:t>
      </w:r>
      <w:r w:rsidR="000D1115" w:rsidRPr="0061347A">
        <w:rPr>
          <w:rFonts w:cs="Times New Roman"/>
          <w:szCs w:val="24"/>
        </w:rPr>
        <w:t>.</w:t>
      </w:r>
    </w:p>
    <w:p w:rsidR="00C06D08" w:rsidRPr="0061347A" w:rsidRDefault="00994641" w:rsidP="00E22ADD">
      <w:pPr>
        <w:spacing w:after="0"/>
        <w:ind w:firstLine="426"/>
        <w:jc w:val="both"/>
        <w:rPr>
          <w:rFonts w:cs="Times New Roman"/>
          <w:szCs w:val="24"/>
        </w:rPr>
      </w:pPr>
      <w:r w:rsidRPr="0061347A">
        <w:rPr>
          <w:rFonts w:cs="Times New Roman"/>
          <w:szCs w:val="24"/>
        </w:rPr>
        <w:t xml:space="preserve">Por otro lado, </w:t>
      </w:r>
      <w:r w:rsidR="000E4070" w:rsidRPr="0061347A">
        <w:rPr>
          <w:rFonts w:cs="Times New Roman"/>
          <w:szCs w:val="24"/>
        </w:rPr>
        <w:t xml:space="preserve">se </w:t>
      </w:r>
      <w:r w:rsidR="001A70E0" w:rsidRPr="0061347A">
        <w:rPr>
          <w:rFonts w:cs="Times New Roman"/>
          <w:szCs w:val="24"/>
        </w:rPr>
        <w:t>acept</w:t>
      </w:r>
      <w:r w:rsidR="000A11DC" w:rsidRPr="0061347A">
        <w:rPr>
          <w:rFonts w:cs="Times New Roman"/>
          <w:szCs w:val="24"/>
        </w:rPr>
        <w:t>ó</w:t>
      </w:r>
      <w:r w:rsidR="001A70E0" w:rsidRPr="0061347A">
        <w:rPr>
          <w:rFonts w:cs="Times New Roman"/>
          <w:szCs w:val="24"/>
        </w:rPr>
        <w:t xml:space="preserve"> </w:t>
      </w:r>
      <w:r w:rsidR="000E4070" w:rsidRPr="0061347A">
        <w:rPr>
          <w:rFonts w:cs="Times New Roman"/>
          <w:szCs w:val="24"/>
        </w:rPr>
        <w:t xml:space="preserve">la hipótesis </w:t>
      </w:r>
      <w:r w:rsidR="001A70E0" w:rsidRPr="0061347A">
        <w:rPr>
          <w:rFonts w:cs="Times New Roman"/>
          <w:szCs w:val="24"/>
        </w:rPr>
        <w:t>H</w:t>
      </w:r>
      <w:r w:rsidR="000E4070" w:rsidRPr="0061347A">
        <w:rPr>
          <w:rFonts w:cs="Times New Roman"/>
          <w:szCs w:val="24"/>
        </w:rPr>
        <w:t>4,</w:t>
      </w:r>
      <w:r w:rsidR="00FF3452" w:rsidRPr="0061347A">
        <w:rPr>
          <w:rFonts w:cs="Times New Roman"/>
          <w:szCs w:val="24"/>
        </w:rPr>
        <w:t xml:space="preserve"> la cual </w:t>
      </w:r>
      <w:r w:rsidR="000A11DC" w:rsidRPr="0061347A">
        <w:rPr>
          <w:rFonts w:cs="Times New Roman"/>
          <w:szCs w:val="24"/>
        </w:rPr>
        <w:t xml:space="preserve">indica </w:t>
      </w:r>
      <w:r w:rsidR="000E4070" w:rsidRPr="0061347A">
        <w:rPr>
          <w:rFonts w:cs="Times New Roman"/>
          <w:szCs w:val="24"/>
        </w:rPr>
        <w:t>que la gestión del conocimiento tiene un efecto mediador en la relación entre la autoeficacia profesional y la rentabilidad de las empresas</w:t>
      </w:r>
      <w:r w:rsidR="000A11DC" w:rsidRPr="0061347A">
        <w:rPr>
          <w:rFonts w:cs="Times New Roman"/>
          <w:szCs w:val="24"/>
        </w:rPr>
        <w:t xml:space="preserve"> con un </w:t>
      </w:r>
      <w:r w:rsidR="00951D5D" w:rsidRPr="0061347A">
        <w:rPr>
          <w:rFonts w:cs="Times New Roman"/>
          <w:szCs w:val="24"/>
        </w:rPr>
        <w:t xml:space="preserve">nivel de significancia de </w:t>
      </w:r>
      <w:r w:rsidR="000A11DC" w:rsidRPr="0061347A">
        <w:rPr>
          <w:rFonts w:cs="Times New Roman"/>
          <w:i/>
          <w:szCs w:val="24"/>
        </w:rPr>
        <w:t>p</w:t>
      </w:r>
      <w:r w:rsidR="002D0E4C" w:rsidRPr="0061347A">
        <w:rPr>
          <w:rFonts w:cs="Times New Roman"/>
          <w:szCs w:val="24"/>
        </w:rPr>
        <w:t xml:space="preserve"> &lt; 0.021</w:t>
      </w:r>
      <w:r w:rsidR="000E4070" w:rsidRPr="0061347A">
        <w:rPr>
          <w:rFonts w:cs="Times New Roman"/>
          <w:szCs w:val="24"/>
        </w:rPr>
        <w:t xml:space="preserve">. </w:t>
      </w:r>
      <w:r w:rsidR="00EB160A" w:rsidRPr="0061347A">
        <w:rPr>
          <w:rFonts w:cs="Times New Roman"/>
          <w:szCs w:val="24"/>
        </w:rPr>
        <w:t xml:space="preserve">Producto del resultado de las cuatro pruebas de hipótesis y de la orientación de las relaciones existentes entre las tres variables de estudio, se determinó que la mediación es complementaria. </w:t>
      </w:r>
      <w:r w:rsidR="000E4070" w:rsidRPr="0061347A">
        <w:rPr>
          <w:rFonts w:cs="Times New Roman"/>
          <w:szCs w:val="24"/>
        </w:rPr>
        <w:t xml:space="preserve">Por lo tanto, se </w:t>
      </w:r>
      <w:r w:rsidR="000E4070" w:rsidRPr="0061347A">
        <w:rPr>
          <w:rFonts w:cs="Times New Roman"/>
          <w:szCs w:val="24"/>
        </w:rPr>
        <w:lastRenderedPageBreak/>
        <w:t xml:space="preserve">abre una vía para la investigación futura </w:t>
      </w:r>
      <w:r w:rsidR="00013CAB" w:rsidRPr="0061347A">
        <w:rPr>
          <w:rFonts w:cs="Times New Roman"/>
          <w:szCs w:val="24"/>
        </w:rPr>
        <w:t xml:space="preserve">en busca de </w:t>
      </w:r>
      <w:r w:rsidR="00D177B5" w:rsidRPr="0061347A">
        <w:rPr>
          <w:rFonts w:cs="Times New Roman"/>
          <w:szCs w:val="24"/>
        </w:rPr>
        <w:t>explicar la rentabilidad de las empresas mineras con la inclusión de otros constructos</w:t>
      </w:r>
      <w:r w:rsidR="00650AB9" w:rsidRPr="0061347A">
        <w:rPr>
          <w:rFonts w:cs="Times New Roman"/>
          <w:szCs w:val="24"/>
        </w:rPr>
        <w:t xml:space="preserve">, tales </w:t>
      </w:r>
      <w:r w:rsidR="00D177B5" w:rsidRPr="0061347A">
        <w:rPr>
          <w:rFonts w:cs="Times New Roman"/>
          <w:szCs w:val="24"/>
        </w:rPr>
        <w:t xml:space="preserve">como </w:t>
      </w:r>
      <w:r w:rsidR="000E4070" w:rsidRPr="0061347A">
        <w:rPr>
          <w:rFonts w:cs="Times New Roman"/>
          <w:szCs w:val="24"/>
        </w:rPr>
        <w:t>la innovación tecnológica</w:t>
      </w:r>
      <w:r w:rsidR="009E67AC" w:rsidRPr="0061347A">
        <w:rPr>
          <w:rFonts w:cs="Times New Roman"/>
          <w:szCs w:val="24"/>
        </w:rPr>
        <w:t>,</w:t>
      </w:r>
      <w:r w:rsidR="00B05D28" w:rsidRPr="0061347A">
        <w:rPr>
          <w:rFonts w:cs="Times New Roman"/>
          <w:szCs w:val="24"/>
        </w:rPr>
        <w:t xml:space="preserve"> la digitalización, el uso de </w:t>
      </w:r>
      <w:r w:rsidR="009E67AC" w:rsidRPr="0061347A">
        <w:rPr>
          <w:rFonts w:cs="Times New Roman"/>
          <w:szCs w:val="24"/>
        </w:rPr>
        <w:t xml:space="preserve">la inteligencia artificial </w:t>
      </w:r>
      <w:r w:rsidR="00331B32" w:rsidRPr="0061347A">
        <w:rPr>
          <w:rFonts w:cs="Times New Roman"/>
          <w:szCs w:val="24"/>
        </w:rPr>
        <w:t>y el auge de las soluciones</w:t>
      </w:r>
      <w:r w:rsidR="006D3C70" w:rsidRPr="0061347A">
        <w:rPr>
          <w:rFonts w:cs="Times New Roman"/>
          <w:szCs w:val="24"/>
        </w:rPr>
        <w:t xml:space="preserve"> empresariales</w:t>
      </w:r>
      <w:r w:rsidR="00331B32" w:rsidRPr="0061347A">
        <w:rPr>
          <w:rFonts w:cs="Times New Roman"/>
          <w:szCs w:val="24"/>
        </w:rPr>
        <w:t xml:space="preserve"> en la nube</w:t>
      </w:r>
      <w:r w:rsidR="009E67AC" w:rsidRPr="0061347A">
        <w:rPr>
          <w:rFonts w:cs="Times New Roman"/>
          <w:szCs w:val="24"/>
        </w:rPr>
        <w:t>.</w:t>
      </w:r>
    </w:p>
    <w:p w:rsidR="002C0731" w:rsidRPr="0061347A" w:rsidRDefault="002C0731" w:rsidP="002C0731">
      <w:pPr>
        <w:spacing w:after="0"/>
        <w:jc w:val="both"/>
        <w:rPr>
          <w:rFonts w:cs="Times New Roman"/>
          <w:szCs w:val="24"/>
        </w:rPr>
      </w:pPr>
    </w:p>
    <w:p w:rsidR="00C06D08" w:rsidRPr="0061347A" w:rsidRDefault="00C06D08" w:rsidP="002C0731">
      <w:pPr>
        <w:spacing w:after="0"/>
        <w:jc w:val="both"/>
        <w:rPr>
          <w:rFonts w:cs="Times New Roman"/>
          <w:szCs w:val="24"/>
        </w:rPr>
      </w:pPr>
      <w:bookmarkStart w:id="0" w:name="_GoBack"/>
      <w:bookmarkEnd w:id="0"/>
    </w:p>
    <w:sectPr w:rsidR="00C06D08" w:rsidRPr="0061347A" w:rsidSect="00E15A4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CF5" w:rsidRDefault="00274CF5" w:rsidP="004B0156">
      <w:pPr>
        <w:spacing w:after="0" w:line="240" w:lineRule="auto"/>
      </w:pPr>
      <w:r>
        <w:separator/>
      </w:r>
    </w:p>
  </w:endnote>
  <w:endnote w:type="continuationSeparator" w:id="0">
    <w:p w:rsidR="00274CF5" w:rsidRDefault="00274CF5" w:rsidP="004B0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CF5" w:rsidRDefault="00274CF5" w:rsidP="004B0156">
      <w:pPr>
        <w:spacing w:after="0" w:line="240" w:lineRule="auto"/>
      </w:pPr>
      <w:r>
        <w:separator/>
      </w:r>
    </w:p>
  </w:footnote>
  <w:footnote w:type="continuationSeparator" w:id="0">
    <w:p w:rsidR="00274CF5" w:rsidRDefault="00274CF5" w:rsidP="004B0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813CA"/>
    <w:multiLevelType w:val="hybridMultilevel"/>
    <w:tmpl w:val="A91AE85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056509"/>
    <w:multiLevelType w:val="hybridMultilevel"/>
    <w:tmpl w:val="47B07D1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3CD4AA2"/>
    <w:multiLevelType w:val="multilevel"/>
    <w:tmpl w:val="D8000A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2B7E7D"/>
    <w:multiLevelType w:val="multilevel"/>
    <w:tmpl w:val="9B44F6C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615F325E"/>
    <w:multiLevelType w:val="multilevel"/>
    <w:tmpl w:val="221ABEB6"/>
    <w:lvl w:ilvl="0">
      <w:start w:val="1"/>
      <w:numFmt w:val="decimal"/>
      <w:lvlText w:val="%1."/>
      <w:lvlJc w:val="left"/>
      <w:pPr>
        <w:ind w:left="720" w:hanging="360"/>
      </w:pPr>
      <w:rPr>
        <w:rFonts w:hint="default"/>
      </w:rPr>
    </w:lvl>
    <w:lvl w:ilvl="1">
      <w:start w:val="1"/>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8BD3EC9"/>
    <w:multiLevelType w:val="multilevel"/>
    <w:tmpl w:val="A2CABB9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BE8"/>
    <w:rsid w:val="000029BB"/>
    <w:rsid w:val="00002E5C"/>
    <w:rsid w:val="00002F25"/>
    <w:rsid w:val="00003597"/>
    <w:rsid w:val="0000566D"/>
    <w:rsid w:val="000059CB"/>
    <w:rsid w:val="0001205A"/>
    <w:rsid w:val="000136A2"/>
    <w:rsid w:val="00013CAB"/>
    <w:rsid w:val="000141E1"/>
    <w:rsid w:val="000142B4"/>
    <w:rsid w:val="00014CEC"/>
    <w:rsid w:val="000155D1"/>
    <w:rsid w:val="0001791E"/>
    <w:rsid w:val="00023412"/>
    <w:rsid w:val="000243A3"/>
    <w:rsid w:val="0002592F"/>
    <w:rsid w:val="00026A6D"/>
    <w:rsid w:val="000271A1"/>
    <w:rsid w:val="00027CEC"/>
    <w:rsid w:val="00027D5A"/>
    <w:rsid w:val="0003237F"/>
    <w:rsid w:val="00034002"/>
    <w:rsid w:val="00034C4C"/>
    <w:rsid w:val="000352F2"/>
    <w:rsid w:val="00035866"/>
    <w:rsid w:val="000367A5"/>
    <w:rsid w:val="000402F6"/>
    <w:rsid w:val="00041D8C"/>
    <w:rsid w:val="00044784"/>
    <w:rsid w:val="00045670"/>
    <w:rsid w:val="00045872"/>
    <w:rsid w:val="000467A2"/>
    <w:rsid w:val="00046C20"/>
    <w:rsid w:val="000535AF"/>
    <w:rsid w:val="000542B6"/>
    <w:rsid w:val="00055FA4"/>
    <w:rsid w:val="000563F1"/>
    <w:rsid w:val="00057E96"/>
    <w:rsid w:val="00061B88"/>
    <w:rsid w:val="0006235D"/>
    <w:rsid w:val="000654A8"/>
    <w:rsid w:val="00066697"/>
    <w:rsid w:val="0006710D"/>
    <w:rsid w:val="00070C89"/>
    <w:rsid w:val="00071A12"/>
    <w:rsid w:val="00073CA1"/>
    <w:rsid w:val="00073D07"/>
    <w:rsid w:val="000754F1"/>
    <w:rsid w:val="00075F60"/>
    <w:rsid w:val="000762BE"/>
    <w:rsid w:val="000808B2"/>
    <w:rsid w:val="00084B75"/>
    <w:rsid w:val="00084C03"/>
    <w:rsid w:val="00086228"/>
    <w:rsid w:val="0008691A"/>
    <w:rsid w:val="000874E6"/>
    <w:rsid w:val="0009145F"/>
    <w:rsid w:val="00091940"/>
    <w:rsid w:val="00093D4C"/>
    <w:rsid w:val="00094E7F"/>
    <w:rsid w:val="00095BB8"/>
    <w:rsid w:val="0009616C"/>
    <w:rsid w:val="000961A8"/>
    <w:rsid w:val="0009655E"/>
    <w:rsid w:val="000A11DC"/>
    <w:rsid w:val="000A2162"/>
    <w:rsid w:val="000A447C"/>
    <w:rsid w:val="000A4D06"/>
    <w:rsid w:val="000A4D38"/>
    <w:rsid w:val="000A5654"/>
    <w:rsid w:val="000B1338"/>
    <w:rsid w:val="000B1635"/>
    <w:rsid w:val="000B25A8"/>
    <w:rsid w:val="000B314F"/>
    <w:rsid w:val="000B48AD"/>
    <w:rsid w:val="000B5FDF"/>
    <w:rsid w:val="000B7EEC"/>
    <w:rsid w:val="000C1A69"/>
    <w:rsid w:val="000C20B2"/>
    <w:rsid w:val="000C261D"/>
    <w:rsid w:val="000C2D99"/>
    <w:rsid w:val="000C2DCC"/>
    <w:rsid w:val="000C4F9A"/>
    <w:rsid w:val="000C785E"/>
    <w:rsid w:val="000C78D7"/>
    <w:rsid w:val="000C7A40"/>
    <w:rsid w:val="000D1115"/>
    <w:rsid w:val="000D23CE"/>
    <w:rsid w:val="000D243F"/>
    <w:rsid w:val="000D5636"/>
    <w:rsid w:val="000E158A"/>
    <w:rsid w:val="000E2116"/>
    <w:rsid w:val="000E2AB0"/>
    <w:rsid w:val="000E3945"/>
    <w:rsid w:val="000E3E51"/>
    <w:rsid w:val="000E4070"/>
    <w:rsid w:val="000E6E8A"/>
    <w:rsid w:val="000E7B3A"/>
    <w:rsid w:val="000F1761"/>
    <w:rsid w:val="000F1A64"/>
    <w:rsid w:val="000F32D7"/>
    <w:rsid w:val="000F3B0D"/>
    <w:rsid w:val="000F464A"/>
    <w:rsid w:val="000F4816"/>
    <w:rsid w:val="000F4826"/>
    <w:rsid w:val="000F4EA0"/>
    <w:rsid w:val="000F53BE"/>
    <w:rsid w:val="000F5AF9"/>
    <w:rsid w:val="000F7E24"/>
    <w:rsid w:val="00100C55"/>
    <w:rsid w:val="00102602"/>
    <w:rsid w:val="001031DF"/>
    <w:rsid w:val="0010412B"/>
    <w:rsid w:val="00104281"/>
    <w:rsid w:val="001066E4"/>
    <w:rsid w:val="00106DA4"/>
    <w:rsid w:val="00107151"/>
    <w:rsid w:val="0010788D"/>
    <w:rsid w:val="00107EBA"/>
    <w:rsid w:val="0011042E"/>
    <w:rsid w:val="0011087E"/>
    <w:rsid w:val="00110DF5"/>
    <w:rsid w:val="00113BE7"/>
    <w:rsid w:val="00115BF3"/>
    <w:rsid w:val="00120883"/>
    <w:rsid w:val="001209CD"/>
    <w:rsid w:val="00124D6C"/>
    <w:rsid w:val="00124DB0"/>
    <w:rsid w:val="00126C6F"/>
    <w:rsid w:val="0013163D"/>
    <w:rsid w:val="0013287F"/>
    <w:rsid w:val="00133018"/>
    <w:rsid w:val="00133360"/>
    <w:rsid w:val="00133F12"/>
    <w:rsid w:val="00137A05"/>
    <w:rsid w:val="0014146C"/>
    <w:rsid w:val="00141E2B"/>
    <w:rsid w:val="001428F8"/>
    <w:rsid w:val="001431EB"/>
    <w:rsid w:val="0014376F"/>
    <w:rsid w:val="00143F0C"/>
    <w:rsid w:val="00145D90"/>
    <w:rsid w:val="00146697"/>
    <w:rsid w:val="00146F2C"/>
    <w:rsid w:val="00147097"/>
    <w:rsid w:val="00151521"/>
    <w:rsid w:val="001531F5"/>
    <w:rsid w:val="001534A9"/>
    <w:rsid w:val="00155169"/>
    <w:rsid w:val="001552A6"/>
    <w:rsid w:val="00155B79"/>
    <w:rsid w:val="00156A10"/>
    <w:rsid w:val="00157035"/>
    <w:rsid w:val="00160171"/>
    <w:rsid w:val="0016129C"/>
    <w:rsid w:val="001625D5"/>
    <w:rsid w:val="0016369C"/>
    <w:rsid w:val="00163E09"/>
    <w:rsid w:val="00164AF6"/>
    <w:rsid w:val="001676C0"/>
    <w:rsid w:val="00170771"/>
    <w:rsid w:val="00170A08"/>
    <w:rsid w:val="00171C87"/>
    <w:rsid w:val="00171FD7"/>
    <w:rsid w:val="001741DE"/>
    <w:rsid w:val="001752AA"/>
    <w:rsid w:val="00175402"/>
    <w:rsid w:val="001803F9"/>
    <w:rsid w:val="00180AE3"/>
    <w:rsid w:val="00181714"/>
    <w:rsid w:val="001821A4"/>
    <w:rsid w:val="00183B6B"/>
    <w:rsid w:val="00184558"/>
    <w:rsid w:val="001860EA"/>
    <w:rsid w:val="001869D1"/>
    <w:rsid w:val="00193259"/>
    <w:rsid w:val="00194E03"/>
    <w:rsid w:val="0019511C"/>
    <w:rsid w:val="00195572"/>
    <w:rsid w:val="001957EE"/>
    <w:rsid w:val="001A0720"/>
    <w:rsid w:val="001A118A"/>
    <w:rsid w:val="001A1C4E"/>
    <w:rsid w:val="001A240D"/>
    <w:rsid w:val="001A4712"/>
    <w:rsid w:val="001A64D5"/>
    <w:rsid w:val="001A70E0"/>
    <w:rsid w:val="001A7B5C"/>
    <w:rsid w:val="001B08F5"/>
    <w:rsid w:val="001B1CFE"/>
    <w:rsid w:val="001B237C"/>
    <w:rsid w:val="001B28BA"/>
    <w:rsid w:val="001B3B85"/>
    <w:rsid w:val="001B4E25"/>
    <w:rsid w:val="001B5EF5"/>
    <w:rsid w:val="001B6330"/>
    <w:rsid w:val="001C0E39"/>
    <w:rsid w:val="001C1DD5"/>
    <w:rsid w:val="001C4527"/>
    <w:rsid w:val="001D32A2"/>
    <w:rsid w:val="001D4B0F"/>
    <w:rsid w:val="001D6FDB"/>
    <w:rsid w:val="001E044A"/>
    <w:rsid w:val="001E1430"/>
    <w:rsid w:val="001E1CE8"/>
    <w:rsid w:val="001E2466"/>
    <w:rsid w:val="001E3748"/>
    <w:rsid w:val="001E4A5F"/>
    <w:rsid w:val="001E7F4A"/>
    <w:rsid w:val="001F180F"/>
    <w:rsid w:val="001F1D6C"/>
    <w:rsid w:val="001F2AE0"/>
    <w:rsid w:val="001F3B51"/>
    <w:rsid w:val="001F7D52"/>
    <w:rsid w:val="00201152"/>
    <w:rsid w:val="00201B69"/>
    <w:rsid w:val="00203E69"/>
    <w:rsid w:val="00204C99"/>
    <w:rsid w:val="00207425"/>
    <w:rsid w:val="002074CB"/>
    <w:rsid w:val="00207772"/>
    <w:rsid w:val="00212439"/>
    <w:rsid w:val="00212D33"/>
    <w:rsid w:val="00213817"/>
    <w:rsid w:val="00220292"/>
    <w:rsid w:val="002224CA"/>
    <w:rsid w:val="00223340"/>
    <w:rsid w:val="00223DBA"/>
    <w:rsid w:val="00224637"/>
    <w:rsid w:val="00224A86"/>
    <w:rsid w:val="00225DCF"/>
    <w:rsid w:val="00227F84"/>
    <w:rsid w:val="00232751"/>
    <w:rsid w:val="00233DF6"/>
    <w:rsid w:val="0023445E"/>
    <w:rsid w:val="002371E1"/>
    <w:rsid w:val="00237E68"/>
    <w:rsid w:val="002404E2"/>
    <w:rsid w:val="002415A0"/>
    <w:rsid w:val="002424B7"/>
    <w:rsid w:val="0025299A"/>
    <w:rsid w:val="002538A3"/>
    <w:rsid w:val="002545D2"/>
    <w:rsid w:val="00255A9B"/>
    <w:rsid w:val="00255AF1"/>
    <w:rsid w:val="00255BE8"/>
    <w:rsid w:val="00255D95"/>
    <w:rsid w:val="00257658"/>
    <w:rsid w:val="00260413"/>
    <w:rsid w:val="00262E98"/>
    <w:rsid w:val="00263480"/>
    <w:rsid w:val="00263BB3"/>
    <w:rsid w:val="00264812"/>
    <w:rsid w:val="002654AF"/>
    <w:rsid w:val="0026719E"/>
    <w:rsid w:val="00267999"/>
    <w:rsid w:val="00267CB2"/>
    <w:rsid w:val="00274CF5"/>
    <w:rsid w:val="00275292"/>
    <w:rsid w:val="00286528"/>
    <w:rsid w:val="00286BC8"/>
    <w:rsid w:val="00286DF3"/>
    <w:rsid w:val="00291922"/>
    <w:rsid w:val="00294618"/>
    <w:rsid w:val="00294B0A"/>
    <w:rsid w:val="00295365"/>
    <w:rsid w:val="0029720B"/>
    <w:rsid w:val="002A03DA"/>
    <w:rsid w:val="002A0E11"/>
    <w:rsid w:val="002B1694"/>
    <w:rsid w:val="002B190B"/>
    <w:rsid w:val="002B23BD"/>
    <w:rsid w:val="002B63B6"/>
    <w:rsid w:val="002B7A56"/>
    <w:rsid w:val="002B7B21"/>
    <w:rsid w:val="002C00AA"/>
    <w:rsid w:val="002C0731"/>
    <w:rsid w:val="002C350E"/>
    <w:rsid w:val="002C44AA"/>
    <w:rsid w:val="002C5056"/>
    <w:rsid w:val="002C6F55"/>
    <w:rsid w:val="002C7B46"/>
    <w:rsid w:val="002D0E4C"/>
    <w:rsid w:val="002D25A8"/>
    <w:rsid w:val="002D5237"/>
    <w:rsid w:val="002D5F67"/>
    <w:rsid w:val="002E1D1F"/>
    <w:rsid w:val="002E21AB"/>
    <w:rsid w:val="002E295A"/>
    <w:rsid w:val="002E3E20"/>
    <w:rsid w:val="002E4EB5"/>
    <w:rsid w:val="002E62CD"/>
    <w:rsid w:val="002E708E"/>
    <w:rsid w:val="002E7597"/>
    <w:rsid w:val="002E77B5"/>
    <w:rsid w:val="002F03E9"/>
    <w:rsid w:val="002F2326"/>
    <w:rsid w:val="002F3260"/>
    <w:rsid w:val="002F3AAD"/>
    <w:rsid w:val="002F6717"/>
    <w:rsid w:val="003014FD"/>
    <w:rsid w:val="00301E60"/>
    <w:rsid w:val="003033A2"/>
    <w:rsid w:val="003049C1"/>
    <w:rsid w:val="00306605"/>
    <w:rsid w:val="00306C76"/>
    <w:rsid w:val="00310DA6"/>
    <w:rsid w:val="00316B43"/>
    <w:rsid w:val="00317203"/>
    <w:rsid w:val="00317D0A"/>
    <w:rsid w:val="003204A2"/>
    <w:rsid w:val="003234CD"/>
    <w:rsid w:val="00327465"/>
    <w:rsid w:val="003303F7"/>
    <w:rsid w:val="00330970"/>
    <w:rsid w:val="00331B32"/>
    <w:rsid w:val="00331E7B"/>
    <w:rsid w:val="00333763"/>
    <w:rsid w:val="0033439A"/>
    <w:rsid w:val="003361F4"/>
    <w:rsid w:val="00336267"/>
    <w:rsid w:val="0033797F"/>
    <w:rsid w:val="003405F9"/>
    <w:rsid w:val="003411CA"/>
    <w:rsid w:val="00341CFE"/>
    <w:rsid w:val="00343841"/>
    <w:rsid w:val="00344FB9"/>
    <w:rsid w:val="003458E8"/>
    <w:rsid w:val="00345F57"/>
    <w:rsid w:val="00350920"/>
    <w:rsid w:val="003514B6"/>
    <w:rsid w:val="00352618"/>
    <w:rsid w:val="00352AA1"/>
    <w:rsid w:val="003547E2"/>
    <w:rsid w:val="00360C60"/>
    <w:rsid w:val="00361784"/>
    <w:rsid w:val="0036323F"/>
    <w:rsid w:val="0036342B"/>
    <w:rsid w:val="003700B5"/>
    <w:rsid w:val="00370629"/>
    <w:rsid w:val="00370CAE"/>
    <w:rsid w:val="003714B7"/>
    <w:rsid w:val="00371B26"/>
    <w:rsid w:val="00372C75"/>
    <w:rsid w:val="00372CCB"/>
    <w:rsid w:val="00373C80"/>
    <w:rsid w:val="00374402"/>
    <w:rsid w:val="00374B58"/>
    <w:rsid w:val="00375882"/>
    <w:rsid w:val="00376023"/>
    <w:rsid w:val="00376167"/>
    <w:rsid w:val="003770E9"/>
    <w:rsid w:val="003773D4"/>
    <w:rsid w:val="00377C92"/>
    <w:rsid w:val="003820C0"/>
    <w:rsid w:val="003846BE"/>
    <w:rsid w:val="00384D54"/>
    <w:rsid w:val="003859EE"/>
    <w:rsid w:val="003867BD"/>
    <w:rsid w:val="00386FC7"/>
    <w:rsid w:val="0039110C"/>
    <w:rsid w:val="00391ED9"/>
    <w:rsid w:val="00393846"/>
    <w:rsid w:val="0039486D"/>
    <w:rsid w:val="00395C14"/>
    <w:rsid w:val="0039644A"/>
    <w:rsid w:val="00396BD9"/>
    <w:rsid w:val="00397D15"/>
    <w:rsid w:val="003A120C"/>
    <w:rsid w:val="003A12FD"/>
    <w:rsid w:val="003A436E"/>
    <w:rsid w:val="003A4962"/>
    <w:rsid w:val="003A6293"/>
    <w:rsid w:val="003A704B"/>
    <w:rsid w:val="003B1044"/>
    <w:rsid w:val="003B34A9"/>
    <w:rsid w:val="003B4ED5"/>
    <w:rsid w:val="003B6C77"/>
    <w:rsid w:val="003B7692"/>
    <w:rsid w:val="003C22AF"/>
    <w:rsid w:val="003C2E65"/>
    <w:rsid w:val="003C41B2"/>
    <w:rsid w:val="003C747A"/>
    <w:rsid w:val="003D175D"/>
    <w:rsid w:val="003D1A35"/>
    <w:rsid w:val="003D4270"/>
    <w:rsid w:val="003D4F72"/>
    <w:rsid w:val="003D6B10"/>
    <w:rsid w:val="003E1BFD"/>
    <w:rsid w:val="003E2AEA"/>
    <w:rsid w:val="003E2C26"/>
    <w:rsid w:val="003E4468"/>
    <w:rsid w:val="003E5C32"/>
    <w:rsid w:val="003E79D8"/>
    <w:rsid w:val="003F1508"/>
    <w:rsid w:val="003F18B5"/>
    <w:rsid w:val="003F2C61"/>
    <w:rsid w:val="003F3B47"/>
    <w:rsid w:val="003F5BAA"/>
    <w:rsid w:val="003F67A9"/>
    <w:rsid w:val="003F7C0B"/>
    <w:rsid w:val="003F7EF1"/>
    <w:rsid w:val="00401257"/>
    <w:rsid w:val="00405C67"/>
    <w:rsid w:val="0040745F"/>
    <w:rsid w:val="004102C3"/>
    <w:rsid w:val="00411212"/>
    <w:rsid w:val="00415BB3"/>
    <w:rsid w:val="00416455"/>
    <w:rsid w:val="00420ACB"/>
    <w:rsid w:val="00424765"/>
    <w:rsid w:val="00426590"/>
    <w:rsid w:val="00427849"/>
    <w:rsid w:val="0043068E"/>
    <w:rsid w:val="00432FC7"/>
    <w:rsid w:val="004349BE"/>
    <w:rsid w:val="00434F17"/>
    <w:rsid w:val="00435868"/>
    <w:rsid w:val="00436C86"/>
    <w:rsid w:val="00436FFE"/>
    <w:rsid w:val="00437102"/>
    <w:rsid w:val="00437723"/>
    <w:rsid w:val="00440727"/>
    <w:rsid w:val="0044178D"/>
    <w:rsid w:val="00442975"/>
    <w:rsid w:val="00444224"/>
    <w:rsid w:val="0044516F"/>
    <w:rsid w:val="00445602"/>
    <w:rsid w:val="00445BB3"/>
    <w:rsid w:val="004462D4"/>
    <w:rsid w:val="00450358"/>
    <w:rsid w:val="00452056"/>
    <w:rsid w:val="0045521C"/>
    <w:rsid w:val="004556FA"/>
    <w:rsid w:val="00455AE6"/>
    <w:rsid w:val="00456B58"/>
    <w:rsid w:val="004647AD"/>
    <w:rsid w:val="0047108D"/>
    <w:rsid w:val="00472F1E"/>
    <w:rsid w:val="00474DC8"/>
    <w:rsid w:val="00475C2A"/>
    <w:rsid w:val="00477616"/>
    <w:rsid w:val="004814F3"/>
    <w:rsid w:val="00481D48"/>
    <w:rsid w:val="00485881"/>
    <w:rsid w:val="00486442"/>
    <w:rsid w:val="004877F5"/>
    <w:rsid w:val="00487887"/>
    <w:rsid w:val="00490FA5"/>
    <w:rsid w:val="00493A4A"/>
    <w:rsid w:val="0049609F"/>
    <w:rsid w:val="004A022E"/>
    <w:rsid w:val="004A156C"/>
    <w:rsid w:val="004A3236"/>
    <w:rsid w:val="004A408A"/>
    <w:rsid w:val="004A4F13"/>
    <w:rsid w:val="004A5DA5"/>
    <w:rsid w:val="004A61F5"/>
    <w:rsid w:val="004A6A09"/>
    <w:rsid w:val="004A7187"/>
    <w:rsid w:val="004B0156"/>
    <w:rsid w:val="004B0A3D"/>
    <w:rsid w:val="004B0B5E"/>
    <w:rsid w:val="004B1FBC"/>
    <w:rsid w:val="004B4239"/>
    <w:rsid w:val="004B5024"/>
    <w:rsid w:val="004B510A"/>
    <w:rsid w:val="004B5BDF"/>
    <w:rsid w:val="004B6E89"/>
    <w:rsid w:val="004C2C99"/>
    <w:rsid w:val="004C37DF"/>
    <w:rsid w:val="004C73FE"/>
    <w:rsid w:val="004C7628"/>
    <w:rsid w:val="004D03E2"/>
    <w:rsid w:val="004D2064"/>
    <w:rsid w:val="004D3433"/>
    <w:rsid w:val="004D5052"/>
    <w:rsid w:val="004D6CE1"/>
    <w:rsid w:val="004D712A"/>
    <w:rsid w:val="004D72C6"/>
    <w:rsid w:val="004E1866"/>
    <w:rsid w:val="004E18F1"/>
    <w:rsid w:val="004E2197"/>
    <w:rsid w:val="004E291E"/>
    <w:rsid w:val="004E40F3"/>
    <w:rsid w:val="004E4810"/>
    <w:rsid w:val="004E4D6D"/>
    <w:rsid w:val="004E4E5E"/>
    <w:rsid w:val="004E693F"/>
    <w:rsid w:val="004E79D3"/>
    <w:rsid w:val="004F0959"/>
    <w:rsid w:val="004F0B41"/>
    <w:rsid w:val="004F4AC3"/>
    <w:rsid w:val="004F55F4"/>
    <w:rsid w:val="00503774"/>
    <w:rsid w:val="00504757"/>
    <w:rsid w:val="00506B09"/>
    <w:rsid w:val="00507526"/>
    <w:rsid w:val="0050753C"/>
    <w:rsid w:val="005078A1"/>
    <w:rsid w:val="00510774"/>
    <w:rsid w:val="00511A89"/>
    <w:rsid w:val="005135E3"/>
    <w:rsid w:val="005143A0"/>
    <w:rsid w:val="00515584"/>
    <w:rsid w:val="00522811"/>
    <w:rsid w:val="00522C53"/>
    <w:rsid w:val="005243EC"/>
    <w:rsid w:val="00531A3A"/>
    <w:rsid w:val="00534C43"/>
    <w:rsid w:val="005400A7"/>
    <w:rsid w:val="00542E32"/>
    <w:rsid w:val="005430B6"/>
    <w:rsid w:val="00552B57"/>
    <w:rsid w:val="00553934"/>
    <w:rsid w:val="0055586D"/>
    <w:rsid w:val="0055686F"/>
    <w:rsid w:val="00556B98"/>
    <w:rsid w:val="005576BF"/>
    <w:rsid w:val="00557C09"/>
    <w:rsid w:val="0056341C"/>
    <w:rsid w:val="0056615A"/>
    <w:rsid w:val="005724F1"/>
    <w:rsid w:val="00574909"/>
    <w:rsid w:val="00575124"/>
    <w:rsid w:val="0057597A"/>
    <w:rsid w:val="005763A0"/>
    <w:rsid w:val="00576D59"/>
    <w:rsid w:val="005827E4"/>
    <w:rsid w:val="005830CE"/>
    <w:rsid w:val="00583368"/>
    <w:rsid w:val="00584A63"/>
    <w:rsid w:val="005923A3"/>
    <w:rsid w:val="00592AA6"/>
    <w:rsid w:val="0059440E"/>
    <w:rsid w:val="005953A1"/>
    <w:rsid w:val="00597002"/>
    <w:rsid w:val="005A0D44"/>
    <w:rsid w:val="005A1058"/>
    <w:rsid w:val="005A27F5"/>
    <w:rsid w:val="005A465F"/>
    <w:rsid w:val="005A4A44"/>
    <w:rsid w:val="005A539E"/>
    <w:rsid w:val="005A6E89"/>
    <w:rsid w:val="005B0491"/>
    <w:rsid w:val="005B40D8"/>
    <w:rsid w:val="005B47AC"/>
    <w:rsid w:val="005B59EC"/>
    <w:rsid w:val="005B5DD9"/>
    <w:rsid w:val="005B7C71"/>
    <w:rsid w:val="005C035A"/>
    <w:rsid w:val="005C2876"/>
    <w:rsid w:val="005C2FB8"/>
    <w:rsid w:val="005C345E"/>
    <w:rsid w:val="005C492B"/>
    <w:rsid w:val="005C7ED6"/>
    <w:rsid w:val="005D14FB"/>
    <w:rsid w:val="005D2510"/>
    <w:rsid w:val="005D3854"/>
    <w:rsid w:val="005D4557"/>
    <w:rsid w:val="005D4C9B"/>
    <w:rsid w:val="005D5C51"/>
    <w:rsid w:val="005D74FF"/>
    <w:rsid w:val="005E24FE"/>
    <w:rsid w:val="005E4AF0"/>
    <w:rsid w:val="005E67AB"/>
    <w:rsid w:val="005E7FF6"/>
    <w:rsid w:val="005F2C6F"/>
    <w:rsid w:val="005F2E5D"/>
    <w:rsid w:val="005F4D8A"/>
    <w:rsid w:val="005F5D24"/>
    <w:rsid w:val="005F630A"/>
    <w:rsid w:val="005F6F70"/>
    <w:rsid w:val="005F7E7D"/>
    <w:rsid w:val="0060000E"/>
    <w:rsid w:val="00601DC8"/>
    <w:rsid w:val="00602E43"/>
    <w:rsid w:val="006036A5"/>
    <w:rsid w:val="00603E5D"/>
    <w:rsid w:val="00603F09"/>
    <w:rsid w:val="00605C06"/>
    <w:rsid w:val="0060627B"/>
    <w:rsid w:val="00606D75"/>
    <w:rsid w:val="0061026E"/>
    <w:rsid w:val="00610E2E"/>
    <w:rsid w:val="006119C6"/>
    <w:rsid w:val="0061347A"/>
    <w:rsid w:val="00614464"/>
    <w:rsid w:val="00615463"/>
    <w:rsid w:val="0061672C"/>
    <w:rsid w:val="00620976"/>
    <w:rsid w:val="00621FC2"/>
    <w:rsid w:val="0062233E"/>
    <w:rsid w:val="00622D4A"/>
    <w:rsid w:val="00623AD2"/>
    <w:rsid w:val="00624390"/>
    <w:rsid w:val="006249BC"/>
    <w:rsid w:val="00627B84"/>
    <w:rsid w:val="00630BAA"/>
    <w:rsid w:val="00630BCB"/>
    <w:rsid w:val="00630EAF"/>
    <w:rsid w:val="00630F15"/>
    <w:rsid w:val="0063128D"/>
    <w:rsid w:val="0063346F"/>
    <w:rsid w:val="0063532C"/>
    <w:rsid w:val="00635ABF"/>
    <w:rsid w:val="00636963"/>
    <w:rsid w:val="006418E4"/>
    <w:rsid w:val="00641B92"/>
    <w:rsid w:val="00641D65"/>
    <w:rsid w:val="00642DFB"/>
    <w:rsid w:val="00644BCB"/>
    <w:rsid w:val="00645C27"/>
    <w:rsid w:val="00645E22"/>
    <w:rsid w:val="00646D78"/>
    <w:rsid w:val="00650A4E"/>
    <w:rsid w:val="00650AB9"/>
    <w:rsid w:val="00652064"/>
    <w:rsid w:val="0065247A"/>
    <w:rsid w:val="00654274"/>
    <w:rsid w:val="006549BF"/>
    <w:rsid w:val="00654A6A"/>
    <w:rsid w:val="0066147B"/>
    <w:rsid w:val="00664D4D"/>
    <w:rsid w:val="00665693"/>
    <w:rsid w:val="006662F7"/>
    <w:rsid w:val="00666CA0"/>
    <w:rsid w:val="00667E5E"/>
    <w:rsid w:val="0067102D"/>
    <w:rsid w:val="006719E4"/>
    <w:rsid w:val="00673A43"/>
    <w:rsid w:val="006740DB"/>
    <w:rsid w:val="00674744"/>
    <w:rsid w:val="0067628F"/>
    <w:rsid w:val="00677434"/>
    <w:rsid w:val="006809E4"/>
    <w:rsid w:val="006825EC"/>
    <w:rsid w:val="006826FB"/>
    <w:rsid w:val="00682CCB"/>
    <w:rsid w:val="006833E5"/>
    <w:rsid w:val="00683C68"/>
    <w:rsid w:val="00687B6C"/>
    <w:rsid w:val="006924FF"/>
    <w:rsid w:val="0069282C"/>
    <w:rsid w:val="006938D4"/>
    <w:rsid w:val="00695917"/>
    <w:rsid w:val="00695BBE"/>
    <w:rsid w:val="0069782D"/>
    <w:rsid w:val="006A0B8B"/>
    <w:rsid w:val="006A48D7"/>
    <w:rsid w:val="006A5153"/>
    <w:rsid w:val="006A5CDD"/>
    <w:rsid w:val="006A6E84"/>
    <w:rsid w:val="006B03D8"/>
    <w:rsid w:val="006B634B"/>
    <w:rsid w:val="006C151E"/>
    <w:rsid w:val="006C1A7E"/>
    <w:rsid w:val="006C74DF"/>
    <w:rsid w:val="006D00AB"/>
    <w:rsid w:val="006D1286"/>
    <w:rsid w:val="006D38D1"/>
    <w:rsid w:val="006D3C70"/>
    <w:rsid w:val="006D3EC1"/>
    <w:rsid w:val="006D508D"/>
    <w:rsid w:val="006D545F"/>
    <w:rsid w:val="006E2F04"/>
    <w:rsid w:val="006E54E3"/>
    <w:rsid w:val="006E5606"/>
    <w:rsid w:val="006E7B47"/>
    <w:rsid w:val="006F10E5"/>
    <w:rsid w:val="006F210F"/>
    <w:rsid w:val="006F3A15"/>
    <w:rsid w:val="006F4A8A"/>
    <w:rsid w:val="00700EF3"/>
    <w:rsid w:val="00701046"/>
    <w:rsid w:val="00705EDB"/>
    <w:rsid w:val="0071274D"/>
    <w:rsid w:val="007142F8"/>
    <w:rsid w:val="007145C1"/>
    <w:rsid w:val="00715837"/>
    <w:rsid w:val="0071758C"/>
    <w:rsid w:val="0072159D"/>
    <w:rsid w:val="007217BF"/>
    <w:rsid w:val="007226AD"/>
    <w:rsid w:val="0072540B"/>
    <w:rsid w:val="00725FD1"/>
    <w:rsid w:val="0073129A"/>
    <w:rsid w:val="00732558"/>
    <w:rsid w:val="007341D3"/>
    <w:rsid w:val="00734FFC"/>
    <w:rsid w:val="0073524A"/>
    <w:rsid w:val="00737F9D"/>
    <w:rsid w:val="00742D9F"/>
    <w:rsid w:val="007430EE"/>
    <w:rsid w:val="007500F6"/>
    <w:rsid w:val="007508F0"/>
    <w:rsid w:val="00751815"/>
    <w:rsid w:val="0075376C"/>
    <w:rsid w:val="00754194"/>
    <w:rsid w:val="007541CB"/>
    <w:rsid w:val="00754627"/>
    <w:rsid w:val="00754641"/>
    <w:rsid w:val="00756CCE"/>
    <w:rsid w:val="007601E0"/>
    <w:rsid w:val="00760A8E"/>
    <w:rsid w:val="00761AD8"/>
    <w:rsid w:val="007624A2"/>
    <w:rsid w:val="00763646"/>
    <w:rsid w:val="00764E04"/>
    <w:rsid w:val="00766022"/>
    <w:rsid w:val="00766D23"/>
    <w:rsid w:val="00770373"/>
    <w:rsid w:val="007739C2"/>
    <w:rsid w:val="00774328"/>
    <w:rsid w:val="00774AB8"/>
    <w:rsid w:val="007763F1"/>
    <w:rsid w:val="00776576"/>
    <w:rsid w:val="00777D92"/>
    <w:rsid w:val="00784689"/>
    <w:rsid w:val="00786B05"/>
    <w:rsid w:val="00793B19"/>
    <w:rsid w:val="00793DA6"/>
    <w:rsid w:val="0079460B"/>
    <w:rsid w:val="00794B77"/>
    <w:rsid w:val="007967AF"/>
    <w:rsid w:val="007A071D"/>
    <w:rsid w:val="007A12AA"/>
    <w:rsid w:val="007A3719"/>
    <w:rsid w:val="007A54D4"/>
    <w:rsid w:val="007A75C4"/>
    <w:rsid w:val="007B2FDA"/>
    <w:rsid w:val="007B3359"/>
    <w:rsid w:val="007B5870"/>
    <w:rsid w:val="007B5A43"/>
    <w:rsid w:val="007B61C8"/>
    <w:rsid w:val="007B7702"/>
    <w:rsid w:val="007C44AE"/>
    <w:rsid w:val="007C459F"/>
    <w:rsid w:val="007C5710"/>
    <w:rsid w:val="007C68DE"/>
    <w:rsid w:val="007D1CEB"/>
    <w:rsid w:val="007D1F49"/>
    <w:rsid w:val="007D2555"/>
    <w:rsid w:val="007D2697"/>
    <w:rsid w:val="007D2967"/>
    <w:rsid w:val="007D3CB4"/>
    <w:rsid w:val="007D4214"/>
    <w:rsid w:val="007D4FA0"/>
    <w:rsid w:val="007D57BC"/>
    <w:rsid w:val="007E27D9"/>
    <w:rsid w:val="007E2ADA"/>
    <w:rsid w:val="007E54AA"/>
    <w:rsid w:val="007E5676"/>
    <w:rsid w:val="007E5BE8"/>
    <w:rsid w:val="007E62D3"/>
    <w:rsid w:val="007F0B2A"/>
    <w:rsid w:val="007F1135"/>
    <w:rsid w:val="007F207C"/>
    <w:rsid w:val="007F2DA1"/>
    <w:rsid w:val="007F608D"/>
    <w:rsid w:val="007F6B16"/>
    <w:rsid w:val="008024C4"/>
    <w:rsid w:val="0080533E"/>
    <w:rsid w:val="00805640"/>
    <w:rsid w:val="008107E5"/>
    <w:rsid w:val="00811022"/>
    <w:rsid w:val="008140E4"/>
    <w:rsid w:val="00814C47"/>
    <w:rsid w:val="00815F00"/>
    <w:rsid w:val="00816599"/>
    <w:rsid w:val="008214C7"/>
    <w:rsid w:val="00821861"/>
    <w:rsid w:val="008262ED"/>
    <w:rsid w:val="00826E80"/>
    <w:rsid w:val="0082797A"/>
    <w:rsid w:val="00827D58"/>
    <w:rsid w:val="00830155"/>
    <w:rsid w:val="0083028A"/>
    <w:rsid w:val="008317FD"/>
    <w:rsid w:val="00831A7E"/>
    <w:rsid w:val="00831D0A"/>
    <w:rsid w:val="008321E3"/>
    <w:rsid w:val="008332B8"/>
    <w:rsid w:val="008343CA"/>
    <w:rsid w:val="00834722"/>
    <w:rsid w:val="00834B21"/>
    <w:rsid w:val="008367D1"/>
    <w:rsid w:val="00840340"/>
    <w:rsid w:val="0084241A"/>
    <w:rsid w:val="00842E9B"/>
    <w:rsid w:val="00843121"/>
    <w:rsid w:val="008436CF"/>
    <w:rsid w:val="00843D58"/>
    <w:rsid w:val="00844C83"/>
    <w:rsid w:val="00845126"/>
    <w:rsid w:val="0084555F"/>
    <w:rsid w:val="008466ED"/>
    <w:rsid w:val="00852220"/>
    <w:rsid w:val="008611A4"/>
    <w:rsid w:val="008616FE"/>
    <w:rsid w:val="00862243"/>
    <w:rsid w:val="00863A2D"/>
    <w:rsid w:val="008641C7"/>
    <w:rsid w:val="008641DE"/>
    <w:rsid w:val="00864C66"/>
    <w:rsid w:val="00866595"/>
    <w:rsid w:val="0087167A"/>
    <w:rsid w:val="00871CCC"/>
    <w:rsid w:val="00873920"/>
    <w:rsid w:val="008760B8"/>
    <w:rsid w:val="00877E65"/>
    <w:rsid w:val="00877FE2"/>
    <w:rsid w:val="00880647"/>
    <w:rsid w:val="00880FD3"/>
    <w:rsid w:val="00884392"/>
    <w:rsid w:val="00884A89"/>
    <w:rsid w:val="00884F0B"/>
    <w:rsid w:val="008853AB"/>
    <w:rsid w:val="00885584"/>
    <w:rsid w:val="008916DC"/>
    <w:rsid w:val="00893570"/>
    <w:rsid w:val="00895481"/>
    <w:rsid w:val="008A543E"/>
    <w:rsid w:val="008A662B"/>
    <w:rsid w:val="008A7DDB"/>
    <w:rsid w:val="008B059A"/>
    <w:rsid w:val="008B0B3C"/>
    <w:rsid w:val="008B2E12"/>
    <w:rsid w:val="008B34AE"/>
    <w:rsid w:val="008C0FC8"/>
    <w:rsid w:val="008C6095"/>
    <w:rsid w:val="008C6E83"/>
    <w:rsid w:val="008D2979"/>
    <w:rsid w:val="008D5D71"/>
    <w:rsid w:val="008D5E0E"/>
    <w:rsid w:val="008D68DB"/>
    <w:rsid w:val="008E0681"/>
    <w:rsid w:val="008E0B22"/>
    <w:rsid w:val="008E0CE9"/>
    <w:rsid w:val="008E156D"/>
    <w:rsid w:val="008E3F98"/>
    <w:rsid w:val="008E6638"/>
    <w:rsid w:val="008E687E"/>
    <w:rsid w:val="008F03C4"/>
    <w:rsid w:val="008F0E6E"/>
    <w:rsid w:val="008F20BA"/>
    <w:rsid w:val="009010F8"/>
    <w:rsid w:val="00901335"/>
    <w:rsid w:val="00901EDD"/>
    <w:rsid w:val="00901FD6"/>
    <w:rsid w:val="00902BC3"/>
    <w:rsid w:val="00903894"/>
    <w:rsid w:val="00903BC7"/>
    <w:rsid w:val="00904326"/>
    <w:rsid w:val="00904D4D"/>
    <w:rsid w:val="00905B66"/>
    <w:rsid w:val="00906526"/>
    <w:rsid w:val="00906F2D"/>
    <w:rsid w:val="0090710F"/>
    <w:rsid w:val="009106D6"/>
    <w:rsid w:val="00910708"/>
    <w:rsid w:val="00913135"/>
    <w:rsid w:val="009155B2"/>
    <w:rsid w:val="00915F75"/>
    <w:rsid w:val="009222FD"/>
    <w:rsid w:val="00924276"/>
    <w:rsid w:val="00924802"/>
    <w:rsid w:val="00926BFA"/>
    <w:rsid w:val="00930054"/>
    <w:rsid w:val="009320BB"/>
    <w:rsid w:val="00934344"/>
    <w:rsid w:val="00941A75"/>
    <w:rsid w:val="00942A14"/>
    <w:rsid w:val="009431AA"/>
    <w:rsid w:val="0094330E"/>
    <w:rsid w:val="00944CE2"/>
    <w:rsid w:val="00945F7D"/>
    <w:rsid w:val="00946CE0"/>
    <w:rsid w:val="00947D3C"/>
    <w:rsid w:val="00951540"/>
    <w:rsid w:val="00951D5D"/>
    <w:rsid w:val="00951E8D"/>
    <w:rsid w:val="009525CE"/>
    <w:rsid w:val="00953EBF"/>
    <w:rsid w:val="009540D4"/>
    <w:rsid w:val="0095417E"/>
    <w:rsid w:val="00955617"/>
    <w:rsid w:val="00955EF9"/>
    <w:rsid w:val="0096217A"/>
    <w:rsid w:val="00962435"/>
    <w:rsid w:val="0096327A"/>
    <w:rsid w:val="00964EE9"/>
    <w:rsid w:val="00966535"/>
    <w:rsid w:val="00966F16"/>
    <w:rsid w:val="009747AF"/>
    <w:rsid w:val="009758BF"/>
    <w:rsid w:val="009768AD"/>
    <w:rsid w:val="00976987"/>
    <w:rsid w:val="00976E45"/>
    <w:rsid w:val="009817D7"/>
    <w:rsid w:val="0098182B"/>
    <w:rsid w:val="00982B2D"/>
    <w:rsid w:val="00984E58"/>
    <w:rsid w:val="00984E8D"/>
    <w:rsid w:val="00992347"/>
    <w:rsid w:val="00994641"/>
    <w:rsid w:val="0099484A"/>
    <w:rsid w:val="00995FB9"/>
    <w:rsid w:val="0099625F"/>
    <w:rsid w:val="00996438"/>
    <w:rsid w:val="009A2B13"/>
    <w:rsid w:val="009A3BD2"/>
    <w:rsid w:val="009A3C80"/>
    <w:rsid w:val="009A72FF"/>
    <w:rsid w:val="009A7D96"/>
    <w:rsid w:val="009B0379"/>
    <w:rsid w:val="009B0866"/>
    <w:rsid w:val="009B3D32"/>
    <w:rsid w:val="009B5D6C"/>
    <w:rsid w:val="009C06C0"/>
    <w:rsid w:val="009C75C5"/>
    <w:rsid w:val="009C7615"/>
    <w:rsid w:val="009C7833"/>
    <w:rsid w:val="009D091B"/>
    <w:rsid w:val="009D108E"/>
    <w:rsid w:val="009D2BC3"/>
    <w:rsid w:val="009D3654"/>
    <w:rsid w:val="009D5508"/>
    <w:rsid w:val="009D6CD8"/>
    <w:rsid w:val="009D6E7F"/>
    <w:rsid w:val="009E02C8"/>
    <w:rsid w:val="009E0332"/>
    <w:rsid w:val="009E0808"/>
    <w:rsid w:val="009E1B2B"/>
    <w:rsid w:val="009E2381"/>
    <w:rsid w:val="009E5506"/>
    <w:rsid w:val="009E67AC"/>
    <w:rsid w:val="009E6A57"/>
    <w:rsid w:val="009E792D"/>
    <w:rsid w:val="009E7CEC"/>
    <w:rsid w:val="009F31FF"/>
    <w:rsid w:val="009F341F"/>
    <w:rsid w:val="009F4310"/>
    <w:rsid w:val="009F46FB"/>
    <w:rsid w:val="009F491E"/>
    <w:rsid w:val="009F596A"/>
    <w:rsid w:val="009F7A0F"/>
    <w:rsid w:val="00A00395"/>
    <w:rsid w:val="00A01742"/>
    <w:rsid w:val="00A01C20"/>
    <w:rsid w:val="00A02BB2"/>
    <w:rsid w:val="00A03B43"/>
    <w:rsid w:val="00A06279"/>
    <w:rsid w:val="00A070E0"/>
    <w:rsid w:val="00A102F4"/>
    <w:rsid w:val="00A104C4"/>
    <w:rsid w:val="00A10915"/>
    <w:rsid w:val="00A10B3D"/>
    <w:rsid w:val="00A11929"/>
    <w:rsid w:val="00A1228E"/>
    <w:rsid w:val="00A13898"/>
    <w:rsid w:val="00A13ADD"/>
    <w:rsid w:val="00A1494E"/>
    <w:rsid w:val="00A15B5C"/>
    <w:rsid w:val="00A15CD1"/>
    <w:rsid w:val="00A16D0F"/>
    <w:rsid w:val="00A1776D"/>
    <w:rsid w:val="00A2006C"/>
    <w:rsid w:val="00A20E06"/>
    <w:rsid w:val="00A2112B"/>
    <w:rsid w:val="00A24F5F"/>
    <w:rsid w:val="00A2614E"/>
    <w:rsid w:val="00A279CB"/>
    <w:rsid w:val="00A27AC9"/>
    <w:rsid w:val="00A30FE4"/>
    <w:rsid w:val="00A31004"/>
    <w:rsid w:val="00A331B2"/>
    <w:rsid w:val="00A3443E"/>
    <w:rsid w:val="00A3554C"/>
    <w:rsid w:val="00A36530"/>
    <w:rsid w:val="00A4036B"/>
    <w:rsid w:val="00A40AF7"/>
    <w:rsid w:val="00A40B08"/>
    <w:rsid w:val="00A42157"/>
    <w:rsid w:val="00A44BB4"/>
    <w:rsid w:val="00A45A54"/>
    <w:rsid w:val="00A470F9"/>
    <w:rsid w:val="00A52308"/>
    <w:rsid w:val="00A531B0"/>
    <w:rsid w:val="00A539EB"/>
    <w:rsid w:val="00A54222"/>
    <w:rsid w:val="00A546D7"/>
    <w:rsid w:val="00A62135"/>
    <w:rsid w:val="00A629DC"/>
    <w:rsid w:val="00A62DE2"/>
    <w:rsid w:val="00A62DFF"/>
    <w:rsid w:val="00A64F0B"/>
    <w:rsid w:val="00A662B3"/>
    <w:rsid w:val="00A704D2"/>
    <w:rsid w:val="00A7190E"/>
    <w:rsid w:val="00A72805"/>
    <w:rsid w:val="00A77848"/>
    <w:rsid w:val="00A80951"/>
    <w:rsid w:val="00A82795"/>
    <w:rsid w:val="00A84105"/>
    <w:rsid w:val="00A841EA"/>
    <w:rsid w:val="00A84767"/>
    <w:rsid w:val="00A84B66"/>
    <w:rsid w:val="00A862D6"/>
    <w:rsid w:val="00A9123C"/>
    <w:rsid w:val="00A92016"/>
    <w:rsid w:val="00A93C31"/>
    <w:rsid w:val="00A94032"/>
    <w:rsid w:val="00A94985"/>
    <w:rsid w:val="00A94A11"/>
    <w:rsid w:val="00A94ECA"/>
    <w:rsid w:val="00A95613"/>
    <w:rsid w:val="00AA0556"/>
    <w:rsid w:val="00AA2610"/>
    <w:rsid w:val="00AA68B1"/>
    <w:rsid w:val="00AA7ED2"/>
    <w:rsid w:val="00AB0D80"/>
    <w:rsid w:val="00AB1D48"/>
    <w:rsid w:val="00AB1FDE"/>
    <w:rsid w:val="00AB56C1"/>
    <w:rsid w:val="00AC4632"/>
    <w:rsid w:val="00AC61F4"/>
    <w:rsid w:val="00AC6288"/>
    <w:rsid w:val="00AD05C6"/>
    <w:rsid w:val="00AD20C7"/>
    <w:rsid w:val="00AD3B20"/>
    <w:rsid w:val="00AD4F9A"/>
    <w:rsid w:val="00AD5892"/>
    <w:rsid w:val="00AD5896"/>
    <w:rsid w:val="00AD598C"/>
    <w:rsid w:val="00AD7F41"/>
    <w:rsid w:val="00AE27F7"/>
    <w:rsid w:val="00AE3350"/>
    <w:rsid w:val="00AE4530"/>
    <w:rsid w:val="00AE49A7"/>
    <w:rsid w:val="00AE74C6"/>
    <w:rsid w:val="00AE7D16"/>
    <w:rsid w:val="00AF118B"/>
    <w:rsid w:val="00AF2582"/>
    <w:rsid w:val="00AF51CE"/>
    <w:rsid w:val="00B021E4"/>
    <w:rsid w:val="00B04FC8"/>
    <w:rsid w:val="00B053F3"/>
    <w:rsid w:val="00B05D28"/>
    <w:rsid w:val="00B05E1A"/>
    <w:rsid w:val="00B0695E"/>
    <w:rsid w:val="00B06C9D"/>
    <w:rsid w:val="00B07764"/>
    <w:rsid w:val="00B14FAB"/>
    <w:rsid w:val="00B16114"/>
    <w:rsid w:val="00B1633F"/>
    <w:rsid w:val="00B16AA1"/>
    <w:rsid w:val="00B1772F"/>
    <w:rsid w:val="00B20EE6"/>
    <w:rsid w:val="00B212F3"/>
    <w:rsid w:val="00B21FB4"/>
    <w:rsid w:val="00B24390"/>
    <w:rsid w:val="00B26025"/>
    <w:rsid w:val="00B27CBB"/>
    <w:rsid w:val="00B3013F"/>
    <w:rsid w:val="00B3315F"/>
    <w:rsid w:val="00B33C5C"/>
    <w:rsid w:val="00B34229"/>
    <w:rsid w:val="00B346B1"/>
    <w:rsid w:val="00B348A9"/>
    <w:rsid w:val="00B350A2"/>
    <w:rsid w:val="00B36D61"/>
    <w:rsid w:val="00B37983"/>
    <w:rsid w:val="00B37EF5"/>
    <w:rsid w:val="00B41BA1"/>
    <w:rsid w:val="00B426C2"/>
    <w:rsid w:val="00B444C3"/>
    <w:rsid w:val="00B44C8D"/>
    <w:rsid w:val="00B4624C"/>
    <w:rsid w:val="00B46E92"/>
    <w:rsid w:val="00B52F00"/>
    <w:rsid w:val="00B53BCA"/>
    <w:rsid w:val="00B53E63"/>
    <w:rsid w:val="00B55BBB"/>
    <w:rsid w:val="00B564A6"/>
    <w:rsid w:val="00B56A8C"/>
    <w:rsid w:val="00B5773C"/>
    <w:rsid w:val="00B57F5B"/>
    <w:rsid w:val="00B62800"/>
    <w:rsid w:val="00B65C03"/>
    <w:rsid w:val="00B670C1"/>
    <w:rsid w:val="00B67F5A"/>
    <w:rsid w:val="00B711AC"/>
    <w:rsid w:val="00B71213"/>
    <w:rsid w:val="00B71334"/>
    <w:rsid w:val="00B7475E"/>
    <w:rsid w:val="00B75300"/>
    <w:rsid w:val="00B77D2B"/>
    <w:rsid w:val="00B80491"/>
    <w:rsid w:val="00B82E0C"/>
    <w:rsid w:val="00B83433"/>
    <w:rsid w:val="00B84F56"/>
    <w:rsid w:val="00B91041"/>
    <w:rsid w:val="00B91684"/>
    <w:rsid w:val="00B91D97"/>
    <w:rsid w:val="00B9320D"/>
    <w:rsid w:val="00B932E7"/>
    <w:rsid w:val="00B9333D"/>
    <w:rsid w:val="00B96187"/>
    <w:rsid w:val="00B97501"/>
    <w:rsid w:val="00BA24EB"/>
    <w:rsid w:val="00BA2B81"/>
    <w:rsid w:val="00BB2158"/>
    <w:rsid w:val="00BB2F4C"/>
    <w:rsid w:val="00BB44C1"/>
    <w:rsid w:val="00BB4685"/>
    <w:rsid w:val="00BB48F1"/>
    <w:rsid w:val="00BB5828"/>
    <w:rsid w:val="00BB726F"/>
    <w:rsid w:val="00BC0042"/>
    <w:rsid w:val="00BC006B"/>
    <w:rsid w:val="00BC0667"/>
    <w:rsid w:val="00BC1A16"/>
    <w:rsid w:val="00BC2656"/>
    <w:rsid w:val="00BC5652"/>
    <w:rsid w:val="00BC69CC"/>
    <w:rsid w:val="00BD0ABF"/>
    <w:rsid w:val="00BD0AC1"/>
    <w:rsid w:val="00BD16DB"/>
    <w:rsid w:val="00BD1773"/>
    <w:rsid w:val="00BD1D69"/>
    <w:rsid w:val="00BD399F"/>
    <w:rsid w:val="00BE02AF"/>
    <w:rsid w:val="00BE0967"/>
    <w:rsid w:val="00BE30E8"/>
    <w:rsid w:val="00BE3746"/>
    <w:rsid w:val="00BE5D30"/>
    <w:rsid w:val="00BE650D"/>
    <w:rsid w:val="00BE6E9F"/>
    <w:rsid w:val="00BE777C"/>
    <w:rsid w:val="00BE77BF"/>
    <w:rsid w:val="00BF2D3D"/>
    <w:rsid w:val="00C01A73"/>
    <w:rsid w:val="00C028BE"/>
    <w:rsid w:val="00C06D08"/>
    <w:rsid w:val="00C142CB"/>
    <w:rsid w:val="00C14BBF"/>
    <w:rsid w:val="00C15136"/>
    <w:rsid w:val="00C15CA5"/>
    <w:rsid w:val="00C16065"/>
    <w:rsid w:val="00C24F7D"/>
    <w:rsid w:val="00C253D9"/>
    <w:rsid w:val="00C25B74"/>
    <w:rsid w:val="00C25D1F"/>
    <w:rsid w:val="00C27BBB"/>
    <w:rsid w:val="00C31207"/>
    <w:rsid w:val="00C3175A"/>
    <w:rsid w:val="00C336D8"/>
    <w:rsid w:val="00C3579A"/>
    <w:rsid w:val="00C35CDD"/>
    <w:rsid w:val="00C40795"/>
    <w:rsid w:val="00C40D4D"/>
    <w:rsid w:val="00C40F3A"/>
    <w:rsid w:val="00C418D3"/>
    <w:rsid w:val="00C41BCD"/>
    <w:rsid w:val="00C4497A"/>
    <w:rsid w:val="00C45E84"/>
    <w:rsid w:val="00C52019"/>
    <w:rsid w:val="00C53552"/>
    <w:rsid w:val="00C573F3"/>
    <w:rsid w:val="00C601B2"/>
    <w:rsid w:val="00C62F6F"/>
    <w:rsid w:val="00C677C2"/>
    <w:rsid w:val="00C67E81"/>
    <w:rsid w:val="00C70EB0"/>
    <w:rsid w:val="00C748FB"/>
    <w:rsid w:val="00C74F20"/>
    <w:rsid w:val="00C82E2A"/>
    <w:rsid w:val="00C8444A"/>
    <w:rsid w:val="00C84A41"/>
    <w:rsid w:val="00C91A4A"/>
    <w:rsid w:val="00C92A71"/>
    <w:rsid w:val="00C9582D"/>
    <w:rsid w:val="00C97F0A"/>
    <w:rsid w:val="00CA291E"/>
    <w:rsid w:val="00CA3DFC"/>
    <w:rsid w:val="00CA3EFC"/>
    <w:rsid w:val="00CA5FEC"/>
    <w:rsid w:val="00CA7004"/>
    <w:rsid w:val="00CA7037"/>
    <w:rsid w:val="00CB2C46"/>
    <w:rsid w:val="00CB4FCA"/>
    <w:rsid w:val="00CB53DE"/>
    <w:rsid w:val="00CB5DBD"/>
    <w:rsid w:val="00CB7297"/>
    <w:rsid w:val="00CC2740"/>
    <w:rsid w:val="00CC3393"/>
    <w:rsid w:val="00CC572E"/>
    <w:rsid w:val="00CC6628"/>
    <w:rsid w:val="00CC7533"/>
    <w:rsid w:val="00CC78A1"/>
    <w:rsid w:val="00CD12E0"/>
    <w:rsid w:val="00CD288D"/>
    <w:rsid w:val="00CD288F"/>
    <w:rsid w:val="00CD2C7C"/>
    <w:rsid w:val="00CD3AA8"/>
    <w:rsid w:val="00CD42F2"/>
    <w:rsid w:val="00CD4783"/>
    <w:rsid w:val="00CD5B3B"/>
    <w:rsid w:val="00CD616D"/>
    <w:rsid w:val="00CD6435"/>
    <w:rsid w:val="00CE1F64"/>
    <w:rsid w:val="00CE252C"/>
    <w:rsid w:val="00CE316C"/>
    <w:rsid w:val="00CE42C3"/>
    <w:rsid w:val="00CE5281"/>
    <w:rsid w:val="00CE5F64"/>
    <w:rsid w:val="00CE6B13"/>
    <w:rsid w:val="00CE79DB"/>
    <w:rsid w:val="00CF29AA"/>
    <w:rsid w:val="00CF376F"/>
    <w:rsid w:val="00CF5477"/>
    <w:rsid w:val="00CF623C"/>
    <w:rsid w:val="00D00128"/>
    <w:rsid w:val="00D02BCA"/>
    <w:rsid w:val="00D02C80"/>
    <w:rsid w:val="00D03E89"/>
    <w:rsid w:val="00D0452E"/>
    <w:rsid w:val="00D0544B"/>
    <w:rsid w:val="00D05760"/>
    <w:rsid w:val="00D058B9"/>
    <w:rsid w:val="00D05B4C"/>
    <w:rsid w:val="00D0692C"/>
    <w:rsid w:val="00D111DC"/>
    <w:rsid w:val="00D12823"/>
    <w:rsid w:val="00D13F64"/>
    <w:rsid w:val="00D164FC"/>
    <w:rsid w:val="00D168C2"/>
    <w:rsid w:val="00D171B3"/>
    <w:rsid w:val="00D177B5"/>
    <w:rsid w:val="00D1784F"/>
    <w:rsid w:val="00D20F2F"/>
    <w:rsid w:val="00D21710"/>
    <w:rsid w:val="00D21F9A"/>
    <w:rsid w:val="00D242FE"/>
    <w:rsid w:val="00D25950"/>
    <w:rsid w:val="00D27D9B"/>
    <w:rsid w:val="00D30304"/>
    <w:rsid w:val="00D316E7"/>
    <w:rsid w:val="00D323E9"/>
    <w:rsid w:val="00D3692F"/>
    <w:rsid w:val="00D41481"/>
    <w:rsid w:val="00D41FFA"/>
    <w:rsid w:val="00D5174B"/>
    <w:rsid w:val="00D52AB4"/>
    <w:rsid w:val="00D52F11"/>
    <w:rsid w:val="00D54669"/>
    <w:rsid w:val="00D551CE"/>
    <w:rsid w:val="00D5705F"/>
    <w:rsid w:val="00D62707"/>
    <w:rsid w:val="00D63E02"/>
    <w:rsid w:val="00D659C3"/>
    <w:rsid w:val="00D6610F"/>
    <w:rsid w:val="00D674BA"/>
    <w:rsid w:val="00D702CF"/>
    <w:rsid w:val="00D7061D"/>
    <w:rsid w:val="00D713DA"/>
    <w:rsid w:val="00D715DD"/>
    <w:rsid w:val="00D729B8"/>
    <w:rsid w:val="00D7375E"/>
    <w:rsid w:val="00D7592F"/>
    <w:rsid w:val="00D8012D"/>
    <w:rsid w:val="00D80869"/>
    <w:rsid w:val="00D81F5D"/>
    <w:rsid w:val="00D821CD"/>
    <w:rsid w:val="00D829DE"/>
    <w:rsid w:val="00D82AD3"/>
    <w:rsid w:val="00D83B82"/>
    <w:rsid w:val="00D83F03"/>
    <w:rsid w:val="00D849F9"/>
    <w:rsid w:val="00D861A1"/>
    <w:rsid w:val="00D872A8"/>
    <w:rsid w:val="00D8776A"/>
    <w:rsid w:val="00D878B5"/>
    <w:rsid w:val="00D9099D"/>
    <w:rsid w:val="00D90C05"/>
    <w:rsid w:val="00D946B9"/>
    <w:rsid w:val="00D95130"/>
    <w:rsid w:val="00D96B94"/>
    <w:rsid w:val="00D97D0F"/>
    <w:rsid w:val="00DA013B"/>
    <w:rsid w:val="00DA1937"/>
    <w:rsid w:val="00DA2372"/>
    <w:rsid w:val="00DA3029"/>
    <w:rsid w:val="00DA3D14"/>
    <w:rsid w:val="00DA5885"/>
    <w:rsid w:val="00DA751F"/>
    <w:rsid w:val="00DA7EF2"/>
    <w:rsid w:val="00DB0C12"/>
    <w:rsid w:val="00DB2027"/>
    <w:rsid w:val="00DB243F"/>
    <w:rsid w:val="00DB2E03"/>
    <w:rsid w:val="00DB5737"/>
    <w:rsid w:val="00DB616C"/>
    <w:rsid w:val="00DB79B0"/>
    <w:rsid w:val="00DC390F"/>
    <w:rsid w:val="00DC500B"/>
    <w:rsid w:val="00DC59EE"/>
    <w:rsid w:val="00DC7016"/>
    <w:rsid w:val="00DD0FA5"/>
    <w:rsid w:val="00DD3315"/>
    <w:rsid w:val="00DD3367"/>
    <w:rsid w:val="00DD6D48"/>
    <w:rsid w:val="00DE1355"/>
    <w:rsid w:val="00DE1D33"/>
    <w:rsid w:val="00DE233C"/>
    <w:rsid w:val="00DE798C"/>
    <w:rsid w:val="00DE7B3B"/>
    <w:rsid w:val="00DF5364"/>
    <w:rsid w:val="00DF71C0"/>
    <w:rsid w:val="00E008F5"/>
    <w:rsid w:val="00E00FEF"/>
    <w:rsid w:val="00E026F9"/>
    <w:rsid w:val="00E02B3E"/>
    <w:rsid w:val="00E033C4"/>
    <w:rsid w:val="00E03486"/>
    <w:rsid w:val="00E0363A"/>
    <w:rsid w:val="00E06663"/>
    <w:rsid w:val="00E06FEC"/>
    <w:rsid w:val="00E07119"/>
    <w:rsid w:val="00E076D6"/>
    <w:rsid w:val="00E078EA"/>
    <w:rsid w:val="00E11180"/>
    <w:rsid w:val="00E12684"/>
    <w:rsid w:val="00E1590F"/>
    <w:rsid w:val="00E15A4C"/>
    <w:rsid w:val="00E15D3D"/>
    <w:rsid w:val="00E2108E"/>
    <w:rsid w:val="00E22ADD"/>
    <w:rsid w:val="00E231CA"/>
    <w:rsid w:val="00E237CD"/>
    <w:rsid w:val="00E25417"/>
    <w:rsid w:val="00E25B4D"/>
    <w:rsid w:val="00E25F95"/>
    <w:rsid w:val="00E27AF9"/>
    <w:rsid w:val="00E30155"/>
    <w:rsid w:val="00E303AF"/>
    <w:rsid w:val="00E30495"/>
    <w:rsid w:val="00E324B7"/>
    <w:rsid w:val="00E328C5"/>
    <w:rsid w:val="00E34379"/>
    <w:rsid w:val="00E34FEA"/>
    <w:rsid w:val="00E355B9"/>
    <w:rsid w:val="00E371FF"/>
    <w:rsid w:val="00E37298"/>
    <w:rsid w:val="00E41478"/>
    <w:rsid w:val="00E414E4"/>
    <w:rsid w:val="00E41772"/>
    <w:rsid w:val="00E417E7"/>
    <w:rsid w:val="00E46ADA"/>
    <w:rsid w:val="00E51434"/>
    <w:rsid w:val="00E51921"/>
    <w:rsid w:val="00E5195E"/>
    <w:rsid w:val="00E528D2"/>
    <w:rsid w:val="00E52AD2"/>
    <w:rsid w:val="00E544A9"/>
    <w:rsid w:val="00E5481B"/>
    <w:rsid w:val="00E54C24"/>
    <w:rsid w:val="00E55AFE"/>
    <w:rsid w:val="00E56423"/>
    <w:rsid w:val="00E56B06"/>
    <w:rsid w:val="00E63750"/>
    <w:rsid w:val="00E671D2"/>
    <w:rsid w:val="00E67BFB"/>
    <w:rsid w:val="00E70C73"/>
    <w:rsid w:val="00E712D0"/>
    <w:rsid w:val="00E733FD"/>
    <w:rsid w:val="00E73C14"/>
    <w:rsid w:val="00E7512E"/>
    <w:rsid w:val="00E7577B"/>
    <w:rsid w:val="00E771DF"/>
    <w:rsid w:val="00E8264F"/>
    <w:rsid w:val="00E82D3D"/>
    <w:rsid w:val="00E82F8D"/>
    <w:rsid w:val="00E83AEE"/>
    <w:rsid w:val="00E91E17"/>
    <w:rsid w:val="00E95A7E"/>
    <w:rsid w:val="00E95ED3"/>
    <w:rsid w:val="00E978A2"/>
    <w:rsid w:val="00EA0E8E"/>
    <w:rsid w:val="00EA109A"/>
    <w:rsid w:val="00EA2A43"/>
    <w:rsid w:val="00EA4544"/>
    <w:rsid w:val="00EA5672"/>
    <w:rsid w:val="00EA6848"/>
    <w:rsid w:val="00EA6941"/>
    <w:rsid w:val="00EB160A"/>
    <w:rsid w:val="00EB1F22"/>
    <w:rsid w:val="00EB45BB"/>
    <w:rsid w:val="00EB468B"/>
    <w:rsid w:val="00EB4AB4"/>
    <w:rsid w:val="00EB5ADB"/>
    <w:rsid w:val="00EC5A8D"/>
    <w:rsid w:val="00ED14BE"/>
    <w:rsid w:val="00ED2DF4"/>
    <w:rsid w:val="00ED32EC"/>
    <w:rsid w:val="00EE1201"/>
    <w:rsid w:val="00EE15E6"/>
    <w:rsid w:val="00EE446A"/>
    <w:rsid w:val="00EE4551"/>
    <w:rsid w:val="00EE4B2D"/>
    <w:rsid w:val="00EE52C3"/>
    <w:rsid w:val="00EE725D"/>
    <w:rsid w:val="00EE749E"/>
    <w:rsid w:val="00EF0317"/>
    <w:rsid w:val="00EF11D1"/>
    <w:rsid w:val="00EF3855"/>
    <w:rsid w:val="00EF49B6"/>
    <w:rsid w:val="00EF57B6"/>
    <w:rsid w:val="00F009A4"/>
    <w:rsid w:val="00F03CB3"/>
    <w:rsid w:val="00F04988"/>
    <w:rsid w:val="00F04FA5"/>
    <w:rsid w:val="00F06694"/>
    <w:rsid w:val="00F1187D"/>
    <w:rsid w:val="00F11B1A"/>
    <w:rsid w:val="00F2078E"/>
    <w:rsid w:val="00F20B0A"/>
    <w:rsid w:val="00F21797"/>
    <w:rsid w:val="00F260D7"/>
    <w:rsid w:val="00F272BD"/>
    <w:rsid w:val="00F27EE3"/>
    <w:rsid w:val="00F344D4"/>
    <w:rsid w:val="00F417A4"/>
    <w:rsid w:val="00F4220A"/>
    <w:rsid w:val="00F42D06"/>
    <w:rsid w:val="00F42D30"/>
    <w:rsid w:val="00F4393B"/>
    <w:rsid w:val="00F45268"/>
    <w:rsid w:val="00F45A85"/>
    <w:rsid w:val="00F45C8E"/>
    <w:rsid w:val="00F45D5D"/>
    <w:rsid w:val="00F4622D"/>
    <w:rsid w:val="00F46A7B"/>
    <w:rsid w:val="00F53D4F"/>
    <w:rsid w:val="00F56235"/>
    <w:rsid w:val="00F570D6"/>
    <w:rsid w:val="00F57A5C"/>
    <w:rsid w:val="00F60110"/>
    <w:rsid w:val="00F62EFA"/>
    <w:rsid w:val="00F6390F"/>
    <w:rsid w:val="00F63DEC"/>
    <w:rsid w:val="00F6469D"/>
    <w:rsid w:val="00F6712A"/>
    <w:rsid w:val="00F72B30"/>
    <w:rsid w:val="00F73523"/>
    <w:rsid w:val="00F740CA"/>
    <w:rsid w:val="00F747F2"/>
    <w:rsid w:val="00F74B4A"/>
    <w:rsid w:val="00F75DF7"/>
    <w:rsid w:val="00F7652B"/>
    <w:rsid w:val="00F7697B"/>
    <w:rsid w:val="00F773FC"/>
    <w:rsid w:val="00F778F4"/>
    <w:rsid w:val="00F816F6"/>
    <w:rsid w:val="00F85C95"/>
    <w:rsid w:val="00F9088B"/>
    <w:rsid w:val="00F9311C"/>
    <w:rsid w:val="00F93A82"/>
    <w:rsid w:val="00F94355"/>
    <w:rsid w:val="00F947FB"/>
    <w:rsid w:val="00F9598E"/>
    <w:rsid w:val="00F96308"/>
    <w:rsid w:val="00F9640A"/>
    <w:rsid w:val="00F97268"/>
    <w:rsid w:val="00F97988"/>
    <w:rsid w:val="00FA15FB"/>
    <w:rsid w:val="00FA384A"/>
    <w:rsid w:val="00FA4A27"/>
    <w:rsid w:val="00FA4EAC"/>
    <w:rsid w:val="00FA576C"/>
    <w:rsid w:val="00FA6CE8"/>
    <w:rsid w:val="00FB13C3"/>
    <w:rsid w:val="00FB1EF9"/>
    <w:rsid w:val="00FB2AA2"/>
    <w:rsid w:val="00FB2C46"/>
    <w:rsid w:val="00FB319F"/>
    <w:rsid w:val="00FB41D7"/>
    <w:rsid w:val="00FB55B9"/>
    <w:rsid w:val="00FB64CF"/>
    <w:rsid w:val="00FB6762"/>
    <w:rsid w:val="00FC0259"/>
    <w:rsid w:val="00FC0341"/>
    <w:rsid w:val="00FC08FB"/>
    <w:rsid w:val="00FC1B27"/>
    <w:rsid w:val="00FC39E7"/>
    <w:rsid w:val="00FC3EDB"/>
    <w:rsid w:val="00FC49F3"/>
    <w:rsid w:val="00FC50A4"/>
    <w:rsid w:val="00FC70EB"/>
    <w:rsid w:val="00FD03A9"/>
    <w:rsid w:val="00FD0C5A"/>
    <w:rsid w:val="00FD42F8"/>
    <w:rsid w:val="00FD55E9"/>
    <w:rsid w:val="00FD57B3"/>
    <w:rsid w:val="00FE152F"/>
    <w:rsid w:val="00FE2AF7"/>
    <w:rsid w:val="00FE4225"/>
    <w:rsid w:val="00FE49B2"/>
    <w:rsid w:val="00FE5AA8"/>
    <w:rsid w:val="00FE5F70"/>
    <w:rsid w:val="00FE63CB"/>
    <w:rsid w:val="00FE68D1"/>
    <w:rsid w:val="00FF0386"/>
    <w:rsid w:val="00FF3452"/>
    <w:rsid w:val="00FF6522"/>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C077"/>
  <w15:chartTrackingRefBased/>
  <w15:docId w15:val="{3FB2EA32-5B3A-479C-834C-66118A3A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4239"/>
    <w:rPr>
      <w:rFonts w:ascii="Times New Roman" w:hAnsi="Times New Roman"/>
      <w:sz w:val="24"/>
    </w:rPr>
  </w:style>
  <w:style w:type="paragraph" w:styleId="Ttulo1">
    <w:name w:val="heading 1"/>
    <w:basedOn w:val="Ttulo"/>
    <w:link w:val="Ttulo1Car"/>
    <w:uiPriority w:val="9"/>
    <w:qFormat/>
    <w:rsid w:val="007B2FDA"/>
    <w:pPr>
      <w:keepNext/>
      <w:keepLines/>
      <w:spacing w:before="240" w:line="480" w:lineRule="auto"/>
      <w:jc w:val="center"/>
      <w:outlineLvl w:val="0"/>
    </w:pPr>
    <w:rPr>
      <w:rFonts w:ascii="Times New Roman" w:hAnsi="Times New Roman"/>
      <w:b/>
      <w:sz w:val="24"/>
      <w:szCs w:val="32"/>
    </w:rPr>
  </w:style>
  <w:style w:type="paragraph" w:styleId="Ttulo2">
    <w:name w:val="heading 2"/>
    <w:basedOn w:val="Normal"/>
    <w:next w:val="Normal"/>
    <w:link w:val="Ttulo2Car"/>
    <w:uiPriority w:val="9"/>
    <w:unhideWhenUsed/>
    <w:qFormat/>
    <w:rsid w:val="00C97F0A"/>
    <w:pPr>
      <w:keepNext/>
      <w:keepLines/>
      <w:spacing w:before="40" w:after="0" w:line="480" w:lineRule="auto"/>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01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0156"/>
  </w:style>
  <w:style w:type="paragraph" w:styleId="Piedepgina">
    <w:name w:val="footer"/>
    <w:basedOn w:val="Normal"/>
    <w:link w:val="PiedepginaCar"/>
    <w:uiPriority w:val="99"/>
    <w:unhideWhenUsed/>
    <w:rsid w:val="004B01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0156"/>
  </w:style>
  <w:style w:type="paragraph" w:styleId="Prrafodelista">
    <w:name w:val="List Paragraph"/>
    <w:basedOn w:val="Normal"/>
    <w:uiPriority w:val="34"/>
    <w:qFormat/>
    <w:rsid w:val="00A9123C"/>
    <w:pPr>
      <w:ind w:left="720"/>
      <w:contextualSpacing/>
    </w:pPr>
  </w:style>
  <w:style w:type="character" w:customStyle="1" w:styleId="Ttulo1Car">
    <w:name w:val="Título 1 Car"/>
    <w:basedOn w:val="Fuentedeprrafopredeter"/>
    <w:link w:val="Ttulo1"/>
    <w:uiPriority w:val="9"/>
    <w:rsid w:val="007B2FDA"/>
    <w:rPr>
      <w:rFonts w:ascii="Times New Roman" w:eastAsiaTheme="majorEastAsia" w:hAnsi="Times New Roman" w:cstheme="majorBidi"/>
      <w:b/>
      <w:spacing w:val="-10"/>
      <w:kern w:val="28"/>
      <w:sz w:val="24"/>
      <w:szCs w:val="32"/>
    </w:rPr>
  </w:style>
  <w:style w:type="paragraph" w:styleId="Ttulo">
    <w:name w:val="Title"/>
    <w:basedOn w:val="Normal"/>
    <w:next w:val="Normal"/>
    <w:link w:val="TtuloCar"/>
    <w:uiPriority w:val="10"/>
    <w:qFormat/>
    <w:rsid w:val="007B2F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2FDA"/>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C97F0A"/>
    <w:rPr>
      <w:rFonts w:ascii="Times New Roman" w:eastAsiaTheme="majorEastAsia" w:hAnsi="Times New Roman" w:cstheme="majorBidi"/>
      <w:b/>
      <w:sz w:val="24"/>
      <w:szCs w:val="26"/>
    </w:rPr>
  </w:style>
  <w:style w:type="character" w:styleId="Hipervnculo">
    <w:name w:val="Hyperlink"/>
    <w:basedOn w:val="Fuentedeprrafopredeter"/>
    <w:uiPriority w:val="99"/>
    <w:unhideWhenUsed/>
    <w:rsid w:val="003846BE"/>
    <w:rPr>
      <w:color w:val="0563C1" w:themeColor="hyperlink"/>
      <w:u w:val="single"/>
    </w:rPr>
  </w:style>
  <w:style w:type="paragraph" w:styleId="Textodeglobo">
    <w:name w:val="Balloon Text"/>
    <w:basedOn w:val="Normal"/>
    <w:link w:val="TextodegloboCar"/>
    <w:uiPriority w:val="99"/>
    <w:semiHidden/>
    <w:unhideWhenUsed/>
    <w:rsid w:val="00341CF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1C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730087">
      <w:bodyDiv w:val="1"/>
      <w:marLeft w:val="0"/>
      <w:marRight w:val="0"/>
      <w:marTop w:val="0"/>
      <w:marBottom w:val="0"/>
      <w:divBdr>
        <w:top w:val="none" w:sz="0" w:space="0" w:color="auto"/>
        <w:left w:val="none" w:sz="0" w:space="0" w:color="auto"/>
        <w:bottom w:val="none" w:sz="0" w:space="0" w:color="auto"/>
        <w:right w:val="none" w:sz="0" w:space="0" w:color="auto"/>
      </w:divBdr>
    </w:div>
    <w:div w:id="366299059">
      <w:bodyDiv w:val="1"/>
      <w:marLeft w:val="0"/>
      <w:marRight w:val="0"/>
      <w:marTop w:val="0"/>
      <w:marBottom w:val="0"/>
      <w:divBdr>
        <w:top w:val="none" w:sz="0" w:space="0" w:color="auto"/>
        <w:left w:val="none" w:sz="0" w:space="0" w:color="auto"/>
        <w:bottom w:val="none" w:sz="0" w:space="0" w:color="auto"/>
        <w:right w:val="none" w:sz="0" w:space="0" w:color="auto"/>
      </w:divBdr>
      <w:divsChild>
        <w:div w:id="785198296">
          <w:marLeft w:val="0"/>
          <w:marRight w:val="0"/>
          <w:marTop w:val="0"/>
          <w:marBottom w:val="0"/>
          <w:divBdr>
            <w:top w:val="none" w:sz="0" w:space="0" w:color="auto"/>
            <w:left w:val="none" w:sz="0" w:space="0" w:color="auto"/>
            <w:bottom w:val="none" w:sz="0" w:space="0" w:color="auto"/>
            <w:right w:val="none" w:sz="0" w:space="0" w:color="auto"/>
          </w:divBdr>
        </w:div>
        <w:div w:id="1926642089">
          <w:marLeft w:val="0"/>
          <w:marRight w:val="0"/>
          <w:marTop w:val="0"/>
          <w:marBottom w:val="0"/>
          <w:divBdr>
            <w:top w:val="none" w:sz="0" w:space="0" w:color="auto"/>
            <w:left w:val="none" w:sz="0" w:space="0" w:color="auto"/>
            <w:bottom w:val="none" w:sz="0" w:space="0" w:color="auto"/>
            <w:right w:val="none" w:sz="0" w:space="0" w:color="auto"/>
          </w:divBdr>
        </w:div>
        <w:div w:id="306977999">
          <w:marLeft w:val="0"/>
          <w:marRight w:val="0"/>
          <w:marTop w:val="0"/>
          <w:marBottom w:val="0"/>
          <w:divBdr>
            <w:top w:val="none" w:sz="0" w:space="0" w:color="auto"/>
            <w:left w:val="none" w:sz="0" w:space="0" w:color="auto"/>
            <w:bottom w:val="none" w:sz="0" w:space="0" w:color="auto"/>
            <w:right w:val="none" w:sz="0" w:space="0" w:color="auto"/>
          </w:divBdr>
        </w:div>
        <w:div w:id="845367737">
          <w:marLeft w:val="0"/>
          <w:marRight w:val="0"/>
          <w:marTop w:val="0"/>
          <w:marBottom w:val="0"/>
          <w:divBdr>
            <w:top w:val="none" w:sz="0" w:space="0" w:color="auto"/>
            <w:left w:val="none" w:sz="0" w:space="0" w:color="auto"/>
            <w:bottom w:val="none" w:sz="0" w:space="0" w:color="auto"/>
            <w:right w:val="none" w:sz="0" w:space="0" w:color="auto"/>
          </w:divBdr>
        </w:div>
        <w:div w:id="1224877579">
          <w:marLeft w:val="0"/>
          <w:marRight w:val="0"/>
          <w:marTop w:val="0"/>
          <w:marBottom w:val="0"/>
          <w:divBdr>
            <w:top w:val="none" w:sz="0" w:space="0" w:color="auto"/>
            <w:left w:val="none" w:sz="0" w:space="0" w:color="auto"/>
            <w:bottom w:val="none" w:sz="0" w:space="0" w:color="auto"/>
            <w:right w:val="none" w:sz="0" w:space="0" w:color="auto"/>
          </w:divBdr>
        </w:div>
      </w:divsChild>
    </w:div>
    <w:div w:id="810251744">
      <w:bodyDiv w:val="1"/>
      <w:marLeft w:val="0"/>
      <w:marRight w:val="0"/>
      <w:marTop w:val="0"/>
      <w:marBottom w:val="0"/>
      <w:divBdr>
        <w:top w:val="none" w:sz="0" w:space="0" w:color="auto"/>
        <w:left w:val="none" w:sz="0" w:space="0" w:color="auto"/>
        <w:bottom w:val="none" w:sz="0" w:space="0" w:color="auto"/>
        <w:right w:val="none" w:sz="0" w:space="0" w:color="auto"/>
      </w:divBdr>
    </w:div>
    <w:div w:id="1277179744">
      <w:bodyDiv w:val="1"/>
      <w:marLeft w:val="0"/>
      <w:marRight w:val="0"/>
      <w:marTop w:val="0"/>
      <w:marBottom w:val="0"/>
      <w:divBdr>
        <w:top w:val="none" w:sz="0" w:space="0" w:color="auto"/>
        <w:left w:val="none" w:sz="0" w:space="0" w:color="auto"/>
        <w:bottom w:val="none" w:sz="0" w:space="0" w:color="auto"/>
        <w:right w:val="none" w:sz="0" w:space="0" w:color="auto"/>
      </w:divBdr>
      <w:divsChild>
        <w:div w:id="1082487718">
          <w:marLeft w:val="0"/>
          <w:marRight w:val="0"/>
          <w:marTop w:val="0"/>
          <w:marBottom w:val="0"/>
          <w:divBdr>
            <w:top w:val="none" w:sz="0" w:space="0" w:color="auto"/>
            <w:left w:val="none" w:sz="0" w:space="0" w:color="auto"/>
            <w:bottom w:val="none" w:sz="0" w:space="0" w:color="auto"/>
            <w:right w:val="none" w:sz="0" w:space="0" w:color="auto"/>
          </w:divBdr>
        </w:div>
        <w:div w:id="1239710179">
          <w:marLeft w:val="0"/>
          <w:marRight w:val="0"/>
          <w:marTop w:val="0"/>
          <w:marBottom w:val="0"/>
          <w:divBdr>
            <w:top w:val="none" w:sz="0" w:space="0" w:color="auto"/>
            <w:left w:val="none" w:sz="0" w:space="0" w:color="auto"/>
            <w:bottom w:val="none" w:sz="0" w:space="0" w:color="auto"/>
            <w:right w:val="none" w:sz="0" w:space="0" w:color="auto"/>
          </w:divBdr>
        </w:div>
        <w:div w:id="539325691">
          <w:marLeft w:val="0"/>
          <w:marRight w:val="0"/>
          <w:marTop w:val="0"/>
          <w:marBottom w:val="0"/>
          <w:divBdr>
            <w:top w:val="none" w:sz="0" w:space="0" w:color="auto"/>
            <w:left w:val="none" w:sz="0" w:space="0" w:color="auto"/>
            <w:bottom w:val="none" w:sz="0" w:space="0" w:color="auto"/>
            <w:right w:val="none" w:sz="0" w:space="0" w:color="auto"/>
          </w:divBdr>
        </w:div>
        <w:div w:id="1938824309">
          <w:marLeft w:val="0"/>
          <w:marRight w:val="0"/>
          <w:marTop w:val="0"/>
          <w:marBottom w:val="0"/>
          <w:divBdr>
            <w:top w:val="none" w:sz="0" w:space="0" w:color="auto"/>
            <w:left w:val="none" w:sz="0" w:space="0" w:color="auto"/>
            <w:bottom w:val="none" w:sz="0" w:space="0" w:color="auto"/>
            <w:right w:val="none" w:sz="0" w:space="0" w:color="auto"/>
          </w:divBdr>
        </w:div>
        <w:div w:id="936058767">
          <w:marLeft w:val="0"/>
          <w:marRight w:val="0"/>
          <w:marTop w:val="0"/>
          <w:marBottom w:val="0"/>
          <w:divBdr>
            <w:top w:val="none" w:sz="0" w:space="0" w:color="auto"/>
            <w:left w:val="none" w:sz="0" w:space="0" w:color="auto"/>
            <w:bottom w:val="none" w:sz="0" w:space="0" w:color="auto"/>
            <w:right w:val="none" w:sz="0" w:space="0" w:color="auto"/>
          </w:divBdr>
        </w:div>
      </w:divsChild>
    </w:div>
    <w:div w:id="1684434206">
      <w:bodyDiv w:val="1"/>
      <w:marLeft w:val="0"/>
      <w:marRight w:val="0"/>
      <w:marTop w:val="0"/>
      <w:marBottom w:val="0"/>
      <w:divBdr>
        <w:top w:val="none" w:sz="0" w:space="0" w:color="auto"/>
        <w:left w:val="none" w:sz="0" w:space="0" w:color="auto"/>
        <w:bottom w:val="none" w:sz="0" w:space="0" w:color="auto"/>
        <w:right w:val="none" w:sz="0" w:space="0" w:color="auto"/>
      </w:divBdr>
    </w:div>
    <w:div w:id="207449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zarzosa@pucp.pe" TargetMode="Externa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CBE4F-2D3D-44C5-B93B-0CE0D17B3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6632</TotalTime>
  <Pages>18</Pages>
  <Words>6498</Words>
  <Characters>35740</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dc:creator>
  <cp:keywords/>
  <dc:description/>
  <cp:lastModifiedBy>NELSON</cp:lastModifiedBy>
  <cp:revision>1308</cp:revision>
  <cp:lastPrinted>2023-08-29T01:09:00Z</cp:lastPrinted>
  <dcterms:created xsi:type="dcterms:W3CDTF">2021-04-06T16:31:00Z</dcterms:created>
  <dcterms:modified xsi:type="dcterms:W3CDTF">2025-05-01T13:37:00Z</dcterms:modified>
</cp:coreProperties>
</file>