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8743C" w14:textId="5683127F" w:rsidR="00B73381" w:rsidRPr="00F73AD8" w:rsidRDefault="00B73381" w:rsidP="00F73AD8">
      <w:pPr>
        <w:tabs>
          <w:tab w:val="left" w:pos="4253"/>
        </w:tabs>
        <w:spacing w:line="360" w:lineRule="auto"/>
        <w:rPr>
          <w:rFonts w:ascii="Arial" w:hAnsi="Arial" w:cs="Arial"/>
          <w:b/>
          <w:bCs/>
          <w:sz w:val="22"/>
          <w:szCs w:val="22"/>
          <w:lang w:val="es-419"/>
        </w:rPr>
      </w:pPr>
      <w:r w:rsidRPr="00F73AD8">
        <w:rPr>
          <w:rFonts w:ascii="Arial" w:hAnsi="Arial" w:cs="Arial"/>
          <w:b/>
          <w:bCs/>
          <w:sz w:val="22"/>
          <w:szCs w:val="22"/>
          <w:lang w:val="es-ES"/>
        </w:rPr>
        <w:t xml:space="preserve">Título: </w:t>
      </w:r>
      <w:r w:rsidRPr="00F73AD8">
        <w:rPr>
          <w:rFonts w:ascii="Arial" w:hAnsi="Arial" w:cs="Arial"/>
          <w:sz w:val="22"/>
          <w:szCs w:val="22"/>
          <w:lang w:val="es-ES"/>
        </w:rPr>
        <w:t xml:space="preserve">¿Gobierno corporativo o buena gerencia? El desafío de la gobernanza de </w:t>
      </w:r>
      <w:r w:rsidR="00F73AD8" w:rsidRPr="00F73AD8">
        <w:rPr>
          <w:rFonts w:ascii="Arial" w:hAnsi="Arial" w:cs="Arial"/>
          <w:sz w:val="22"/>
          <w:szCs w:val="22"/>
          <w:lang w:val="es-ES"/>
        </w:rPr>
        <w:t>las empresas mineras</w:t>
      </w:r>
      <w:r w:rsidRPr="00F73AD8">
        <w:rPr>
          <w:rFonts w:ascii="Arial" w:hAnsi="Arial" w:cs="Arial"/>
          <w:sz w:val="22"/>
          <w:szCs w:val="22"/>
          <w:lang w:val="es-ES"/>
        </w:rPr>
        <w:t xml:space="preserve"> en el Perú”</w:t>
      </w:r>
      <w:r w:rsidRPr="00F73AD8">
        <w:rPr>
          <w:rFonts w:ascii="Arial" w:hAnsi="Arial" w:cs="Arial"/>
          <w:b/>
          <w:bCs/>
          <w:sz w:val="22"/>
          <w:szCs w:val="22"/>
          <w:lang w:val="es-ES"/>
        </w:rPr>
        <w:t xml:space="preserve"> </w:t>
      </w:r>
    </w:p>
    <w:p w14:paraId="475FC5FD" w14:textId="77777777" w:rsidR="00B73381" w:rsidRPr="00F73AD8" w:rsidRDefault="00B73381" w:rsidP="00F73AD8">
      <w:pPr>
        <w:spacing w:line="360" w:lineRule="auto"/>
        <w:rPr>
          <w:rFonts w:ascii="Arial" w:hAnsi="Arial" w:cs="Arial"/>
          <w:sz w:val="22"/>
          <w:szCs w:val="22"/>
          <w:lang w:val="es-419"/>
        </w:rPr>
      </w:pPr>
      <w:r w:rsidRPr="00F73AD8">
        <w:rPr>
          <w:rFonts w:ascii="Arial" w:hAnsi="Arial" w:cs="Arial"/>
          <w:b/>
          <w:bCs/>
          <w:sz w:val="22"/>
          <w:szCs w:val="22"/>
          <w:lang w:val="es-419"/>
        </w:rPr>
        <w:t xml:space="preserve">Categoría: </w:t>
      </w:r>
      <w:r w:rsidRPr="00F73AD8">
        <w:rPr>
          <w:rFonts w:ascii="Arial" w:hAnsi="Arial" w:cs="Arial"/>
          <w:sz w:val="22"/>
          <w:szCs w:val="22"/>
          <w:lang w:val="es-419"/>
        </w:rPr>
        <w:t>ESG (</w:t>
      </w:r>
      <w:proofErr w:type="spellStart"/>
      <w:r w:rsidRPr="00F73AD8">
        <w:rPr>
          <w:rFonts w:ascii="Arial" w:hAnsi="Arial" w:cs="Arial"/>
          <w:sz w:val="22"/>
          <w:szCs w:val="22"/>
          <w:lang w:val="es-419"/>
        </w:rPr>
        <w:t>Environmental</w:t>
      </w:r>
      <w:proofErr w:type="spellEnd"/>
      <w:r w:rsidRPr="00F73AD8">
        <w:rPr>
          <w:rFonts w:ascii="Arial" w:hAnsi="Arial" w:cs="Arial"/>
          <w:sz w:val="22"/>
          <w:szCs w:val="22"/>
          <w:lang w:val="es-419"/>
        </w:rPr>
        <w:t xml:space="preserve">, Social, </w:t>
      </w:r>
      <w:proofErr w:type="spellStart"/>
      <w:r w:rsidRPr="00F73AD8">
        <w:rPr>
          <w:rFonts w:ascii="Arial" w:hAnsi="Arial" w:cs="Arial"/>
          <w:sz w:val="22"/>
          <w:szCs w:val="22"/>
          <w:lang w:val="es-419"/>
        </w:rPr>
        <w:t>Governance</w:t>
      </w:r>
      <w:proofErr w:type="spellEnd"/>
      <w:r w:rsidRPr="00F73AD8">
        <w:rPr>
          <w:rFonts w:ascii="Arial" w:hAnsi="Arial" w:cs="Arial"/>
          <w:sz w:val="22"/>
          <w:szCs w:val="22"/>
          <w:lang w:val="es-419"/>
        </w:rPr>
        <w:t>) </w:t>
      </w:r>
    </w:p>
    <w:p w14:paraId="403B4A7C" w14:textId="77777777" w:rsidR="00B73381" w:rsidRPr="00F73AD8" w:rsidRDefault="00B73381" w:rsidP="00F73AD8">
      <w:pPr>
        <w:spacing w:line="360" w:lineRule="auto"/>
        <w:rPr>
          <w:rFonts w:ascii="Arial" w:hAnsi="Arial" w:cs="Arial"/>
          <w:b/>
          <w:bCs/>
          <w:sz w:val="22"/>
          <w:szCs w:val="22"/>
          <w:lang w:val="es-419"/>
        </w:rPr>
      </w:pPr>
      <w:r w:rsidRPr="00F73AD8">
        <w:rPr>
          <w:rFonts w:ascii="Arial" w:hAnsi="Arial" w:cs="Arial"/>
          <w:b/>
          <w:bCs/>
          <w:sz w:val="22"/>
          <w:szCs w:val="22"/>
          <w:lang w:val="es-ES"/>
        </w:rPr>
        <w:t xml:space="preserve">Tema: </w:t>
      </w:r>
      <w:r w:rsidRPr="00F73AD8">
        <w:rPr>
          <w:rFonts w:ascii="Arial" w:hAnsi="Arial" w:cs="Arial"/>
          <w:sz w:val="22"/>
          <w:szCs w:val="22"/>
          <w:lang w:val="es-ES"/>
        </w:rPr>
        <w:t>19. Buenas prácticas en la gestión de Valores y Código de Ética</w:t>
      </w:r>
      <w:r w:rsidRPr="00F73AD8">
        <w:rPr>
          <w:rFonts w:ascii="Arial" w:hAnsi="Arial" w:cs="Arial"/>
          <w:b/>
          <w:bCs/>
          <w:sz w:val="22"/>
          <w:szCs w:val="22"/>
          <w:lang w:val="es-419"/>
        </w:rPr>
        <w:t> </w:t>
      </w:r>
    </w:p>
    <w:p w14:paraId="395B5DEE" w14:textId="10DA95C9" w:rsidR="00B73381" w:rsidRPr="00F73AD8" w:rsidRDefault="00B73381" w:rsidP="00F73AD8">
      <w:pPr>
        <w:spacing w:line="360" w:lineRule="auto"/>
        <w:rPr>
          <w:rFonts w:ascii="Arial" w:hAnsi="Arial" w:cs="Arial"/>
          <w:b/>
          <w:bCs/>
          <w:sz w:val="22"/>
          <w:szCs w:val="22"/>
          <w:lang w:val="es-419"/>
        </w:rPr>
      </w:pPr>
      <w:r w:rsidRPr="00F73AD8">
        <w:rPr>
          <w:rFonts w:ascii="Arial" w:hAnsi="Arial" w:cs="Arial"/>
          <w:b/>
          <w:bCs/>
          <w:sz w:val="22"/>
          <w:szCs w:val="22"/>
          <w:lang w:val="es-419"/>
        </w:rPr>
        <w:t xml:space="preserve">Autores: </w:t>
      </w:r>
      <w:r w:rsidRPr="00F73AD8">
        <w:rPr>
          <w:rFonts w:ascii="Arial" w:hAnsi="Arial" w:cs="Arial"/>
          <w:sz w:val="22"/>
          <w:szCs w:val="22"/>
          <w:lang w:val="es-419"/>
        </w:rPr>
        <w:t>Jorge Melo-Vega, Cecilia Benavid</w:t>
      </w:r>
      <w:r w:rsidR="00D83B2A" w:rsidRPr="00F73AD8">
        <w:rPr>
          <w:rFonts w:ascii="Arial" w:hAnsi="Arial" w:cs="Arial"/>
          <w:sz w:val="22"/>
          <w:szCs w:val="22"/>
          <w:lang w:val="es-419"/>
        </w:rPr>
        <w:t>es</w:t>
      </w:r>
      <w:r w:rsidRPr="00F73AD8">
        <w:rPr>
          <w:rFonts w:ascii="Arial" w:hAnsi="Arial" w:cs="Arial"/>
          <w:sz w:val="22"/>
          <w:szCs w:val="22"/>
          <w:lang w:val="es-419"/>
        </w:rPr>
        <w:t xml:space="preserve"> y Danica Briceño</w:t>
      </w:r>
    </w:p>
    <w:p w14:paraId="6241CBE2" w14:textId="5C2CAFA6" w:rsidR="00B73381" w:rsidRPr="00F73AD8" w:rsidRDefault="00B73381" w:rsidP="00F73AD8">
      <w:pPr>
        <w:spacing w:line="360" w:lineRule="auto"/>
        <w:rPr>
          <w:rFonts w:ascii="Arial" w:hAnsi="Arial" w:cs="Arial"/>
          <w:lang w:val="es-419"/>
        </w:rPr>
      </w:pPr>
      <w:r w:rsidRPr="00F73AD8">
        <w:rPr>
          <w:rFonts w:ascii="Arial" w:hAnsi="Arial" w:cs="Arial"/>
          <w:b/>
          <w:bCs/>
          <w:lang w:val="es-419"/>
        </w:rPr>
        <w:t>Resumen técnico</w:t>
      </w:r>
      <w:r w:rsidRPr="00F73AD8">
        <w:rPr>
          <w:rFonts w:ascii="Arial" w:hAnsi="Arial" w:cs="Arial"/>
          <w:lang w:val="es-419"/>
        </w:rPr>
        <w:t> </w:t>
      </w:r>
    </w:p>
    <w:p w14:paraId="11377E70"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En el Perú, uno de los principales destinos globales para la inversión minera, operan las mayores compañías extractivas del mundo, muchas de ellas bajo esquemas de subsidiarias de corporaciones extranjeras. Este modelo ha permitido una adopción extendida de estándares internacionales en materia de sostenibilidad, ética y cumplimiento, impulsados principalmente desde las casas matrices. Sin embargo, plantea una pregunta crítica: ¿es posible hablar de un verdadero gobierno corporativo en estas organizaciones, cuando las decisiones estratégicas clave —incluyendo la gestión ética, los valores corporativos y las relaciones con el entorno local— se toman fuera del país? El presente trabajo nace del interés por explorar esta tensión entre forma y fondo en la gobernanza de las mineras operativas en el país, dentro del marco del pilar de Gobernanza del enfoque ESG. </w:t>
      </w:r>
    </w:p>
    <w:p w14:paraId="18FA404B"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Este análisis tiene como objetivo identificar si los mecanismos actuales de gobernanza en subsidiarias mineras multinacionales en Perú responden a los principios de un buen gobierno corporativo, más allá del cumplimiento normativo y formal. Se busca visibilizar la diferencia entre estructuras gerenciales que ejecutan eficientemente decisiones corporativas y verdaderas instancias de supervisión y dirección, independientes y estratégicas, con capacidad de rendición de cuentas contextualizada a la realidad nacional. </w:t>
      </w:r>
    </w:p>
    <w:p w14:paraId="53813A29"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El enfoque metodológico incluye el análisis de directorios locales de empresas mineras extranjeras operando en Perú, el mapeo de la presencia de holding versus capital local, y la comparación con estándares internacionales como los del ICMM. Asimismo, se consideran indicadores de independencia en directorios, y el rol de los códigos de ética y políticas de cumplimiento como mecanismos de gobernanza. </w:t>
      </w:r>
    </w:p>
    <w:p w14:paraId="1FA12A96"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Los resultados muestran que si bien las operaciones mineras en Perú cuentan con políticas éticas y estructuras normativas robustas alineadas a las matrices, la existencia de directorios locales es limitada y la independencia de sus miembros es baja. Las decisiones estratégicas, incluidas aquellas vinculadas a dilemas éticos o sociales relevantes para el contexto peruano, son en gran medida definidas externamente. Esto revela un modelo de gobernanza </w:t>
      </w:r>
      <w:r w:rsidRPr="00F73AD8">
        <w:rPr>
          <w:rFonts w:ascii="Arial" w:hAnsi="Arial" w:cs="Arial"/>
          <w:sz w:val="22"/>
          <w:szCs w:val="22"/>
          <w:lang w:val="es-419"/>
        </w:rPr>
        <w:lastRenderedPageBreak/>
        <w:t>corporativa más orientado al cumplimiento técnico que a la construcción de valor y legitimidad desde la realidad local. </w:t>
      </w:r>
    </w:p>
    <w:p w14:paraId="04EB815B" w14:textId="77777777" w:rsidR="00B73381" w:rsidRPr="00F73AD8" w:rsidRDefault="00B73381" w:rsidP="00F73AD8">
      <w:pPr>
        <w:spacing w:line="360" w:lineRule="auto"/>
        <w:jc w:val="both"/>
        <w:rPr>
          <w:rFonts w:ascii="Arial" w:hAnsi="Arial" w:cs="Arial"/>
          <w:sz w:val="22"/>
          <w:szCs w:val="22"/>
          <w:lang w:val="es-419"/>
        </w:rPr>
      </w:pPr>
      <w:r w:rsidRPr="00F73AD8">
        <w:rPr>
          <w:rFonts w:ascii="Arial" w:hAnsi="Arial" w:cs="Arial"/>
          <w:sz w:val="22"/>
          <w:szCs w:val="22"/>
          <w:lang w:val="es-419"/>
        </w:rPr>
        <w:t>Como reflexión final, se plantea la necesidad de repensar el enfoque de gobernanza en empresas subsidiarias. Es necesario incorporar mecanismos que fortalezcan la independencia y sensibilidad contextual en la toma de decisiones, reconociendo el valor que pueden aportar los directores locales en la gestión de riesgos sociales, políticos y éticos. La gobernanza moderna no puede limitarse a la eficiencia operativa; requiere estructuras que escuchen, entiendan y respondan al entorno en el que operan. </w:t>
      </w:r>
    </w:p>
    <w:p w14:paraId="1B439F1C" w14:textId="72C99B96" w:rsidR="004A120E" w:rsidRPr="00F73AD8" w:rsidRDefault="00B73381" w:rsidP="00F73AD8">
      <w:pPr>
        <w:spacing w:line="360" w:lineRule="auto"/>
        <w:jc w:val="both"/>
        <w:rPr>
          <w:rFonts w:ascii="Arial" w:hAnsi="Arial" w:cs="Arial"/>
          <w:sz w:val="22"/>
          <w:szCs w:val="22"/>
          <w:lang w:val="es-ES"/>
        </w:rPr>
      </w:pPr>
      <w:r w:rsidRPr="00F73AD8">
        <w:rPr>
          <w:rFonts w:ascii="Arial" w:hAnsi="Arial" w:cs="Arial"/>
          <w:sz w:val="22"/>
          <w:szCs w:val="22"/>
          <w:lang w:val="es-ES"/>
        </w:rPr>
        <w:t>Haremos un repaso y un mapa de la inversión minera en el Perú y la presencia de los principales operadores globales; cómo vienen reportando su gestión como subsidiarias, complementándola con la información de las principales empresas mineras de capital nacional y el nivel de madurez de su gobierno corporativo.</w:t>
      </w:r>
    </w:p>
    <w:p w14:paraId="67C50E4E" w14:textId="77777777" w:rsidR="00680F91" w:rsidRPr="00F73AD8" w:rsidRDefault="00680F91" w:rsidP="00F73AD8">
      <w:pPr>
        <w:spacing w:line="360" w:lineRule="auto"/>
        <w:rPr>
          <w:rFonts w:ascii="Arial" w:hAnsi="Arial" w:cs="Arial"/>
          <w:b/>
          <w:bCs/>
          <w:sz w:val="22"/>
          <w:szCs w:val="22"/>
        </w:rPr>
      </w:pPr>
      <w:r w:rsidRPr="00F73AD8">
        <w:rPr>
          <w:rFonts w:ascii="Arial" w:hAnsi="Arial" w:cs="Arial"/>
          <w:b/>
          <w:bCs/>
          <w:sz w:val="22"/>
          <w:szCs w:val="22"/>
        </w:rPr>
        <w:t>Perfiles profesionales de autores:</w:t>
      </w:r>
    </w:p>
    <w:p w14:paraId="1DBAF40F" w14:textId="5565AA5F" w:rsidR="00680F91" w:rsidRPr="00F73AD8" w:rsidRDefault="00680F91" w:rsidP="00F73AD8">
      <w:pPr>
        <w:spacing w:line="360" w:lineRule="auto"/>
        <w:rPr>
          <w:rFonts w:ascii="Arial" w:hAnsi="Arial" w:cs="Arial"/>
          <w:b/>
          <w:bCs/>
          <w:sz w:val="22"/>
          <w:szCs w:val="22"/>
        </w:rPr>
      </w:pPr>
      <w:r w:rsidRPr="00F73AD8">
        <w:rPr>
          <w:rFonts w:ascii="Arial" w:hAnsi="Arial" w:cs="Arial"/>
          <w:b/>
          <w:bCs/>
          <w:sz w:val="22"/>
          <w:szCs w:val="22"/>
        </w:rPr>
        <w:t>Jorge Melo-Vega</w:t>
      </w:r>
    </w:p>
    <w:p w14:paraId="0DC2BCCD" w14:textId="77777777" w:rsidR="00680F91" w:rsidRPr="00F73AD8" w:rsidRDefault="00680F91" w:rsidP="00F73AD8">
      <w:pPr>
        <w:spacing w:line="360" w:lineRule="auto"/>
        <w:rPr>
          <w:rFonts w:ascii="Arial" w:hAnsi="Arial" w:cs="Arial"/>
          <w:sz w:val="22"/>
          <w:szCs w:val="22"/>
          <w:lang w:val="es-419"/>
        </w:rPr>
      </w:pPr>
      <w:r w:rsidRPr="00F73AD8">
        <w:rPr>
          <w:rFonts w:ascii="Arial" w:hAnsi="Arial" w:cs="Arial"/>
          <w:sz w:val="22"/>
          <w:szCs w:val="22"/>
          <w:lang w:val="es-419"/>
        </w:rPr>
        <w:t>Abogado por la PUCP, con Maestrías en Administración Pública por la Universidad de Alcalá de Henares de España y Maestría en Responsabilidad Social por la Universidad de Barcelona.</w:t>
      </w:r>
    </w:p>
    <w:p w14:paraId="3CBDA5C7" w14:textId="6EAB9C91" w:rsidR="00680F91" w:rsidRPr="00F73AD8" w:rsidRDefault="00680F91" w:rsidP="00F73AD8">
      <w:pPr>
        <w:spacing w:line="360" w:lineRule="auto"/>
        <w:rPr>
          <w:rFonts w:ascii="Arial" w:hAnsi="Arial" w:cs="Arial"/>
          <w:sz w:val="22"/>
          <w:szCs w:val="22"/>
          <w:lang w:val="es-419"/>
        </w:rPr>
      </w:pPr>
      <w:r w:rsidRPr="00F73AD8">
        <w:rPr>
          <w:rFonts w:ascii="Arial" w:hAnsi="Arial" w:cs="Arial"/>
          <w:sz w:val="22"/>
          <w:szCs w:val="22"/>
          <w:lang w:val="es-419"/>
        </w:rPr>
        <w:t xml:space="preserve">Presidente de </w:t>
      </w:r>
      <w:proofErr w:type="spellStart"/>
      <w:r w:rsidRPr="00F73AD8">
        <w:rPr>
          <w:rFonts w:ascii="Arial" w:hAnsi="Arial" w:cs="Arial"/>
          <w:sz w:val="22"/>
          <w:szCs w:val="22"/>
          <w:lang w:val="es-419"/>
        </w:rPr>
        <w:t>Responde</w:t>
      </w:r>
      <w:proofErr w:type="spellEnd"/>
      <w:r w:rsidRPr="00F73AD8">
        <w:rPr>
          <w:rFonts w:ascii="Arial" w:hAnsi="Arial" w:cs="Arial"/>
          <w:sz w:val="22"/>
          <w:szCs w:val="22"/>
          <w:lang w:val="es-419"/>
        </w:rPr>
        <w:t xml:space="preserve">, consultora especializada en gestión de la sostenibilidad y ESG desde el 2005.Ha sido miembro del Directorio de Telefónica del Perú </w:t>
      </w:r>
      <w:r w:rsidR="00E56116" w:rsidRPr="00F73AD8">
        <w:rPr>
          <w:rFonts w:ascii="Arial" w:hAnsi="Arial" w:cs="Arial"/>
          <w:sz w:val="22"/>
          <w:szCs w:val="22"/>
          <w:lang w:val="es-419"/>
        </w:rPr>
        <w:t xml:space="preserve">- </w:t>
      </w:r>
      <w:r w:rsidRPr="00F73AD8">
        <w:rPr>
          <w:rFonts w:ascii="Arial" w:hAnsi="Arial" w:cs="Arial"/>
          <w:sz w:val="22"/>
          <w:szCs w:val="22"/>
          <w:lang w:val="es-419"/>
        </w:rPr>
        <w:t xml:space="preserve">Gerente Central de Estrategias y Regulación. 2000 al 2004. Ha sido Secretario General del OSIPTEL de 94 al </w:t>
      </w:r>
      <w:proofErr w:type="gramStart"/>
      <w:r w:rsidRPr="00F73AD8">
        <w:rPr>
          <w:rFonts w:ascii="Arial" w:hAnsi="Arial" w:cs="Arial"/>
          <w:sz w:val="22"/>
          <w:szCs w:val="22"/>
          <w:lang w:val="es-419"/>
        </w:rPr>
        <w:t>98.Secretario</w:t>
      </w:r>
      <w:proofErr w:type="gramEnd"/>
      <w:r w:rsidRPr="00F73AD8">
        <w:rPr>
          <w:rFonts w:ascii="Arial" w:hAnsi="Arial" w:cs="Arial"/>
          <w:sz w:val="22"/>
          <w:szCs w:val="22"/>
          <w:lang w:val="es-419"/>
        </w:rPr>
        <w:t xml:space="preserve"> del Comité de Privatización de la CPT y ENTEL y miembro de los Comités de Participación Ciudadana para la privatización en: Pacasmayo, Luz del Sur, Telefónica, BBVA, BBVA. 92 al </w:t>
      </w:r>
      <w:proofErr w:type="gramStart"/>
      <w:r w:rsidRPr="00F73AD8">
        <w:rPr>
          <w:rFonts w:ascii="Arial" w:hAnsi="Arial" w:cs="Arial"/>
          <w:sz w:val="22"/>
          <w:szCs w:val="22"/>
          <w:lang w:val="es-419"/>
        </w:rPr>
        <w:t>99.Director</w:t>
      </w:r>
      <w:proofErr w:type="gramEnd"/>
      <w:r w:rsidRPr="00F73AD8">
        <w:rPr>
          <w:rFonts w:ascii="Arial" w:hAnsi="Arial" w:cs="Arial"/>
          <w:sz w:val="22"/>
          <w:szCs w:val="22"/>
          <w:lang w:val="es-419"/>
        </w:rPr>
        <w:t xml:space="preserve"> General del Centro de Investigaciones del Senado de la República. 91 al 92</w:t>
      </w:r>
      <w:r w:rsidR="00F73AD8">
        <w:rPr>
          <w:rFonts w:ascii="Arial" w:hAnsi="Arial" w:cs="Arial"/>
          <w:sz w:val="22"/>
          <w:szCs w:val="22"/>
          <w:lang w:val="es-419"/>
        </w:rPr>
        <w:t xml:space="preserve">. </w:t>
      </w:r>
      <w:r w:rsidRPr="00F73AD8">
        <w:rPr>
          <w:rFonts w:ascii="Arial" w:hAnsi="Arial" w:cs="Arial"/>
          <w:sz w:val="22"/>
          <w:szCs w:val="22"/>
          <w:lang w:val="es-419"/>
        </w:rPr>
        <w:t>Miembro del Comité de DDHH y Empresa de la CONFIEP 2020 al 2024</w:t>
      </w:r>
      <w:r w:rsidR="00F73AD8">
        <w:rPr>
          <w:rFonts w:ascii="Arial" w:hAnsi="Arial" w:cs="Arial"/>
          <w:sz w:val="22"/>
          <w:szCs w:val="22"/>
          <w:lang w:val="es-419"/>
        </w:rPr>
        <w:t xml:space="preserve">. </w:t>
      </w:r>
      <w:r w:rsidRPr="00F73AD8">
        <w:rPr>
          <w:rFonts w:ascii="Arial" w:hAnsi="Arial" w:cs="Arial"/>
          <w:sz w:val="22"/>
          <w:szCs w:val="22"/>
          <w:lang w:val="es-419"/>
        </w:rPr>
        <w:t>Director de la Cámara Española en Perú</w:t>
      </w:r>
      <w:r w:rsidR="00F73AD8">
        <w:rPr>
          <w:rFonts w:ascii="Arial" w:hAnsi="Arial" w:cs="Arial"/>
          <w:sz w:val="22"/>
          <w:szCs w:val="22"/>
          <w:lang w:val="es-419"/>
        </w:rPr>
        <w:t xml:space="preserve">. </w:t>
      </w:r>
      <w:r w:rsidRPr="00F73AD8">
        <w:rPr>
          <w:rFonts w:ascii="Arial" w:hAnsi="Arial" w:cs="Arial"/>
          <w:sz w:val="22"/>
          <w:szCs w:val="22"/>
          <w:lang w:val="es-419"/>
        </w:rPr>
        <w:t>Profesor en CENTRUM, PUCP, U. Lima, UPC.</w:t>
      </w:r>
    </w:p>
    <w:p w14:paraId="71731A4E" w14:textId="3905ACC9" w:rsidR="00680F91" w:rsidRPr="00F73AD8" w:rsidRDefault="00680F91" w:rsidP="00F73AD8">
      <w:pPr>
        <w:spacing w:line="360" w:lineRule="auto"/>
        <w:jc w:val="both"/>
        <w:rPr>
          <w:rFonts w:ascii="Arial" w:hAnsi="Arial" w:cs="Arial"/>
          <w:b/>
          <w:bCs/>
          <w:sz w:val="22"/>
          <w:szCs w:val="22"/>
        </w:rPr>
      </w:pPr>
      <w:r w:rsidRPr="00F73AD8">
        <w:rPr>
          <w:rFonts w:ascii="Arial" w:hAnsi="Arial" w:cs="Arial"/>
          <w:b/>
          <w:bCs/>
          <w:sz w:val="22"/>
          <w:szCs w:val="22"/>
        </w:rPr>
        <w:t>Cecilia Benavides</w:t>
      </w:r>
    </w:p>
    <w:p w14:paraId="5317E3EA" w14:textId="77777777" w:rsidR="00E56116" w:rsidRPr="00F73AD8" w:rsidRDefault="00E56116"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Consultora en sostenibilidad y especialista en comunicación estratégica. Con 13 años de experiencia en gestión de proyectos vinculados al sector público, privado y cooperación internacional. Magíster en Gerencia Social por la PUCP y Master en International Business </w:t>
      </w:r>
      <w:proofErr w:type="spellStart"/>
      <w:r w:rsidRPr="00F73AD8">
        <w:rPr>
          <w:rFonts w:ascii="Arial" w:hAnsi="Arial" w:cs="Arial"/>
          <w:sz w:val="22"/>
          <w:szCs w:val="22"/>
          <w:lang w:val="es-419"/>
        </w:rPr>
        <w:t>Administration</w:t>
      </w:r>
      <w:proofErr w:type="spellEnd"/>
      <w:r w:rsidRPr="00F73AD8">
        <w:rPr>
          <w:rFonts w:ascii="Arial" w:hAnsi="Arial" w:cs="Arial"/>
          <w:sz w:val="22"/>
          <w:szCs w:val="22"/>
          <w:lang w:val="es-419"/>
        </w:rPr>
        <w:t xml:space="preserve"> por la UAB.</w:t>
      </w:r>
    </w:p>
    <w:p w14:paraId="06BB8617" w14:textId="77777777" w:rsidR="00E56116" w:rsidRPr="00F73AD8" w:rsidRDefault="00E56116" w:rsidP="00F73AD8">
      <w:pPr>
        <w:spacing w:line="360" w:lineRule="auto"/>
        <w:jc w:val="both"/>
        <w:rPr>
          <w:rFonts w:ascii="Arial" w:hAnsi="Arial" w:cs="Arial"/>
          <w:sz w:val="22"/>
          <w:szCs w:val="22"/>
          <w:lang w:val="es-419"/>
        </w:rPr>
      </w:pPr>
      <w:r w:rsidRPr="00F73AD8">
        <w:rPr>
          <w:rFonts w:ascii="Arial" w:hAnsi="Arial" w:cs="Arial"/>
          <w:sz w:val="22"/>
          <w:szCs w:val="22"/>
          <w:lang w:val="es-419"/>
        </w:rPr>
        <w:t xml:space="preserve">Experiencia en consultoría de sostenibilidad y gestión ASG para grandes segmentos corporativos, incluyendo los sectores de minería energía, hidrocarburos, ingeniería e </w:t>
      </w:r>
      <w:r w:rsidRPr="00F73AD8">
        <w:rPr>
          <w:rFonts w:ascii="Arial" w:hAnsi="Arial" w:cs="Arial"/>
          <w:sz w:val="22"/>
          <w:szCs w:val="22"/>
          <w:lang w:val="es-419"/>
        </w:rPr>
        <w:lastRenderedPageBreak/>
        <w:t>infraestructura, materiales de construcción, infraestructura de transporte, telecomunicaciones, pesca, alimentos y bebidas, banca, maquinarias, entre otros.</w:t>
      </w:r>
    </w:p>
    <w:p w14:paraId="26935BC0" w14:textId="576CDF33" w:rsidR="00680F91" w:rsidRPr="00F73AD8" w:rsidRDefault="00680F91" w:rsidP="00F73AD8">
      <w:pPr>
        <w:spacing w:line="360" w:lineRule="auto"/>
        <w:jc w:val="both"/>
        <w:rPr>
          <w:rFonts w:ascii="Arial" w:hAnsi="Arial" w:cs="Arial"/>
          <w:b/>
          <w:bCs/>
          <w:sz w:val="22"/>
          <w:szCs w:val="22"/>
        </w:rPr>
      </w:pPr>
      <w:bookmarkStart w:id="0" w:name="_GoBack"/>
      <w:r w:rsidRPr="00F73AD8">
        <w:rPr>
          <w:rFonts w:ascii="Arial" w:hAnsi="Arial" w:cs="Arial"/>
          <w:b/>
          <w:bCs/>
          <w:sz w:val="22"/>
          <w:szCs w:val="22"/>
        </w:rPr>
        <w:t>Danica Briceño</w:t>
      </w:r>
    </w:p>
    <w:bookmarkEnd w:id="0"/>
    <w:p w14:paraId="33CCF5D4" w14:textId="40DD1390" w:rsidR="00D54A75" w:rsidRPr="00F73AD8" w:rsidRDefault="00D54A75" w:rsidP="00F73AD8">
      <w:pPr>
        <w:spacing w:line="360" w:lineRule="auto"/>
        <w:rPr>
          <w:rFonts w:ascii="Arial" w:hAnsi="Arial" w:cs="Arial"/>
          <w:sz w:val="22"/>
          <w:szCs w:val="22"/>
          <w:lang w:val="es-419"/>
        </w:rPr>
      </w:pPr>
      <w:r w:rsidRPr="00F73AD8">
        <w:rPr>
          <w:rFonts w:ascii="Arial" w:hAnsi="Arial" w:cs="Arial"/>
          <w:sz w:val="22"/>
          <w:szCs w:val="22"/>
          <w:lang w:val="es-419"/>
        </w:rPr>
        <w:t xml:space="preserve">Licenciada en Economía Social de la Universidad Johannes Kepler en Linz, Austria, con 6 años de experiencia en el diseño, implementación, monitoreo y medición de estrategias de sostenibilidad, así como la gestión de proyectos con enfoque social, ambiental y de derechos humanos en empresas de sectores como infraestructura del trasporte, construcción, </w:t>
      </w:r>
      <w:r w:rsidR="00405AA5" w:rsidRPr="00F73AD8">
        <w:rPr>
          <w:rFonts w:ascii="Arial" w:hAnsi="Arial" w:cs="Arial"/>
          <w:sz w:val="22"/>
          <w:szCs w:val="22"/>
          <w:lang w:val="es-419"/>
        </w:rPr>
        <w:t>siderurgia</w:t>
      </w:r>
      <w:r w:rsidRPr="00F73AD8">
        <w:rPr>
          <w:rFonts w:ascii="Arial" w:hAnsi="Arial" w:cs="Arial"/>
          <w:sz w:val="22"/>
          <w:szCs w:val="22"/>
          <w:lang w:val="es-419"/>
        </w:rPr>
        <w:t xml:space="preserve">, minería, energía y servicios financieros. </w:t>
      </w:r>
    </w:p>
    <w:p w14:paraId="4FE2330A" w14:textId="77777777" w:rsidR="00D54A75" w:rsidRPr="00F73AD8" w:rsidRDefault="00D54A75" w:rsidP="00F73AD8">
      <w:pPr>
        <w:spacing w:line="360" w:lineRule="auto"/>
        <w:jc w:val="both"/>
        <w:rPr>
          <w:rFonts w:ascii="Arial" w:hAnsi="Arial" w:cs="Arial"/>
          <w:b/>
          <w:bCs/>
        </w:rPr>
      </w:pPr>
    </w:p>
    <w:sectPr w:rsidR="00D54A75" w:rsidRPr="00F73A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81"/>
    <w:rsid w:val="000C79F8"/>
    <w:rsid w:val="00261D3E"/>
    <w:rsid w:val="00405AA5"/>
    <w:rsid w:val="004A120E"/>
    <w:rsid w:val="00680F91"/>
    <w:rsid w:val="006D1CEB"/>
    <w:rsid w:val="007D2AB4"/>
    <w:rsid w:val="00801A50"/>
    <w:rsid w:val="00B73381"/>
    <w:rsid w:val="00BD54BF"/>
    <w:rsid w:val="00D54A75"/>
    <w:rsid w:val="00D83B2A"/>
    <w:rsid w:val="00DB25A7"/>
    <w:rsid w:val="00E56116"/>
    <w:rsid w:val="00F73AD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1C62"/>
  <w15:chartTrackingRefBased/>
  <w15:docId w15:val="{F3ECCDB2-DAD5-43B6-9F9F-BC0685B8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B73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3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3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3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3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3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3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3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381"/>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B73381"/>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B73381"/>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B73381"/>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B73381"/>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B73381"/>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B73381"/>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B73381"/>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B73381"/>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B73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381"/>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B733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381"/>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B73381"/>
    <w:pPr>
      <w:spacing w:before="160"/>
      <w:jc w:val="center"/>
    </w:pPr>
    <w:rPr>
      <w:i/>
      <w:iCs/>
      <w:color w:val="404040" w:themeColor="text1" w:themeTint="BF"/>
    </w:rPr>
  </w:style>
  <w:style w:type="character" w:customStyle="1" w:styleId="CitaCar">
    <w:name w:val="Cita Car"/>
    <w:basedOn w:val="Fuentedeprrafopredeter"/>
    <w:link w:val="Cita"/>
    <w:uiPriority w:val="29"/>
    <w:rsid w:val="00B73381"/>
    <w:rPr>
      <w:i/>
      <w:iCs/>
      <w:color w:val="404040" w:themeColor="text1" w:themeTint="BF"/>
      <w:lang w:val="es-PE"/>
    </w:rPr>
  </w:style>
  <w:style w:type="paragraph" w:styleId="Prrafodelista">
    <w:name w:val="List Paragraph"/>
    <w:basedOn w:val="Normal"/>
    <w:uiPriority w:val="34"/>
    <w:qFormat/>
    <w:rsid w:val="00B73381"/>
    <w:pPr>
      <w:ind w:left="720"/>
      <w:contextualSpacing/>
    </w:pPr>
  </w:style>
  <w:style w:type="character" w:styleId="nfasisintenso">
    <w:name w:val="Intense Emphasis"/>
    <w:basedOn w:val="Fuentedeprrafopredeter"/>
    <w:uiPriority w:val="21"/>
    <w:qFormat/>
    <w:rsid w:val="00B73381"/>
    <w:rPr>
      <w:i/>
      <w:iCs/>
      <w:color w:val="0F4761" w:themeColor="accent1" w:themeShade="BF"/>
    </w:rPr>
  </w:style>
  <w:style w:type="paragraph" w:styleId="Citadestacada">
    <w:name w:val="Intense Quote"/>
    <w:basedOn w:val="Normal"/>
    <w:next w:val="Normal"/>
    <w:link w:val="CitadestacadaCar"/>
    <w:uiPriority w:val="30"/>
    <w:qFormat/>
    <w:rsid w:val="00B73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381"/>
    <w:rPr>
      <w:i/>
      <w:iCs/>
      <w:color w:val="0F4761" w:themeColor="accent1" w:themeShade="BF"/>
      <w:lang w:val="es-PE"/>
    </w:rPr>
  </w:style>
  <w:style w:type="character" w:styleId="Referenciaintensa">
    <w:name w:val="Intense Reference"/>
    <w:basedOn w:val="Fuentedeprrafopredeter"/>
    <w:uiPriority w:val="32"/>
    <w:qFormat/>
    <w:rsid w:val="00B73381"/>
    <w:rPr>
      <w:b/>
      <w:bCs/>
      <w:smallCaps/>
      <w:color w:val="0F4761" w:themeColor="accent1" w:themeShade="BF"/>
      <w:spacing w:val="5"/>
    </w:rPr>
  </w:style>
  <w:style w:type="paragraph" w:styleId="Textoindependiente">
    <w:name w:val="Body Text"/>
    <w:basedOn w:val="Normal"/>
    <w:link w:val="TextoindependienteCar"/>
    <w:uiPriority w:val="1"/>
    <w:qFormat/>
    <w:rsid w:val="00D54A75"/>
    <w:pPr>
      <w:widowControl w:val="0"/>
      <w:autoSpaceDE w:val="0"/>
      <w:autoSpaceDN w:val="0"/>
      <w:spacing w:before="11" w:after="0" w:line="240" w:lineRule="auto"/>
    </w:pPr>
    <w:rPr>
      <w:rFonts w:ascii="Times New Roman" w:eastAsia="Times New Roman" w:hAnsi="Times New Roman" w:cs="Times New Roman"/>
      <w:kern w:val="0"/>
      <w:sz w:val="22"/>
      <w:szCs w:val="22"/>
      <w14:ligatures w14:val="none"/>
    </w:rPr>
  </w:style>
  <w:style w:type="character" w:customStyle="1" w:styleId="TextoindependienteCar">
    <w:name w:val="Texto independiente Car"/>
    <w:basedOn w:val="Fuentedeprrafopredeter"/>
    <w:link w:val="Textoindependiente"/>
    <w:uiPriority w:val="1"/>
    <w:rsid w:val="00D54A75"/>
    <w:rPr>
      <w:rFonts w:ascii="Times New Roman" w:eastAsia="Times New Roman" w:hAnsi="Times New Roman" w:cs="Times New Roman"/>
      <w:kern w:val="0"/>
      <w:sz w:val="22"/>
      <w:szCs w:val="22"/>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51450">
      <w:bodyDiv w:val="1"/>
      <w:marLeft w:val="0"/>
      <w:marRight w:val="0"/>
      <w:marTop w:val="0"/>
      <w:marBottom w:val="0"/>
      <w:divBdr>
        <w:top w:val="none" w:sz="0" w:space="0" w:color="auto"/>
        <w:left w:val="none" w:sz="0" w:space="0" w:color="auto"/>
        <w:bottom w:val="none" w:sz="0" w:space="0" w:color="auto"/>
        <w:right w:val="none" w:sz="0" w:space="0" w:color="auto"/>
      </w:divBdr>
      <w:divsChild>
        <w:div w:id="773743117">
          <w:marLeft w:val="0"/>
          <w:marRight w:val="0"/>
          <w:marTop w:val="0"/>
          <w:marBottom w:val="0"/>
          <w:divBdr>
            <w:top w:val="none" w:sz="0" w:space="0" w:color="auto"/>
            <w:left w:val="none" w:sz="0" w:space="0" w:color="auto"/>
            <w:bottom w:val="none" w:sz="0" w:space="0" w:color="auto"/>
            <w:right w:val="none" w:sz="0" w:space="0" w:color="auto"/>
          </w:divBdr>
        </w:div>
        <w:div w:id="834298025">
          <w:marLeft w:val="0"/>
          <w:marRight w:val="0"/>
          <w:marTop w:val="0"/>
          <w:marBottom w:val="0"/>
          <w:divBdr>
            <w:top w:val="none" w:sz="0" w:space="0" w:color="auto"/>
            <w:left w:val="none" w:sz="0" w:space="0" w:color="auto"/>
            <w:bottom w:val="none" w:sz="0" w:space="0" w:color="auto"/>
            <w:right w:val="none" w:sz="0" w:space="0" w:color="auto"/>
          </w:divBdr>
        </w:div>
        <w:div w:id="1332298089">
          <w:marLeft w:val="0"/>
          <w:marRight w:val="0"/>
          <w:marTop w:val="0"/>
          <w:marBottom w:val="0"/>
          <w:divBdr>
            <w:top w:val="none" w:sz="0" w:space="0" w:color="auto"/>
            <w:left w:val="none" w:sz="0" w:space="0" w:color="auto"/>
            <w:bottom w:val="none" w:sz="0" w:space="0" w:color="auto"/>
            <w:right w:val="none" w:sz="0" w:space="0" w:color="auto"/>
          </w:divBdr>
        </w:div>
        <w:div w:id="1906212134">
          <w:marLeft w:val="0"/>
          <w:marRight w:val="0"/>
          <w:marTop w:val="0"/>
          <w:marBottom w:val="0"/>
          <w:divBdr>
            <w:top w:val="none" w:sz="0" w:space="0" w:color="auto"/>
            <w:left w:val="none" w:sz="0" w:space="0" w:color="auto"/>
            <w:bottom w:val="none" w:sz="0" w:space="0" w:color="auto"/>
            <w:right w:val="none" w:sz="0" w:space="0" w:color="auto"/>
          </w:divBdr>
        </w:div>
        <w:div w:id="1456094898">
          <w:marLeft w:val="0"/>
          <w:marRight w:val="0"/>
          <w:marTop w:val="0"/>
          <w:marBottom w:val="0"/>
          <w:divBdr>
            <w:top w:val="none" w:sz="0" w:space="0" w:color="auto"/>
            <w:left w:val="none" w:sz="0" w:space="0" w:color="auto"/>
            <w:bottom w:val="none" w:sz="0" w:space="0" w:color="auto"/>
            <w:right w:val="none" w:sz="0" w:space="0" w:color="auto"/>
          </w:divBdr>
        </w:div>
        <w:div w:id="1171989212">
          <w:marLeft w:val="0"/>
          <w:marRight w:val="0"/>
          <w:marTop w:val="0"/>
          <w:marBottom w:val="0"/>
          <w:divBdr>
            <w:top w:val="none" w:sz="0" w:space="0" w:color="auto"/>
            <w:left w:val="none" w:sz="0" w:space="0" w:color="auto"/>
            <w:bottom w:val="none" w:sz="0" w:space="0" w:color="auto"/>
            <w:right w:val="none" w:sz="0" w:space="0" w:color="auto"/>
          </w:divBdr>
        </w:div>
        <w:div w:id="1998418999">
          <w:marLeft w:val="0"/>
          <w:marRight w:val="0"/>
          <w:marTop w:val="0"/>
          <w:marBottom w:val="0"/>
          <w:divBdr>
            <w:top w:val="none" w:sz="0" w:space="0" w:color="auto"/>
            <w:left w:val="none" w:sz="0" w:space="0" w:color="auto"/>
            <w:bottom w:val="none" w:sz="0" w:space="0" w:color="auto"/>
            <w:right w:val="none" w:sz="0" w:space="0" w:color="auto"/>
          </w:divBdr>
        </w:div>
      </w:divsChild>
    </w:div>
    <w:div w:id="296029513">
      <w:bodyDiv w:val="1"/>
      <w:marLeft w:val="0"/>
      <w:marRight w:val="0"/>
      <w:marTop w:val="0"/>
      <w:marBottom w:val="0"/>
      <w:divBdr>
        <w:top w:val="none" w:sz="0" w:space="0" w:color="auto"/>
        <w:left w:val="none" w:sz="0" w:space="0" w:color="auto"/>
        <w:bottom w:val="none" w:sz="0" w:space="0" w:color="auto"/>
        <w:right w:val="none" w:sz="0" w:space="0" w:color="auto"/>
      </w:divBdr>
      <w:divsChild>
        <w:div w:id="1535920127">
          <w:marLeft w:val="0"/>
          <w:marRight w:val="0"/>
          <w:marTop w:val="0"/>
          <w:marBottom w:val="0"/>
          <w:divBdr>
            <w:top w:val="none" w:sz="0" w:space="0" w:color="auto"/>
            <w:left w:val="none" w:sz="0" w:space="0" w:color="auto"/>
            <w:bottom w:val="none" w:sz="0" w:space="0" w:color="auto"/>
            <w:right w:val="none" w:sz="0" w:space="0" w:color="auto"/>
          </w:divBdr>
        </w:div>
        <w:div w:id="443814803">
          <w:marLeft w:val="0"/>
          <w:marRight w:val="0"/>
          <w:marTop w:val="0"/>
          <w:marBottom w:val="0"/>
          <w:divBdr>
            <w:top w:val="none" w:sz="0" w:space="0" w:color="auto"/>
            <w:left w:val="none" w:sz="0" w:space="0" w:color="auto"/>
            <w:bottom w:val="none" w:sz="0" w:space="0" w:color="auto"/>
            <w:right w:val="none" w:sz="0" w:space="0" w:color="auto"/>
          </w:divBdr>
        </w:div>
        <w:div w:id="1981227671">
          <w:marLeft w:val="0"/>
          <w:marRight w:val="0"/>
          <w:marTop w:val="0"/>
          <w:marBottom w:val="0"/>
          <w:divBdr>
            <w:top w:val="none" w:sz="0" w:space="0" w:color="auto"/>
            <w:left w:val="none" w:sz="0" w:space="0" w:color="auto"/>
            <w:bottom w:val="none" w:sz="0" w:space="0" w:color="auto"/>
            <w:right w:val="none" w:sz="0" w:space="0" w:color="auto"/>
          </w:divBdr>
        </w:div>
      </w:divsChild>
    </w:div>
    <w:div w:id="416437816">
      <w:bodyDiv w:val="1"/>
      <w:marLeft w:val="0"/>
      <w:marRight w:val="0"/>
      <w:marTop w:val="0"/>
      <w:marBottom w:val="0"/>
      <w:divBdr>
        <w:top w:val="none" w:sz="0" w:space="0" w:color="auto"/>
        <w:left w:val="none" w:sz="0" w:space="0" w:color="auto"/>
        <w:bottom w:val="none" w:sz="0" w:space="0" w:color="auto"/>
        <w:right w:val="none" w:sz="0" w:space="0" w:color="auto"/>
      </w:divBdr>
      <w:divsChild>
        <w:div w:id="2020545666">
          <w:marLeft w:val="0"/>
          <w:marRight w:val="0"/>
          <w:marTop w:val="0"/>
          <w:marBottom w:val="0"/>
          <w:divBdr>
            <w:top w:val="none" w:sz="0" w:space="0" w:color="auto"/>
            <w:left w:val="none" w:sz="0" w:space="0" w:color="auto"/>
            <w:bottom w:val="none" w:sz="0" w:space="0" w:color="auto"/>
            <w:right w:val="none" w:sz="0" w:space="0" w:color="auto"/>
          </w:divBdr>
        </w:div>
        <w:div w:id="1414088710">
          <w:marLeft w:val="0"/>
          <w:marRight w:val="0"/>
          <w:marTop w:val="0"/>
          <w:marBottom w:val="0"/>
          <w:divBdr>
            <w:top w:val="none" w:sz="0" w:space="0" w:color="auto"/>
            <w:left w:val="none" w:sz="0" w:space="0" w:color="auto"/>
            <w:bottom w:val="none" w:sz="0" w:space="0" w:color="auto"/>
            <w:right w:val="none" w:sz="0" w:space="0" w:color="auto"/>
          </w:divBdr>
        </w:div>
        <w:div w:id="530725723">
          <w:marLeft w:val="0"/>
          <w:marRight w:val="0"/>
          <w:marTop w:val="0"/>
          <w:marBottom w:val="0"/>
          <w:divBdr>
            <w:top w:val="none" w:sz="0" w:space="0" w:color="auto"/>
            <w:left w:val="none" w:sz="0" w:space="0" w:color="auto"/>
            <w:bottom w:val="none" w:sz="0" w:space="0" w:color="auto"/>
            <w:right w:val="none" w:sz="0" w:space="0" w:color="auto"/>
          </w:divBdr>
        </w:div>
        <w:div w:id="836071517">
          <w:marLeft w:val="0"/>
          <w:marRight w:val="0"/>
          <w:marTop w:val="0"/>
          <w:marBottom w:val="0"/>
          <w:divBdr>
            <w:top w:val="none" w:sz="0" w:space="0" w:color="auto"/>
            <w:left w:val="none" w:sz="0" w:space="0" w:color="auto"/>
            <w:bottom w:val="none" w:sz="0" w:space="0" w:color="auto"/>
            <w:right w:val="none" w:sz="0" w:space="0" w:color="auto"/>
          </w:divBdr>
        </w:div>
        <w:div w:id="1040325071">
          <w:marLeft w:val="0"/>
          <w:marRight w:val="0"/>
          <w:marTop w:val="0"/>
          <w:marBottom w:val="0"/>
          <w:divBdr>
            <w:top w:val="none" w:sz="0" w:space="0" w:color="auto"/>
            <w:left w:val="none" w:sz="0" w:space="0" w:color="auto"/>
            <w:bottom w:val="none" w:sz="0" w:space="0" w:color="auto"/>
            <w:right w:val="none" w:sz="0" w:space="0" w:color="auto"/>
          </w:divBdr>
        </w:div>
        <w:div w:id="490490146">
          <w:marLeft w:val="0"/>
          <w:marRight w:val="0"/>
          <w:marTop w:val="0"/>
          <w:marBottom w:val="0"/>
          <w:divBdr>
            <w:top w:val="none" w:sz="0" w:space="0" w:color="auto"/>
            <w:left w:val="none" w:sz="0" w:space="0" w:color="auto"/>
            <w:bottom w:val="none" w:sz="0" w:space="0" w:color="auto"/>
            <w:right w:val="none" w:sz="0" w:space="0" w:color="auto"/>
          </w:divBdr>
        </w:div>
        <w:div w:id="714349097">
          <w:marLeft w:val="0"/>
          <w:marRight w:val="0"/>
          <w:marTop w:val="0"/>
          <w:marBottom w:val="0"/>
          <w:divBdr>
            <w:top w:val="none" w:sz="0" w:space="0" w:color="auto"/>
            <w:left w:val="none" w:sz="0" w:space="0" w:color="auto"/>
            <w:bottom w:val="none" w:sz="0" w:space="0" w:color="auto"/>
            <w:right w:val="none" w:sz="0" w:space="0" w:color="auto"/>
          </w:divBdr>
        </w:div>
      </w:divsChild>
    </w:div>
    <w:div w:id="422922952">
      <w:bodyDiv w:val="1"/>
      <w:marLeft w:val="0"/>
      <w:marRight w:val="0"/>
      <w:marTop w:val="0"/>
      <w:marBottom w:val="0"/>
      <w:divBdr>
        <w:top w:val="none" w:sz="0" w:space="0" w:color="auto"/>
        <w:left w:val="none" w:sz="0" w:space="0" w:color="auto"/>
        <w:bottom w:val="none" w:sz="0" w:space="0" w:color="auto"/>
        <w:right w:val="none" w:sz="0" w:space="0" w:color="auto"/>
      </w:divBdr>
    </w:div>
    <w:div w:id="577524928">
      <w:bodyDiv w:val="1"/>
      <w:marLeft w:val="0"/>
      <w:marRight w:val="0"/>
      <w:marTop w:val="0"/>
      <w:marBottom w:val="0"/>
      <w:divBdr>
        <w:top w:val="none" w:sz="0" w:space="0" w:color="auto"/>
        <w:left w:val="none" w:sz="0" w:space="0" w:color="auto"/>
        <w:bottom w:val="none" w:sz="0" w:space="0" w:color="auto"/>
        <w:right w:val="none" w:sz="0" w:space="0" w:color="auto"/>
      </w:divBdr>
      <w:divsChild>
        <w:div w:id="2105420741">
          <w:marLeft w:val="0"/>
          <w:marRight w:val="0"/>
          <w:marTop w:val="0"/>
          <w:marBottom w:val="0"/>
          <w:divBdr>
            <w:top w:val="none" w:sz="0" w:space="0" w:color="auto"/>
            <w:left w:val="none" w:sz="0" w:space="0" w:color="auto"/>
            <w:bottom w:val="none" w:sz="0" w:space="0" w:color="auto"/>
            <w:right w:val="none" w:sz="0" w:space="0" w:color="auto"/>
          </w:divBdr>
        </w:div>
        <w:div w:id="853693961">
          <w:marLeft w:val="0"/>
          <w:marRight w:val="0"/>
          <w:marTop w:val="0"/>
          <w:marBottom w:val="0"/>
          <w:divBdr>
            <w:top w:val="none" w:sz="0" w:space="0" w:color="auto"/>
            <w:left w:val="none" w:sz="0" w:space="0" w:color="auto"/>
            <w:bottom w:val="none" w:sz="0" w:space="0" w:color="auto"/>
            <w:right w:val="none" w:sz="0" w:space="0" w:color="auto"/>
          </w:divBdr>
        </w:div>
        <w:div w:id="1209951767">
          <w:marLeft w:val="0"/>
          <w:marRight w:val="0"/>
          <w:marTop w:val="0"/>
          <w:marBottom w:val="0"/>
          <w:divBdr>
            <w:top w:val="none" w:sz="0" w:space="0" w:color="auto"/>
            <w:left w:val="none" w:sz="0" w:space="0" w:color="auto"/>
            <w:bottom w:val="none" w:sz="0" w:space="0" w:color="auto"/>
            <w:right w:val="none" w:sz="0" w:space="0" w:color="auto"/>
          </w:divBdr>
        </w:div>
      </w:divsChild>
    </w:div>
    <w:div w:id="709191078">
      <w:bodyDiv w:val="1"/>
      <w:marLeft w:val="0"/>
      <w:marRight w:val="0"/>
      <w:marTop w:val="0"/>
      <w:marBottom w:val="0"/>
      <w:divBdr>
        <w:top w:val="none" w:sz="0" w:space="0" w:color="auto"/>
        <w:left w:val="none" w:sz="0" w:space="0" w:color="auto"/>
        <w:bottom w:val="none" w:sz="0" w:space="0" w:color="auto"/>
        <w:right w:val="none" w:sz="0" w:space="0" w:color="auto"/>
      </w:divBdr>
    </w:div>
    <w:div w:id="915942110">
      <w:bodyDiv w:val="1"/>
      <w:marLeft w:val="0"/>
      <w:marRight w:val="0"/>
      <w:marTop w:val="0"/>
      <w:marBottom w:val="0"/>
      <w:divBdr>
        <w:top w:val="none" w:sz="0" w:space="0" w:color="auto"/>
        <w:left w:val="none" w:sz="0" w:space="0" w:color="auto"/>
        <w:bottom w:val="none" w:sz="0" w:space="0" w:color="auto"/>
        <w:right w:val="none" w:sz="0" w:space="0" w:color="auto"/>
      </w:divBdr>
      <w:divsChild>
        <w:div w:id="623465043">
          <w:marLeft w:val="0"/>
          <w:marRight w:val="0"/>
          <w:marTop w:val="0"/>
          <w:marBottom w:val="0"/>
          <w:divBdr>
            <w:top w:val="none" w:sz="0" w:space="0" w:color="auto"/>
            <w:left w:val="none" w:sz="0" w:space="0" w:color="auto"/>
            <w:bottom w:val="none" w:sz="0" w:space="0" w:color="auto"/>
            <w:right w:val="none" w:sz="0" w:space="0" w:color="auto"/>
          </w:divBdr>
        </w:div>
        <w:div w:id="1253204364">
          <w:marLeft w:val="0"/>
          <w:marRight w:val="0"/>
          <w:marTop w:val="0"/>
          <w:marBottom w:val="0"/>
          <w:divBdr>
            <w:top w:val="none" w:sz="0" w:space="0" w:color="auto"/>
            <w:left w:val="none" w:sz="0" w:space="0" w:color="auto"/>
            <w:bottom w:val="none" w:sz="0" w:space="0" w:color="auto"/>
            <w:right w:val="none" w:sz="0" w:space="0" w:color="auto"/>
          </w:divBdr>
        </w:div>
        <w:div w:id="1811364496">
          <w:marLeft w:val="0"/>
          <w:marRight w:val="0"/>
          <w:marTop w:val="0"/>
          <w:marBottom w:val="0"/>
          <w:divBdr>
            <w:top w:val="none" w:sz="0" w:space="0" w:color="auto"/>
            <w:left w:val="none" w:sz="0" w:space="0" w:color="auto"/>
            <w:bottom w:val="none" w:sz="0" w:space="0" w:color="auto"/>
            <w:right w:val="none" w:sz="0" w:space="0" w:color="auto"/>
          </w:divBdr>
        </w:div>
      </w:divsChild>
    </w:div>
    <w:div w:id="1674259462">
      <w:bodyDiv w:val="1"/>
      <w:marLeft w:val="0"/>
      <w:marRight w:val="0"/>
      <w:marTop w:val="0"/>
      <w:marBottom w:val="0"/>
      <w:divBdr>
        <w:top w:val="none" w:sz="0" w:space="0" w:color="auto"/>
        <w:left w:val="none" w:sz="0" w:space="0" w:color="auto"/>
        <w:bottom w:val="none" w:sz="0" w:space="0" w:color="auto"/>
        <w:right w:val="none" w:sz="0" w:space="0" w:color="auto"/>
      </w:divBdr>
      <w:divsChild>
        <w:div w:id="89015019">
          <w:marLeft w:val="0"/>
          <w:marRight w:val="0"/>
          <w:marTop w:val="0"/>
          <w:marBottom w:val="0"/>
          <w:divBdr>
            <w:top w:val="none" w:sz="0" w:space="0" w:color="auto"/>
            <w:left w:val="none" w:sz="0" w:space="0" w:color="auto"/>
            <w:bottom w:val="none" w:sz="0" w:space="0" w:color="auto"/>
            <w:right w:val="none" w:sz="0" w:space="0" w:color="auto"/>
          </w:divBdr>
        </w:div>
        <w:div w:id="1156800247">
          <w:marLeft w:val="0"/>
          <w:marRight w:val="0"/>
          <w:marTop w:val="0"/>
          <w:marBottom w:val="0"/>
          <w:divBdr>
            <w:top w:val="none" w:sz="0" w:space="0" w:color="auto"/>
            <w:left w:val="none" w:sz="0" w:space="0" w:color="auto"/>
            <w:bottom w:val="none" w:sz="0" w:space="0" w:color="auto"/>
            <w:right w:val="none" w:sz="0" w:space="0" w:color="auto"/>
          </w:divBdr>
        </w:div>
        <w:div w:id="1555197956">
          <w:marLeft w:val="0"/>
          <w:marRight w:val="0"/>
          <w:marTop w:val="0"/>
          <w:marBottom w:val="0"/>
          <w:divBdr>
            <w:top w:val="none" w:sz="0" w:space="0" w:color="auto"/>
            <w:left w:val="none" w:sz="0" w:space="0" w:color="auto"/>
            <w:bottom w:val="none" w:sz="0" w:space="0" w:color="auto"/>
            <w:right w:val="none" w:sz="0" w:space="0" w:color="auto"/>
          </w:divBdr>
        </w:div>
      </w:divsChild>
    </w:div>
    <w:div w:id="2017801590">
      <w:bodyDiv w:val="1"/>
      <w:marLeft w:val="0"/>
      <w:marRight w:val="0"/>
      <w:marTop w:val="0"/>
      <w:marBottom w:val="0"/>
      <w:divBdr>
        <w:top w:val="none" w:sz="0" w:space="0" w:color="auto"/>
        <w:left w:val="none" w:sz="0" w:space="0" w:color="auto"/>
        <w:bottom w:val="none" w:sz="0" w:space="0" w:color="auto"/>
        <w:right w:val="none" w:sz="0" w:space="0" w:color="auto"/>
      </w:divBdr>
      <w:divsChild>
        <w:div w:id="373428454">
          <w:marLeft w:val="0"/>
          <w:marRight w:val="0"/>
          <w:marTop w:val="0"/>
          <w:marBottom w:val="0"/>
          <w:divBdr>
            <w:top w:val="none" w:sz="0" w:space="0" w:color="auto"/>
            <w:left w:val="none" w:sz="0" w:space="0" w:color="auto"/>
            <w:bottom w:val="none" w:sz="0" w:space="0" w:color="auto"/>
            <w:right w:val="none" w:sz="0" w:space="0" w:color="auto"/>
          </w:divBdr>
        </w:div>
        <w:div w:id="1346592170">
          <w:marLeft w:val="0"/>
          <w:marRight w:val="0"/>
          <w:marTop w:val="0"/>
          <w:marBottom w:val="0"/>
          <w:divBdr>
            <w:top w:val="none" w:sz="0" w:space="0" w:color="auto"/>
            <w:left w:val="none" w:sz="0" w:space="0" w:color="auto"/>
            <w:bottom w:val="none" w:sz="0" w:space="0" w:color="auto"/>
            <w:right w:val="none" w:sz="0" w:space="0" w:color="auto"/>
          </w:divBdr>
        </w:div>
        <w:div w:id="1863321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842</Words>
  <Characters>4636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Danica Briceño</dc:creator>
  <cp:keywords/>
  <dc:description/>
  <cp:lastModifiedBy>Saadia Espinoza</cp:lastModifiedBy>
  <cp:revision>4</cp:revision>
  <dcterms:created xsi:type="dcterms:W3CDTF">2025-04-28T20:58:00Z</dcterms:created>
  <dcterms:modified xsi:type="dcterms:W3CDTF">2025-04-28T21:58:00Z</dcterms:modified>
</cp:coreProperties>
</file>