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04C9" w:rsidRPr="00905C54" w:rsidRDefault="00905C54" w:rsidP="00905C54">
      <w:pPr>
        <w:spacing w:before="100" w:beforeAutospacing="1" w:after="100" w:afterAutospacing="1"/>
        <w:jc w:val="center"/>
        <w:rPr>
          <w:rStyle w:val="Textoennegrita"/>
          <w:rFonts w:ascii="Arial" w:hAnsi="Arial" w:cs="Arial"/>
          <w:b w:val="0"/>
          <w:bCs w:val="0"/>
          <w:lang w:val="es-RU" w:eastAsia="es-MX"/>
        </w:rPr>
      </w:pPr>
      <w:r w:rsidRPr="00905C54">
        <w:rPr>
          <w:rStyle w:val="Textoennegrita"/>
          <w:rFonts w:ascii="Arial" w:hAnsi="Arial" w:cs="Arial"/>
          <w:sz w:val="22"/>
          <w:szCs w:val="22"/>
          <w:lang w:val="es-ES"/>
        </w:rPr>
        <w:t>TÍTULO: ANÁLISIS DE MODELOS DE APRENDIZAJE AUTOMÁTICO PARA LA PREDICCIÓN DE LA CONCENTRACIÓN DE PLATA EN LA ZONA GEOLÓGICA DEL NUDO MINERAL CENTRAL (REGIÓN AUTÓNOMA DE CHUKOTKA - RUSIA)</w:t>
      </w:r>
    </w:p>
    <w:p w:rsidR="00905C54" w:rsidRPr="0022173A" w:rsidRDefault="00905C54" w:rsidP="0022173A">
      <w:pPr>
        <w:spacing w:before="100" w:beforeAutospacing="1" w:after="100" w:afterAutospacing="1"/>
        <w:jc w:val="center"/>
        <w:rPr>
          <w:rFonts w:ascii="ArialMT" w:hAnsi="ArialMT"/>
          <w:sz w:val="22"/>
          <w:szCs w:val="21"/>
          <w:lang w:val="es-RU" w:eastAsia="es-MX"/>
        </w:rPr>
      </w:pPr>
      <w:r w:rsidRPr="00F823BA">
        <w:rPr>
          <w:rFonts w:ascii="ArialMT" w:hAnsi="ArialMT"/>
          <w:sz w:val="22"/>
          <w:szCs w:val="21"/>
          <w:lang w:val="es-ES" w:eastAsia="es-MX"/>
        </w:rPr>
        <w:t xml:space="preserve">Tema: </w:t>
      </w:r>
      <w:r w:rsidR="0022173A" w:rsidRPr="0022173A">
        <w:rPr>
          <w:rFonts w:ascii="ArialMT" w:hAnsi="ArialMT"/>
          <w:sz w:val="22"/>
          <w:szCs w:val="21"/>
          <w:lang w:val="es-RU" w:eastAsia="es-MX"/>
        </w:rPr>
        <w:t>Optimización de procesos en Minería con Analítica de datos (Aplicaciones de IA, Simulación y Gemelos Digitales, IOT)</w:t>
      </w:r>
    </w:p>
    <w:p w:rsidR="00905C54" w:rsidRPr="00F823BA" w:rsidRDefault="00905C54" w:rsidP="00905C54">
      <w:pPr>
        <w:spacing w:before="100" w:beforeAutospacing="1" w:after="100" w:afterAutospacing="1"/>
        <w:jc w:val="center"/>
        <w:rPr>
          <w:rFonts w:ascii="Arial" w:hAnsi="Arial" w:cs="Arial"/>
          <w:b/>
          <w:bCs/>
          <w:sz w:val="22"/>
          <w:szCs w:val="22"/>
          <w:lang w:val="es-RU" w:eastAsia="es-MX"/>
        </w:rPr>
      </w:pPr>
      <w:r w:rsidRPr="00F823BA">
        <w:rPr>
          <w:rFonts w:ascii="Arial" w:hAnsi="Arial" w:cs="Arial"/>
          <w:b/>
          <w:bCs/>
          <w:sz w:val="22"/>
          <w:szCs w:val="22"/>
          <w:lang w:eastAsia="es-MX"/>
        </w:rPr>
        <w:t xml:space="preserve">Categoria: </w:t>
      </w:r>
      <w:r w:rsidRPr="00905C54">
        <w:rPr>
          <w:rFonts w:ascii="Arial" w:hAnsi="Arial" w:cs="Arial"/>
          <w:b/>
          <w:bCs/>
          <w:sz w:val="22"/>
          <w:szCs w:val="22"/>
          <w:lang w:val="es-RU" w:eastAsia="es-MX"/>
        </w:rPr>
        <w:t>Minería 4.0</w:t>
      </w:r>
    </w:p>
    <w:p w:rsidR="00794049" w:rsidRDefault="00905C54" w:rsidP="00F823BA">
      <w:pPr>
        <w:spacing w:before="100" w:beforeAutospacing="1" w:after="100" w:afterAutospacing="1"/>
        <w:jc w:val="center"/>
        <w:rPr>
          <w:rFonts w:ascii="Arial" w:eastAsia="TimesNewRomanPSMT" w:hAnsi="Arial" w:cs="Arial"/>
          <w:i/>
          <w:iCs/>
          <w:sz w:val="22"/>
          <w:szCs w:val="22"/>
          <w:lang w:val="es-ES"/>
        </w:rPr>
      </w:pPr>
      <w:r w:rsidRPr="00905C54">
        <w:rPr>
          <w:rFonts w:ascii="Arial" w:hAnsi="Arial" w:cs="Arial"/>
          <w:b/>
          <w:bCs/>
          <w:sz w:val="20"/>
          <w:szCs w:val="20"/>
          <w:lang w:val="es-RU" w:eastAsia="es-MX"/>
        </w:rPr>
        <w:t xml:space="preserve">Autores :  </w:t>
      </w:r>
      <w:r w:rsidR="00794049" w:rsidRPr="00905C54">
        <w:rPr>
          <w:rFonts w:ascii="Arial" w:eastAsia="TimesNewRomanPSMT" w:hAnsi="Arial" w:cs="Arial"/>
          <w:b/>
          <w:bCs/>
          <w:i/>
          <w:iCs/>
          <w:sz w:val="22"/>
          <w:szCs w:val="22"/>
          <w:lang w:val="es-RU"/>
        </w:rPr>
        <w:t>Figueroa B. F. K.¹, Savinova O. V.²</w:t>
      </w:r>
      <w:r w:rsidR="00794049" w:rsidRPr="00905C54">
        <w:rPr>
          <w:rFonts w:ascii="Arial" w:eastAsia="TimesNewRomanPSMT" w:hAnsi="Arial" w:cs="Arial"/>
          <w:i/>
          <w:iCs/>
          <w:sz w:val="22"/>
          <w:szCs w:val="22"/>
          <w:lang w:val="es-RU"/>
        </w:rPr>
        <w:br/>
        <w:t xml:space="preserve">¹ Peru, Universidad Continental (UC), Docente </w:t>
      </w:r>
      <w:r w:rsidRPr="00905C54">
        <w:rPr>
          <w:rFonts w:ascii="Arial" w:eastAsia="TimesNewRomanPSMT" w:hAnsi="Arial" w:cs="Arial"/>
          <w:i/>
          <w:iCs/>
          <w:sz w:val="22"/>
          <w:szCs w:val="22"/>
          <w:lang w:val="es-ES"/>
        </w:rPr>
        <w:t xml:space="preserve">de la </w:t>
      </w:r>
      <w:r w:rsidR="00794049" w:rsidRPr="00905C54">
        <w:rPr>
          <w:rFonts w:ascii="Arial" w:eastAsia="TimesNewRomanPSMT" w:hAnsi="Arial" w:cs="Arial"/>
          <w:i/>
          <w:iCs/>
          <w:sz w:val="22"/>
          <w:szCs w:val="22"/>
          <w:lang w:val="es-RU"/>
        </w:rPr>
        <w:t xml:space="preserve">Facultad </w:t>
      </w:r>
      <w:r w:rsidRPr="00905C54">
        <w:rPr>
          <w:rFonts w:ascii="Arial" w:eastAsia="TimesNewRomanPSMT" w:hAnsi="Arial" w:cs="Arial"/>
          <w:i/>
          <w:iCs/>
          <w:sz w:val="22"/>
          <w:szCs w:val="22"/>
          <w:lang w:val="es-ES"/>
        </w:rPr>
        <w:t xml:space="preserve">de </w:t>
      </w:r>
      <w:r w:rsidR="00794049" w:rsidRPr="00905C54">
        <w:rPr>
          <w:rFonts w:ascii="Arial" w:eastAsia="TimesNewRomanPSMT" w:hAnsi="Arial" w:cs="Arial"/>
          <w:i/>
          <w:iCs/>
          <w:sz w:val="22"/>
          <w:szCs w:val="22"/>
          <w:lang w:val="es-RU"/>
        </w:rPr>
        <w:t>Ingenieria de minas,</w:t>
      </w:r>
      <w:r w:rsidRPr="00905C54">
        <w:rPr>
          <w:rFonts w:ascii="Arial" w:eastAsia="TimesNewRomanPSMT" w:hAnsi="Arial" w:cs="Arial"/>
          <w:i/>
          <w:iCs/>
          <w:sz w:val="22"/>
          <w:szCs w:val="22"/>
          <w:lang w:val="es-ES"/>
        </w:rPr>
        <w:t>bfigueroa</w:t>
      </w:r>
      <w:r>
        <w:rPr>
          <w:rFonts w:ascii="Arial" w:eastAsia="TimesNewRomanPSMT" w:hAnsi="Arial" w:cs="Arial"/>
          <w:i/>
          <w:iCs/>
          <w:sz w:val="22"/>
          <w:szCs w:val="22"/>
          <w:lang w:val="es-ES"/>
        </w:rPr>
        <w:t>@continental.</w:t>
      </w:r>
      <w:r w:rsidRPr="00F823BA">
        <w:rPr>
          <w:rFonts w:ascii="Arial" w:eastAsia="TimesNewRomanPSMT" w:hAnsi="Arial" w:cs="Arial"/>
          <w:i/>
          <w:iCs/>
          <w:color w:val="000000" w:themeColor="text1"/>
          <w:sz w:val="22"/>
          <w:szCs w:val="22"/>
          <w:lang w:val="es-ES"/>
        </w:rPr>
        <w:t>edu.pe,</w:t>
      </w:r>
      <w:r w:rsidR="00794049" w:rsidRPr="00F823BA">
        <w:rPr>
          <w:rFonts w:ascii="Arial" w:eastAsia="TimesNewRomanPSMT" w:hAnsi="Arial" w:cs="Arial"/>
          <w:i/>
          <w:iCs/>
          <w:color w:val="000000" w:themeColor="text1"/>
          <w:sz w:val="22"/>
          <w:szCs w:val="22"/>
          <w:lang w:val="es-RU"/>
        </w:rPr>
        <w:t xml:space="preserve"> </w:t>
      </w:r>
      <w:hyperlink r:id="rId5" w:history="1">
        <w:r w:rsidR="00F823BA" w:rsidRPr="00F823BA">
          <w:rPr>
            <w:rStyle w:val="Hipervnculo"/>
            <w:rFonts w:ascii="Arial" w:eastAsia="TimesNewRomanPSMT" w:hAnsi="Arial" w:cs="Arial"/>
            <w:i/>
            <w:iCs/>
            <w:color w:val="000000" w:themeColor="text1"/>
            <w:sz w:val="22"/>
            <w:szCs w:val="22"/>
            <w:lang w:val="es-RU"/>
          </w:rPr>
          <w:t>ffigueroa.balvin@gmail.com</w:t>
        </w:r>
      </w:hyperlink>
      <w:r w:rsidR="00F823BA" w:rsidRPr="00F823BA">
        <w:rPr>
          <w:rFonts w:ascii="Arial" w:eastAsia="TimesNewRomanPSMT" w:hAnsi="Arial" w:cs="Arial"/>
          <w:i/>
          <w:iCs/>
          <w:color w:val="000000" w:themeColor="text1"/>
          <w:sz w:val="22"/>
          <w:szCs w:val="22"/>
          <w:lang w:val="es-ES"/>
        </w:rPr>
        <w:t xml:space="preserve">, </w:t>
      </w:r>
      <w:r w:rsidR="00F823BA">
        <w:rPr>
          <w:rFonts w:ascii="Arial" w:eastAsia="TimesNewRomanPSMT" w:hAnsi="Arial" w:cs="Arial"/>
          <w:i/>
          <w:iCs/>
          <w:sz w:val="22"/>
          <w:szCs w:val="22"/>
          <w:lang w:val="es-ES"/>
        </w:rPr>
        <w:t>+51 925008 247</w:t>
      </w:r>
      <w:r w:rsidR="00794049" w:rsidRPr="00905C54">
        <w:rPr>
          <w:rFonts w:ascii="Arial" w:eastAsia="TimesNewRomanPSMT" w:hAnsi="Arial" w:cs="Arial"/>
          <w:i/>
          <w:iCs/>
          <w:sz w:val="22"/>
          <w:szCs w:val="22"/>
          <w:lang w:val="es-RU"/>
        </w:rPr>
        <w:br/>
        <w:t xml:space="preserve">² </w:t>
      </w:r>
      <w:r w:rsidR="00F823BA">
        <w:rPr>
          <w:rFonts w:ascii="Arial" w:eastAsia="TimesNewRomanPSMT" w:hAnsi="Arial" w:cs="Arial"/>
          <w:i/>
          <w:iCs/>
          <w:sz w:val="22"/>
          <w:szCs w:val="22"/>
          <w:lang w:val="es-ES"/>
        </w:rPr>
        <w:t>Rusia-</w:t>
      </w:r>
      <w:r w:rsidR="00794049" w:rsidRPr="00905C54">
        <w:rPr>
          <w:rFonts w:ascii="Arial" w:eastAsia="TimesNewRomanPSMT" w:hAnsi="Arial" w:cs="Arial"/>
          <w:i/>
          <w:iCs/>
          <w:sz w:val="22"/>
          <w:szCs w:val="22"/>
          <w:lang w:val="es-RU"/>
        </w:rPr>
        <w:t>Almetyevsk,Senior Researcher</w:t>
      </w:r>
      <w:r w:rsidR="00794049" w:rsidRPr="00905C54">
        <w:rPr>
          <w:rFonts w:ascii="Arial" w:hAnsi="Arial" w:cs="Arial"/>
          <w:sz w:val="22"/>
          <w:szCs w:val="22"/>
          <w:lang w:val="es-RU"/>
        </w:rPr>
        <w:t xml:space="preserve"> </w:t>
      </w:r>
      <w:r w:rsidR="00794049" w:rsidRPr="00905C54">
        <w:rPr>
          <w:rFonts w:ascii="Arial" w:eastAsia="TimesNewRomanPSMT" w:hAnsi="Arial" w:cs="Arial"/>
          <w:i/>
          <w:iCs/>
          <w:sz w:val="22"/>
          <w:szCs w:val="22"/>
          <w:lang w:val="es-RU"/>
        </w:rPr>
        <w:t>Tatar Oil Research and Design Institute</w:t>
      </w:r>
      <w:r w:rsidR="00794049" w:rsidRPr="00905C54">
        <w:rPr>
          <w:rFonts w:ascii="Arial" w:hAnsi="Arial" w:cs="Arial"/>
          <w:sz w:val="22"/>
          <w:szCs w:val="22"/>
          <w:lang w:val="es-RU"/>
        </w:rPr>
        <w:t xml:space="preserve"> (TatNIPIneft)</w:t>
      </w:r>
      <w:r w:rsidR="00794049" w:rsidRPr="00905C54">
        <w:rPr>
          <w:rFonts w:ascii="Arial" w:eastAsia="TimesNewRomanPSMT" w:hAnsi="Arial" w:cs="Arial"/>
          <w:i/>
          <w:iCs/>
          <w:sz w:val="22"/>
          <w:szCs w:val="22"/>
          <w:lang w:val="es-RU"/>
        </w:rPr>
        <w:t xml:space="preserve"> ,logvinenkoov@tpu.ru</w:t>
      </w:r>
      <w:r w:rsidR="00F823BA" w:rsidRPr="00F823BA">
        <w:rPr>
          <w:rFonts w:ascii="Arial" w:eastAsia="TimesNewRomanPSMT" w:hAnsi="Arial" w:cs="Arial"/>
          <w:i/>
          <w:iCs/>
          <w:sz w:val="22"/>
          <w:szCs w:val="22"/>
          <w:lang w:val="es-ES"/>
        </w:rPr>
        <w:t>,</w:t>
      </w:r>
      <w:r w:rsidR="00F823BA">
        <w:rPr>
          <w:rFonts w:ascii="Arial" w:eastAsia="TimesNewRomanPSMT" w:hAnsi="Arial" w:cs="Arial"/>
          <w:i/>
          <w:iCs/>
          <w:sz w:val="22"/>
          <w:szCs w:val="22"/>
          <w:lang w:val="es-ES"/>
        </w:rPr>
        <w:t>+7 923 410 55 96</w:t>
      </w:r>
    </w:p>
    <w:p w:rsidR="00F823BA" w:rsidRPr="00284CEC" w:rsidRDefault="00F823BA" w:rsidP="00F823BA">
      <w:pPr>
        <w:spacing w:before="100" w:beforeAutospacing="1" w:after="100" w:afterAutospacing="1"/>
        <w:rPr>
          <w:rFonts w:ascii="Arial" w:hAnsi="Arial" w:cs="Arial"/>
          <w:sz w:val="22"/>
          <w:szCs w:val="22"/>
          <w:lang w:val="es-ES" w:eastAsia="es-MX"/>
        </w:rPr>
      </w:pPr>
      <w:r w:rsidRPr="00F823BA">
        <w:rPr>
          <w:rFonts w:ascii="Arial" w:hAnsi="Arial" w:cs="Arial"/>
          <w:b/>
          <w:bCs/>
          <w:sz w:val="22"/>
          <w:szCs w:val="22"/>
          <w:lang w:val="es-RU" w:eastAsia="es-MX"/>
        </w:rPr>
        <w:t xml:space="preserve">Palabras claves: </w:t>
      </w:r>
      <w:r w:rsidRPr="00F823BA">
        <w:rPr>
          <w:rFonts w:ascii="Arial" w:hAnsi="Arial" w:cs="Arial"/>
          <w:sz w:val="22"/>
          <w:szCs w:val="22"/>
          <w:lang w:val="es-ES"/>
        </w:rPr>
        <w:t>Cinturón volcánico Okhotsk-Chukotka (OCVB)</w:t>
      </w:r>
      <w:r w:rsidRPr="00F823BA">
        <w:rPr>
          <w:rFonts w:ascii="Arial" w:hAnsi="Arial" w:cs="Arial"/>
          <w:sz w:val="22"/>
          <w:szCs w:val="22"/>
          <w:lang w:val="es-ES"/>
        </w:rPr>
        <w:t xml:space="preserve">, </w:t>
      </w:r>
      <w:r w:rsidRPr="00F823BA">
        <w:rPr>
          <w:rFonts w:ascii="Arial" w:hAnsi="Arial" w:cs="Arial"/>
          <w:sz w:val="22"/>
          <w:szCs w:val="22"/>
          <w:lang w:val="es-ES"/>
        </w:rPr>
        <w:t>Plata (Ag)</w:t>
      </w:r>
      <w:r w:rsidRPr="00F823BA">
        <w:rPr>
          <w:rFonts w:ascii="Arial" w:hAnsi="Arial" w:cs="Arial"/>
          <w:b/>
          <w:bCs/>
          <w:sz w:val="22"/>
          <w:szCs w:val="22"/>
          <w:lang w:val="es-ES" w:eastAsia="es-MX"/>
        </w:rPr>
        <w:t>,</w:t>
      </w:r>
      <w:r>
        <w:rPr>
          <w:rFonts w:ascii="Arial" w:hAnsi="Arial" w:cs="Arial"/>
          <w:b/>
          <w:bCs/>
          <w:sz w:val="22"/>
          <w:szCs w:val="22"/>
          <w:lang w:val="es-ES" w:eastAsia="es-MX"/>
        </w:rPr>
        <w:t xml:space="preserve"> </w:t>
      </w:r>
      <w:r w:rsidRPr="00F823BA">
        <w:rPr>
          <w:rFonts w:ascii="Arial" w:hAnsi="Arial" w:cs="Arial"/>
          <w:sz w:val="22"/>
          <w:szCs w:val="22"/>
          <w:lang w:val="es-ES"/>
        </w:rPr>
        <w:t>XGBoost</w:t>
      </w:r>
      <w:r w:rsidRPr="00F823BA">
        <w:rPr>
          <w:rFonts w:ascii="Arial" w:hAnsi="Arial" w:cs="Arial"/>
          <w:b/>
          <w:bCs/>
          <w:sz w:val="22"/>
          <w:szCs w:val="22"/>
          <w:lang w:val="es-ES" w:eastAsia="es-MX"/>
        </w:rPr>
        <w:t>,</w:t>
      </w:r>
      <w:r>
        <w:rPr>
          <w:rFonts w:ascii="Arial" w:hAnsi="Arial" w:cs="Arial"/>
          <w:b/>
          <w:bCs/>
          <w:sz w:val="22"/>
          <w:szCs w:val="22"/>
          <w:lang w:val="es-ES" w:eastAsia="es-MX"/>
        </w:rPr>
        <w:t xml:space="preserve"> </w:t>
      </w:r>
      <w:r w:rsidRPr="00F823BA">
        <w:rPr>
          <w:rFonts w:ascii="Arial" w:hAnsi="Arial" w:cs="Arial"/>
          <w:sz w:val="22"/>
          <w:szCs w:val="22"/>
          <w:lang w:val="es-ES"/>
        </w:rPr>
        <w:t>Aprendizaje automático</w:t>
      </w:r>
      <w:r w:rsidR="00284CEC">
        <w:rPr>
          <w:rFonts w:ascii="Arial" w:hAnsi="Arial" w:cs="Arial"/>
          <w:sz w:val="22"/>
          <w:szCs w:val="22"/>
          <w:lang w:val="es-ES" w:eastAsia="es-MX"/>
        </w:rPr>
        <w:t>.</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El nudo mineral central de oro y plata se encuentra en la zona metalogenética Kanchalano-Amguemskaya, que forma parte de la zona interna del cinturón volcánico Okhotsk-Chukotka (OCVB). Los minerales útiles del área se formaron durante la etapa minerogenética del Cretácico, coincidiendo con el período de formación del OCVB. La mineralización más característica de la zona metalogenética Kanchalano-Amguemskaya es de tipo oro-plata. A 25 km al noroeste se encuentra el yacimiento de oro y plata Valunistoye, actualmente en explotación, seleccionado como objeto análogo de referencia con importancia industrial establecida para la zona prospectiva central (Shirshov S.A, 2020).</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b/>
          <w:bCs/>
          <w:sz w:val="22"/>
          <w:szCs w:val="22"/>
          <w:lang w:val="es-RU"/>
        </w:rPr>
        <w:t>Objetivo del estudio:</w:t>
      </w:r>
      <w:r w:rsidRPr="00905C54">
        <w:rPr>
          <w:rFonts w:ascii="Arial" w:eastAsia="TimesNewRomanPSMT" w:hAnsi="Arial" w:cs="Arial"/>
          <w:sz w:val="22"/>
          <w:szCs w:val="22"/>
          <w:lang w:val="es-RU"/>
        </w:rPr>
        <w:t xml:space="preserve"> Analizar y comparar la precisión de una red neuronal artificial (ANN) y tres métodos de aprendizaje automático (ML) para predecir el contenido de plata (Ag) en función de datos geoquímicos obtenidos mediante análisis espectral semicuantitativo de 16 elementos (Pb, As, Cr, W, Ni, Co, Bi, Mn, Ba, Be, Li, Mo, Sn, Cu, Ag y Zn).</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El material de partida es un conjunto de datos que contiene 8920 muestras y 19 variables, incluyendo coordenadas, profundidad y concentraciones de elementos. En la fase inicial del análisis, se evaluó la distribución de los datos recopilados. Este paso es crucial para comprender cómo se distribuyen las concentraciones de plata en las muestras geoquímicas. Al verificar la distribución de los datos, se observó que no seguían una distribución normal estándar.</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Dado que los datos no presentaban una distribución normal, se aplicaron métodos de normalización. El objetivo de la normalización es hacer que los datos sean más comparables y adecuados para el análisis posterior (James et al., 2013). En este caso, la normalización robusta ayudó a reducir el impacto de los valores atípicos y mejorar la distribución de los datos. Además de la normalización, se utilizó la transformación logarítmica natural (ln). La transformación logarítmica es un método común para procesar datos asimétricos cuando no siguen una distribución normal (Carranza, E.J.M., 2011). Esta transformación reduce la varianza y facilita el análisis estadístico y la modelización.</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Para mejorar aún más la calidad de los datos, se implementó un proceso de eliminación de valores atípicos. Los valores atípicos son observaciones inusuales que pueden distorsionar los resultados del análisis (Pearson, R. K., 2002). Eliminar estos valores garantiza que los datos anómalos no afecten negativamente a los modelos de aprendizaje automático.</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Los datos se dividieron en conjuntos de entrenamiento y prueba para entrenar y evaluar el rendimiento de los modelos, respectivamente. Esta división asegura que los modelos puedan generalizar sobre datos no vistos. A través de la búsqueda en malla (grid search) se seleccionaron los parámetros óptimos para los modelos. Este proceso permite ajustar los hiperparámetros de los modelos de ML para lograr el mejor rendimiento posible.</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 xml:space="preserve">La relación entre las variables geoquímicas se estableció utilizando cuatro enfoques principales: análisis factorial, agrupamiento aglomerativo, análisis de clúster y el método k-means. El análisis factorial identificó patrones clave en las variables, simplificando la interpretación. El agrupamiento aglomerativo agrupó elementos con perfiles similares, mientras que el análisis de clúster agrupó variables relacionadas. El algoritmo k-means agrupó elementos según </w:t>
      </w:r>
      <w:r w:rsidRPr="00905C54">
        <w:rPr>
          <w:rFonts w:ascii="Arial" w:eastAsia="TimesNewRomanPSMT" w:hAnsi="Arial" w:cs="Arial"/>
          <w:sz w:val="22"/>
          <w:szCs w:val="22"/>
          <w:lang w:val="es-RU"/>
        </w:rPr>
        <w:lastRenderedPageBreak/>
        <w:t>características comunes. Estos enfoques revelaron patrones y relaciones entre variables que influyeron en la elección del modelo de aprendizaje automático para estimar las concentraciones de plata.</w:t>
      </w:r>
    </w:p>
    <w:p w:rsidR="00422193" w:rsidRPr="00905C54" w:rsidRDefault="00422193" w:rsidP="00422193">
      <w:pPr>
        <w:pStyle w:val="NormalWeb"/>
        <w:ind w:firstLine="708"/>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En cuanto a la arquitectura del modelo de red neuronal artificial (ANN), esta fue desarrollada con una estructura secuencial que incluye varios niveles: una capa de entrada, una capa oculta y una capa de salida. Durante el proceso de entrenamiento, la ANN fue ajustada durante 75 épocas, observándose una corrección efectiva que minimizó las discrepancias entre las predicciones del modelo y los valores reales. Los valores máximos del coeficiente de determinación (R²) alcanzaron 0,6187 en el conjunto de entrenamiento y 0,6646 en el conjunto de prueba.</w:t>
      </w:r>
    </w:p>
    <w:p w:rsidR="00422193" w:rsidRPr="00905C54" w:rsidRDefault="00422193" w:rsidP="00422193">
      <w:pPr>
        <w:pStyle w:val="NormalWeb"/>
        <w:ind w:firstLine="708"/>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 xml:space="preserve">Para la optimización del método de máquinas de vectores de soporte (SVM), se consideró el parámetro C, que equilibra la maximización de la precisión y la minimización de los errores de clasificación. Además, se aplicó la estandarización de datos mediante el </w:t>
      </w:r>
      <w:r w:rsidRPr="00905C54">
        <w:rPr>
          <w:rFonts w:ascii="Arial" w:eastAsia="TimesNewRomanPSMT" w:hAnsi="Arial" w:cs="Arial"/>
          <w:b/>
          <w:bCs/>
          <w:sz w:val="22"/>
          <w:szCs w:val="22"/>
          <w:lang w:val="es-RU"/>
        </w:rPr>
        <w:t>Standard Scaler</w:t>
      </w:r>
      <w:r w:rsidRPr="00905C54">
        <w:rPr>
          <w:rFonts w:ascii="Arial" w:eastAsia="TimesNewRomanPSMT" w:hAnsi="Arial" w:cs="Arial"/>
          <w:sz w:val="22"/>
          <w:szCs w:val="22"/>
          <w:lang w:val="es-RU"/>
        </w:rPr>
        <w:t xml:space="preserve"> para asegurar una ponderación uniforme de las variables en el modelo. La evaluación mostró un valor de R² de 0,6555 en el conjunto de entrenamiento y de 0,6512 en el conjunto de prueba.</w:t>
      </w:r>
    </w:p>
    <w:p w:rsidR="00422193" w:rsidRPr="00905C54" w:rsidRDefault="00422193" w:rsidP="00422193">
      <w:pPr>
        <w:pStyle w:val="NormalWeb"/>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 xml:space="preserve">Por otro lado, el modelo de </w:t>
      </w:r>
      <w:r w:rsidRPr="00905C54">
        <w:rPr>
          <w:rFonts w:ascii="Arial" w:eastAsia="TimesNewRomanPSMT" w:hAnsi="Arial" w:cs="Arial"/>
          <w:b/>
          <w:bCs/>
          <w:sz w:val="22"/>
          <w:szCs w:val="22"/>
          <w:lang w:val="es-RU"/>
        </w:rPr>
        <w:t>XG Boosting</w:t>
      </w:r>
      <w:r w:rsidRPr="00905C54">
        <w:rPr>
          <w:rFonts w:ascii="Arial" w:eastAsia="TimesNewRomanPSMT" w:hAnsi="Arial" w:cs="Arial"/>
          <w:sz w:val="22"/>
          <w:szCs w:val="22"/>
          <w:lang w:val="es-RU"/>
        </w:rPr>
        <w:t xml:space="preserve"> utilizó el regresor </w:t>
      </w:r>
      <w:r w:rsidRPr="00905C54">
        <w:rPr>
          <w:rFonts w:ascii="Arial" w:eastAsia="TimesNewRomanPSMT" w:hAnsi="Arial" w:cs="Arial"/>
          <w:b/>
          <w:bCs/>
          <w:sz w:val="22"/>
          <w:szCs w:val="22"/>
          <w:lang w:val="es-RU"/>
        </w:rPr>
        <w:t>XGB Regressor</w:t>
      </w:r>
      <w:r w:rsidRPr="00905C54">
        <w:rPr>
          <w:rFonts w:ascii="Arial" w:eastAsia="TimesNewRomanPSMT" w:hAnsi="Arial" w:cs="Arial"/>
          <w:sz w:val="22"/>
          <w:szCs w:val="22"/>
          <w:lang w:val="es-RU"/>
        </w:rPr>
        <w:t xml:space="preserve"> con ajustes en varios parámetros clave. Se realizaron 1000 iteraciones de entrenamiento y se estableció una profundidad máxima de 7 para controlar la complejidad del modelo. El parámetro </w:t>
      </w:r>
      <w:r w:rsidRPr="00905C54">
        <w:rPr>
          <w:rFonts w:ascii="Arial" w:eastAsia="TimesNewRomanPSMT" w:hAnsi="Arial" w:cs="Arial"/>
          <w:i/>
          <w:iCs/>
          <w:sz w:val="22"/>
          <w:szCs w:val="22"/>
          <w:lang w:val="es-RU"/>
        </w:rPr>
        <w:t>eta</w:t>
      </w:r>
      <w:r w:rsidRPr="00905C54">
        <w:rPr>
          <w:rFonts w:ascii="Arial" w:eastAsia="TimesNewRomanPSMT" w:hAnsi="Arial" w:cs="Arial"/>
          <w:sz w:val="22"/>
          <w:szCs w:val="22"/>
          <w:lang w:val="es-RU"/>
        </w:rPr>
        <w:t xml:space="preserve"> fue fijado en 0,01 para influir en la velocidad de aprendizaje, y </w:t>
      </w:r>
      <w:r w:rsidRPr="00905C54">
        <w:rPr>
          <w:rFonts w:ascii="Arial" w:eastAsia="TimesNewRomanPSMT" w:hAnsi="Arial" w:cs="Arial"/>
          <w:i/>
          <w:iCs/>
          <w:sz w:val="22"/>
          <w:szCs w:val="22"/>
          <w:lang w:val="es-RU"/>
        </w:rPr>
        <w:t>colsample_bytree</w:t>
      </w:r>
      <w:r w:rsidRPr="00905C54">
        <w:rPr>
          <w:rFonts w:ascii="Arial" w:eastAsia="TimesNewRomanPSMT" w:hAnsi="Arial" w:cs="Arial"/>
          <w:sz w:val="22"/>
          <w:szCs w:val="22"/>
          <w:lang w:val="es-RU"/>
        </w:rPr>
        <w:t xml:space="preserve"> fue establecido en 0,8 para introducir cierto grado de aleatoriedad en el proceso.</w:t>
      </w:r>
    </w:p>
    <w:p w:rsidR="00422193" w:rsidRPr="00905C54" w:rsidRDefault="00422193" w:rsidP="00422193">
      <w:pPr>
        <w:pStyle w:val="NormalWeb"/>
        <w:ind w:firstLine="708"/>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Los resultados obtenidos con el modelo de XG Boosting fueron ideales. El coeficiente de determinación (R²) alcanzó un valor máximo de 0,8955 en el conjunto de entrenamiento, lo que indica que el modelo fue capaz de explicar aproximadamente el 89,55% de la variabilidad de los datos de entrenamiento. En el conjunto de prueba, el R² fue de 0,7481, lo que sugiere que el modelo logró explicar alrededor del 74,81% de la variabilidad de los datos no vistos (ver Fig. 1).</w:t>
      </w:r>
    </w:p>
    <w:p w:rsidR="007F04C9" w:rsidRPr="00905C54" w:rsidRDefault="007F04C9" w:rsidP="007F04C9">
      <w:pPr>
        <w:pStyle w:val="NormalWeb"/>
        <w:contextualSpacing/>
        <w:jc w:val="center"/>
        <w:rPr>
          <w:rFonts w:ascii="Arial" w:eastAsia="TimesNewRomanPSMT" w:hAnsi="Arial" w:cs="Arial"/>
          <w:sz w:val="22"/>
          <w:szCs w:val="22"/>
          <w:lang w:val="ru-RU"/>
        </w:rPr>
      </w:pPr>
      <w:r w:rsidRPr="00905C54">
        <w:rPr>
          <w:rFonts w:ascii="Arial" w:eastAsia="TimesNewRomanPSMT" w:hAnsi="Arial" w:cs="Arial"/>
          <w:noProof/>
          <w:sz w:val="22"/>
          <w:szCs w:val="22"/>
        </w:rPr>
        <w:drawing>
          <wp:inline distT="0" distB="0" distL="0" distR="0" wp14:anchorId="60E0BAFB" wp14:editId="28721A7C">
            <wp:extent cx="6116320" cy="1584960"/>
            <wp:effectExtent l="0" t="0" r="0" b="0"/>
            <wp:docPr id="1" name="Imagen 11" descr="/var/folders/9w/8v2wws452n59pp4qss7x4grw0000gn/T/com.microsoft.Word/Content.MSO/F3380C67.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1" descr="/var/folders/9w/8v2wws452n59pp4qss7x4grw0000gn/T/com.microsoft.Word/Content.MSO/F3380C67.tmp"/>
                    <pic:cNvPicPr>
                      <a:picLocks/>
                    </pic:cNvPicPr>
                  </pic:nvPicPr>
                  <pic:blipFill>
                    <a:blip r:embed="rId6">
                      <a:extLst>
                        <a:ext uri="{28A0092B-C50C-407E-A947-70E740481C1C}">
                          <a14:useLocalDpi xmlns:a14="http://schemas.microsoft.com/office/drawing/2010/main" val="0"/>
                        </a:ext>
                      </a:extLst>
                    </a:blip>
                    <a:srcRect t="7132"/>
                    <a:stretch>
                      <a:fillRect/>
                    </a:stretch>
                  </pic:blipFill>
                  <pic:spPr bwMode="auto">
                    <a:xfrm>
                      <a:off x="0" y="0"/>
                      <a:ext cx="6116320" cy="1584960"/>
                    </a:xfrm>
                    <a:prstGeom prst="rect">
                      <a:avLst/>
                    </a:prstGeom>
                    <a:noFill/>
                    <a:ln>
                      <a:noFill/>
                    </a:ln>
                  </pic:spPr>
                </pic:pic>
              </a:graphicData>
            </a:graphic>
          </wp:inline>
        </w:drawing>
      </w:r>
    </w:p>
    <w:p w:rsidR="007F04C9" w:rsidRPr="00905C54" w:rsidRDefault="00422193" w:rsidP="007F04C9">
      <w:pPr>
        <w:pStyle w:val="NormalWeb"/>
        <w:jc w:val="center"/>
        <w:rPr>
          <w:rFonts w:ascii="Arial" w:eastAsia="TimesNewRomanPSMT" w:hAnsi="Arial" w:cs="Arial"/>
          <w:b/>
          <w:bCs/>
          <w:i/>
          <w:iCs/>
          <w:sz w:val="22"/>
          <w:szCs w:val="22"/>
          <w:lang w:val="es-ES"/>
        </w:rPr>
      </w:pPr>
      <w:r w:rsidRPr="00905C54">
        <w:rPr>
          <w:rFonts w:ascii="Arial" w:eastAsia="TimesNewRomanPSMT" w:hAnsi="Arial" w:cs="Arial"/>
          <w:b/>
          <w:bCs/>
          <w:i/>
          <w:iCs/>
          <w:sz w:val="22"/>
          <w:szCs w:val="22"/>
          <w:lang w:val="es-ES"/>
        </w:rPr>
        <w:t>Fig. 1. Comparación de las predicciones (</w:t>
      </w:r>
      <w:proofErr w:type="spellStart"/>
      <w:r w:rsidRPr="00905C54">
        <w:rPr>
          <w:rFonts w:ascii="Arial" w:eastAsia="TimesNewRomanPSMT" w:hAnsi="Arial" w:cs="Arial"/>
          <w:b/>
          <w:bCs/>
          <w:i/>
          <w:iCs/>
          <w:sz w:val="22"/>
          <w:szCs w:val="22"/>
          <w:lang w:val="es-ES"/>
        </w:rPr>
        <w:t>Prediction</w:t>
      </w:r>
      <w:proofErr w:type="spellEnd"/>
      <w:r w:rsidRPr="00905C54">
        <w:rPr>
          <w:rFonts w:ascii="Arial" w:eastAsia="TimesNewRomanPSMT" w:hAnsi="Arial" w:cs="Arial"/>
          <w:b/>
          <w:bCs/>
          <w:i/>
          <w:iCs/>
          <w:sz w:val="22"/>
          <w:szCs w:val="22"/>
          <w:lang w:val="es-ES"/>
        </w:rPr>
        <w:t>) con los valores reales (</w:t>
      </w:r>
      <w:proofErr w:type="spellStart"/>
      <w:r w:rsidRPr="00905C54">
        <w:rPr>
          <w:rFonts w:ascii="Arial" w:eastAsia="TimesNewRomanPSMT" w:hAnsi="Arial" w:cs="Arial"/>
          <w:b/>
          <w:bCs/>
          <w:i/>
          <w:iCs/>
          <w:sz w:val="22"/>
          <w:szCs w:val="22"/>
          <w:lang w:val="es-ES"/>
        </w:rPr>
        <w:t>Ground</w:t>
      </w:r>
      <w:proofErr w:type="spellEnd"/>
      <w:r w:rsidRPr="00905C54">
        <w:rPr>
          <w:rFonts w:ascii="Arial" w:eastAsia="TimesNewRomanPSMT" w:hAnsi="Arial" w:cs="Arial"/>
          <w:b/>
          <w:bCs/>
          <w:i/>
          <w:iCs/>
          <w:sz w:val="22"/>
          <w:szCs w:val="22"/>
          <w:lang w:val="es-ES"/>
        </w:rPr>
        <w:t xml:space="preserve"> </w:t>
      </w:r>
      <w:proofErr w:type="spellStart"/>
      <w:r w:rsidRPr="00905C54">
        <w:rPr>
          <w:rFonts w:ascii="Arial" w:eastAsia="TimesNewRomanPSMT" w:hAnsi="Arial" w:cs="Arial"/>
          <w:b/>
          <w:bCs/>
          <w:i/>
          <w:iCs/>
          <w:sz w:val="22"/>
          <w:szCs w:val="22"/>
          <w:lang w:val="es-ES"/>
        </w:rPr>
        <w:t>Truth</w:t>
      </w:r>
      <w:proofErr w:type="spellEnd"/>
      <w:r w:rsidRPr="00905C54">
        <w:rPr>
          <w:rFonts w:ascii="Arial" w:eastAsia="TimesNewRomanPSMT" w:hAnsi="Arial" w:cs="Arial"/>
          <w:b/>
          <w:bCs/>
          <w:i/>
          <w:iCs/>
          <w:sz w:val="22"/>
          <w:szCs w:val="22"/>
          <w:lang w:val="es-ES"/>
        </w:rPr>
        <w:t>) en el modelo XGBoost.</w:t>
      </w:r>
    </w:p>
    <w:p w:rsidR="00422193" w:rsidRPr="00905C54" w:rsidRDefault="00422193" w:rsidP="007F04C9">
      <w:pPr>
        <w:pStyle w:val="NormalWeb"/>
        <w:jc w:val="center"/>
        <w:rPr>
          <w:rFonts w:ascii="Arial" w:eastAsia="TimesNewRomanPSMT" w:hAnsi="Arial" w:cs="Arial"/>
          <w:i/>
          <w:iCs/>
          <w:sz w:val="22"/>
          <w:szCs w:val="22"/>
          <w:lang w:val="es-ES"/>
        </w:rPr>
      </w:pPr>
    </w:p>
    <w:p w:rsidR="00422193" w:rsidRPr="00905C54" w:rsidRDefault="00422193" w:rsidP="00422193">
      <w:pPr>
        <w:pStyle w:val="NormalWeb"/>
        <w:ind w:firstLine="708"/>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Además, se realizó una validación cruzada con el objetivo de calcular el error absoluto medio (MAE). Los resultados mostraron un valor medio de MAE igual a 0,354, lo que aumentó la eficiencia y la fiabilidad del modelo XG Boosting en la predicción de la concentración de plata.</w:t>
      </w:r>
    </w:p>
    <w:p w:rsidR="00422193" w:rsidRPr="00905C54" w:rsidRDefault="00422193" w:rsidP="00422193">
      <w:pPr>
        <w:pStyle w:val="NormalWeb"/>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 xml:space="preserve">Finalmente, se evaluó el modelo de bosque aleatorio (Random Forest, RF). Se consideró el parámetro </w:t>
      </w:r>
      <w:r w:rsidRPr="00905C54">
        <w:rPr>
          <w:rFonts w:ascii="Arial" w:eastAsia="TimesNewRomanPSMT" w:hAnsi="Arial" w:cs="Arial"/>
          <w:i/>
          <w:iCs/>
          <w:sz w:val="22"/>
          <w:szCs w:val="22"/>
          <w:lang w:val="es-RU"/>
        </w:rPr>
        <w:t>max_depth</w:t>
      </w:r>
      <w:r w:rsidRPr="00905C54">
        <w:rPr>
          <w:rFonts w:ascii="Arial" w:eastAsia="TimesNewRomanPSMT" w:hAnsi="Arial" w:cs="Arial"/>
          <w:sz w:val="22"/>
          <w:szCs w:val="22"/>
          <w:lang w:val="es-RU"/>
        </w:rPr>
        <w:t>, al cual se le asignó un valor alto de 1000 para controlar la profundidad máxima de los árboles. En el conjunto de entrenamiento, el modelo Random Forest alcanzó un valor máximo de R² de 0,9604. En el conjunto de prueba, el R² fue de 0,7262, lo que sugiere que el modelo fue capaz de explicar aproximadamente el 72,62% de la variabilidad de los datos no vistos.</w:t>
      </w:r>
    </w:p>
    <w:p w:rsidR="00422193" w:rsidRPr="00905C54" w:rsidRDefault="00422193" w:rsidP="00422193">
      <w:pPr>
        <w:pStyle w:val="NormalWeb"/>
        <w:ind w:firstLine="708"/>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Los resultados se presentaron en una tabla que resume los valores de R² para cada método en diferentes grupos, según su índice de correlación (</w:t>
      </w:r>
      <w:r w:rsidRPr="00905C54">
        <w:rPr>
          <w:rFonts w:ascii="Arial" w:eastAsia="TimesNewRomanPSMT" w:hAnsi="Arial" w:cs="Arial"/>
          <w:b/>
          <w:bCs/>
          <w:sz w:val="22"/>
          <w:szCs w:val="22"/>
          <w:lang w:val="es-RU"/>
        </w:rPr>
        <w:t>Tabla 1</w:t>
      </w:r>
      <w:r w:rsidRPr="00905C54">
        <w:rPr>
          <w:rFonts w:ascii="Arial" w:eastAsia="TimesNewRomanPSMT" w:hAnsi="Arial" w:cs="Arial"/>
          <w:sz w:val="22"/>
          <w:szCs w:val="22"/>
          <w:lang w:val="es-RU"/>
        </w:rPr>
        <w:t>), donde cada grupo representa un enfoque analítico distinto. A cada método se le asignó un puntaje según su rendimiento.</w:t>
      </w:r>
    </w:p>
    <w:p w:rsidR="00422193" w:rsidRPr="00905C54" w:rsidRDefault="00422193" w:rsidP="007F04C9">
      <w:pPr>
        <w:pStyle w:val="NormalWeb"/>
        <w:contextualSpacing/>
        <w:jc w:val="right"/>
        <w:rPr>
          <w:rFonts w:ascii="Arial" w:hAnsi="Arial" w:cs="Arial"/>
          <w:iCs/>
          <w:sz w:val="22"/>
          <w:szCs w:val="22"/>
          <w:lang w:val="es-RU"/>
        </w:rPr>
      </w:pPr>
    </w:p>
    <w:p w:rsidR="00422193" w:rsidRPr="00905C54" w:rsidRDefault="00422193" w:rsidP="00422193">
      <w:pPr>
        <w:pStyle w:val="NormalWeb"/>
        <w:contextualSpacing/>
        <w:jc w:val="right"/>
        <w:rPr>
          <w:rFonts w:ascii="Arial" w:hAnsi="Arial" w:cs="Arial"/>
          <w:iCs/>
          <w:sz w:val="22"/>
          <w:szCs w:val="22"/>
          <w:lang w:val="es-RU"/>
        </w:rPr>
      </w:pPr>
      <w:r w:rsidRPr="00905C54">
        <w:rPr>
          <w:rFonts w:ascii="Arial" w:hAnsi="Arial" w:cs="Arial"/>
          <w:b/>
          <w:bCs/>
          <w:iCs/>
          <w:sz w:val="22"/>
          <w:szCs w:val="22"/>
          <w:lang w:val="es-RU"/>
        </w:rPr>
        <w:t>Tabla 1. Comparación de la eficacia de predicción basada en R² por grupos</w:t>
      </w:r>
    </w:p>
    <w:tbl>
      <w:tblPr>
        <w:tblW w:w="924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2801"/>
        <w:gridCol w:w="1221"/>
        <w:gridCol w:w="1087"/>
        <w:gridCol w:w="1401"/>
        <w:gridCol w:w="889"/>
        <w:gridCol w:w="859"/>
      </w:tblGrid>
      <w:tr w:rsidR="007F04C9" w:rsidRPr="00905C54" w:rsidTr="00386142">
        <w:trPr>
          <w:trHeight w:val="345"/>
          <w:jc w:val="right"/>
        </w:trPr>
        <w:tc>
          <w:tcPr>
            <w:tcW w:w="989"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Group</w:t>
            </w:r>
          </w:p>
        </w:tc>
        <w:tc>
          <w:tcPr>
            <w:tcW w:w="2820"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Relationship indices</w:t>
            </w:r>
          </w:p>
        </w:tc>
        <w:tc>
          <w:tcPr>
            <w:tcW w:w="1226"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ANN</w:t>
            </w:r>
          </w:p>
        </w:tc>
        <w:tc>
          <w:tcPr>
            <w:tcW w:w="1090"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SVM</w:t>
            </w:r>
          </w:p>
        </w:tc>
        <w:tc>
          <w:tcPr>
            <w:tcW w:w="1408"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XG BOOST</w:t>
            </w:r>
          </w:p>
        </w:tc>
        <w:tc>
          <w:tcPr>
            <w:tcW w:w="850"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RF</w:t>
            </w:r>
          </w:p>
        </w:tc>
        <w:tc>
          <w:tcPr>
            <w:tcW w:w="861"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Rank</w:t>
            </w:r>
          </w:p>
        </w:tc>
      </w:tr>
      <w:tr w:rsidR="007F04C9" w:rsidRPr="00905C54" w:rsidTr="00386142">
        <w:trPr>
          <w:trHeight w:val="345"/>
          <w:jc w:val="right"/>
        </w:trPr>
        <w:tc>
          <w:tcPr>
            <w:tcW w:w="989"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1</w:t>
            </w:r>
          </w:p>
        </w:tc>
        <w:tc>
          <w:tcPr>
            <w:tcW w:w="2820" w:type="dxa"/>
            <w:shd w:val="clear" w:color="auto" w:fill="auto"/>
            <w:vAlign w:val="bottom"/>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All data</w:t>
            </w:r>
          </w:p>
        </w:tc>
        <w:tc>
          <w:tcPr>
            <w:tcW w:w="1226"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0.6620</w:t>
            </w:r>
          </w:p>
        </w:tc>
        <w:tc>
          <w:tcPr>
            <w:tcW w:w="109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0.6512</w:t>
            </w:r>
          </w:p>
        </w:tc>
        <w:tc>
          <w:tcPr>
            <w:tcW w:w="1408"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0.7481</w:t>
            </w:r>
          </w:p>
        </w:tc>
        <w:tc>
          <w:tcPr>
            <w:tcW w:w="85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0.7262</w:t>
            </w:r>
          </w:p>
        </w:tc>
        <w:tc>
          <w:tcPr>
            <w:tcW w:w="861" w:type="dxa"/>
            <w:shd w:val="clear" w:color="auto" w:fill="auto"/>
            <w:vAlign w:val="center"/>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1</w:t>
            </w:r>
          </w:p>
        </w:tc>
      </w:tr>
      <w:tr w:rsidR="007F04C9" w:rsidRPr="00905C54" w:rsidTr="00386142">
        <w:trPr>
          <w:trHeight w:val="345"/>
          <w:jc w:val="right"/>
        </w:trPr>
        <w:tc>
          <w:tcPr>
            <w:tcW w:w="989"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2</w:t>
            </w:r>
          </w:p>
        </w:tc>
        <w:tc>
          <w:tcPr>
            <w:tcW w:w="2820" w:type="dxa"/>
            <w:shd w:val="clear" w:color="auto" w:fill="auto"/>
            <w:vAlign w:val="bottom"/>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Factor analysis</w:t>
            </w:r>
          </w:p>
        </w:tc>
        <w:tc>
          <w:tcPr>
            <w:tcW w:w="1226"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0.6398</w:t>
            </w:r>
          </w:p>
        </w:tc>
        <w:tc>
          <w:tcPr>
            <w:tcW w:w="109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0.6065</w:t>
            </w:r>
          </w:p>
        </w:tc>
        <w:tc>
          <w:tcPr>
            <w:tcW w:w="1408"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0.6896</w:t>
            </w:r>
          </w:p>
        </w:tc>
        <w:tc>
          <w:tcPr>
            <w:tcW w:w="85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0.6960</w:t>
            </w:r>
          </w:p>
        </w:tc>
        <w:tc>
          <w:tcPr>
            <w:tcW w:w="861" w:type="dxa"/>
            <w:shd w:val="clear" w:color="auto" w:fill="auto"/>
            <w:vAlign w:val="center"/>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4</w:t>
            </w:r>
          </w:p>
        </w:tc>
      </w:tr>
      <w:tr w:rsidR="007F04C9" w:rsidRPr="00905C54" w:rsidTr="00386142">
        <w:trPr>
          <w:trHeight w:val="334"/>
          <w:jc w:val="right"/>
        </w:trPr>
        <w:tc>
          <w:tcPr>
            <w:tcW w:w="989"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3</w:t>
            </w:r>
          </w:p>
        </w:tc>
        <w:tc>
          <w:tcPr>
            <w:tcW w:w="2820" w:type="dxa"/>
            <w:shd w:val="clear" w:color="auto" w:fill="auto"/>
            <w:vAlign w:val="bottom"/>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Agglomerative cluster</w:t>
            </w:r>
          </w:p>
        </w:tc>
        <w:tc>
          <w:tcPr>
            <w:tcW w:w="1226"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0.4527</w:t>
            </w:r>
          </w:p>
        </w:tc>
        <w:tc>
          <w:tcPr>
            <w:tcW w:w="109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0.3320</w:t>
            </w:r>
          </w:p>
        </w:tc>
        <w:tc>
          <w:tcPr>
            <w:tcW w:w="1408"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0.5155</w:t>
            </w:r>
          </w:p>
        </w:tc>
        <w:tc>
          <w:tcPr>
            <w:tcW w:w="85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0.5801</w:t>
            </w:r>
          </w:p>
        </w:tc>
        <w:tc>
          <w:tcPr>
            <w:tcW w:w="861" w:type="dxa"/>
            <w:shd w:val="clear" w:color="auto" w:fill="auto"/>
            <w:vAlign w:val="center"/>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5</w:t>
            </w:r>
          </w:p>
        </w:tc>
      </w:tr>
      <w:tr w:rsidR="007F04C9" w:rsidRPr="00905C54" w:rsidTr="00386142">
        <w:trPr>
          <w:trHeight w:val="345"/>
          <w:jc w:val="right"/>
        </w:trPr>
        <w:tc>
          <w:tcPr>
            <w:tcW w:w="989"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4</w:t>
            </w:r>
          </w:p>
        </w:tc>
        <w:tc>
          <w:tcPr>
            <w:tcW w:w="2820" w:type="dxa"/>
            <w:shd w:val="clear" w:color="auto" w:fill="auto"/>
            <w:vAlign w:val="bottom"/>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Cluster by variables</w:t>
            </w:r>
          </w:p>
        </w:tc>
        <w:tc>
          <w:tcPr>
            <w:tcW w:w="1226"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0.6646</w:t>
            </w:r>
          </w:p>
        </w:tc>
        <w:tc>
          <w:tcPr>
            <w:tcW w:w="109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0.6386</w:t>
            </w:r>
          </w:p>
        </w:tc>
        <w:tc>
          <w:tcPr>
            <w:tcW w:w="1408"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0.7227</w:t>
            </w:r>
          </w:p>
        </w:tc>
        <w:tc>
          <w:tcPr>
            <w:tcW w:w="85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0.7222</w:t>
            </w:r>
          </w:p>
        </w:tc>
        <w:tc>
          <w:tcPr>
            <w:tcW w:w="861" w:type="dxa"/>
            <w:shd w:val="clear" w:color="auto" w:fill="auto"/>
            <w:vAlign w:val="center"/>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2</w:t>
            </w:r>
          </w:p>
        </w:tc>
      </w:tr>
      <w:tr w:rsidR="007F04C9" w:rsidRPr="00905C54" w:rsidTr="00386142">
        <w:trPr>
          <w:trHeight w:val="345"/>
          <w:jc w:val="right"/>
        </w:trPr>
        <w:tc>
          <w:tcPr>
            <w:tcW w:w="989"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lastRenderedPageBreak/>
              <w:t>5</w:t>
            </w:r>
          </w:p>
        </w:tc>
        <w:tc>
          <w:tcPr>
            <w:tcW w:w="2820" w:type="dxa"/>
            <w:shd w:val="clear" w:color="auto" w:fill="auto"/>
            <w:vAlign w:val="bottom"/>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K-means</w:t>
            </w:r>
          </w:p>
        </w:tc>
        <w:tc>
          <w:tcPr>
            <w:tcW w:w="1226"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0.6390</w:t>
            </w:r>
          </w:p>
        </w:tc>
        <w:tc>
          <w:tcPr>
            <w:tcW w:w="109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0.6107</w:t>
            </w:r>
          </w:p>
        </w:tc>
        <w:tc>
          <w:tcPr>
            <w:tcW w:w="1408"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0.7171</w:t>
            </w:r>
          </w:p>
        </w:tc>
        <w:tc>
          <w:tcPr>
            <w:tcW w:w="85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0.7032</w:t>
            </w:r>
          </w:p>
        </w:tc>
        <w:tc>
          <w:tcPr>
            <w:tcW w:w="861" w:type="dxa"/>
            <w:shd w:val="clear" w:color="auto" w:fill="auto"/>
            <w:vAlign w:val="center"/>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3</w:t>
            </w:r>
          </w:p>
        </w:tc>
      </w:tr>
    </w:tbl>
    <w:p w:rsidR="007F04C9" w:rsidRPr="00905C54" w:rsidRDefault="007F04C9" w:rsidP="007F04C9">
      <w:pPr>
        <w:pStyle w:val="NormalWeb"/>
        <w:ind w:firstLine="720"/>
        <w:contextualSpacing/>
        <w:jc w:val="both"/>
        <w:rPr>
          <w:rFonts w:ascii="Arial" w:eastAsia="TimesNewRomanPSMT" w:hAnsi="Arial" w:cs="Arial"/>
          <w:sz w:val="22"/>
          <w:szCs w:val="22"/>
          <w:lang w:val="ru-RU"/>
        </w:rPr>
      </w:pPr>
    </w:p>
    <w:p w:rsidR="00422193" w:rsidRPr="00905C54" w:rsidRDefault="00422193" w:rsidP="00422193">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Desde el punto de vista de la similitud, todos los métodos de modelado compartieron un enfoque común para la evaluación de la concentración de plata. Todos demostraron la capacidad de captar la variabilidad de los datos, aunque con distintos niveles de precisión. Además, los resultados reflejan una coherencia general en los rangos asignados a los métodos, lo que sugiere cierta estabilidad en su eficacia relativa dentro de los distintos grupos.</w:t>
      </w:r>
    </w:p>
    <w:p w:rsidR="00422193" w:rsidRPr="00905C54" w:rsidRDefault="00422193" w:rsidP="00422193">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 xml:space="preserve">Sin embargo, también se observaron diferencias significativas entre los métodos. </w:t>
      </w:r>
      <w:r w:rsidRPr="00905C54">
        <w:rPr>
          <w:rFonts w:ascii="Arial" w:eastAsia="TimesNewRomanPSMT" w:hAnsi="Arial" w:cs="Arial"/>
          <w:b/>
          <w:bCs/>
          <w:sz w:val="22"/>
          <w:szCs w:val="22"/>
          <w:lang w:val="es-RU"/>
        </w:rPr>
        <w:t>XGBoost</w:t>
      </w:r>
      <w:r w:rsidRPr="00905C54">
        <w:rPr>
          <w:rFonts w:ascii="Arial" w:eastAsia="TimesNewRomanPSMT" w:hAnsi="Arial" w:cs="Arial"/>
          <w:sz w:val="22"/>
          <w:szCs w:val="22"/>
          <w:lang w:val="es-RU"/>
        </w:rPr>
        <w:t xml:space="preserve"> obtuvo la puntuación R² más alta en la mayoría de los grupos, lo que indica su superioridad en términos de precisión predictiva. </w:t>
      </w:r>
      <w:r w:rsidRPr="00905C54">
        <w:rPr>
          <w:rFonts w:ascii="Arial" w:eastAsia="TimesNewRomanPSMT" w:hAnsi="Arial" w:cs="Arial"/>
          <w:b/>
          <w:bCs/>
          <w:sz w:val="22"/>
          <w:szCs w:val="22"/>
          <w:lang w:val="es-RU"/>
        </w:rPr>
        <w:t>SVM</w:t>
      </w:r>
      <w:r w:rsidRPr="00905C54">
        <w:rPr>
          <w:rFonts w:ascii="Arial" w:eastAsia="TimesNewRomanPSMT" w:hAnsi="Arial" w:cs="Arial"/>
          <w:sz w:val="22"/>
          <w:szCs w:val="22"/>
          <w:lang w:val="es-RU"/>
        </w:rPr>
        <w:t xml:space="preserve"> y </w:t>
      </w:r>
      <w:r w:rsidRPr="00905C54">
        <w:rPr>
          <w:rFonts w:ascii="Arial" w:eastAsia="TimesNewRomanPSMT" w:hAnsi="Arial" w:cs="Arial"/>
          <w:b/>
          <w:bCs/>
          <w:sz w:val="22"/>
          <w:szCs w:val="22"/>
          <w:lang w:val="es-RU"/>
        </w:rPr>
        <w:t>Random Forest (RF)</w:t>
      </w:r>
      <w:r w:rsidRPr="00905C54">
        <w:rPr>
          <w:rFonts w:ascii="Arial" w:eastAsia="TimesNewRomanPSMT" w:hAnsi="Arial" w:cs="Arial"/>
          <w:sz w:val="22"/>
          <w:szCs w:val="22"/>
          <w:lang w:val="es-RU"/>
        </w:rPr>
        <w:t xml:space="preserve"> también mostraron buenos resultados, mientras que </w:t>
      </w:r>
      <w:r w:rsidRPr="00905C54">
        <w:rPr>
          <w:rFonts w:ascii="Arial" w:eastAsia="TimesNewRomanPSMT" w:hAnsi="Arial" w:cs="Arial"/>
          <w:b/>
          <w:bCs/>
          <w:sz w:val="22"/>
          <w:szCs w:val="22"/>
          <w:lang w:val="es-RU"/>
        </w:rPr>
        <w:t>ANN</w:t>
      </w:r>
      <w:r w:rsidRPr="00905C54">
        <w:rPr>
          <w:rFonts w:ascii="Arial" w:eastAsia="TimesNewRomanPSMT" w:hAnsi="Arial" w:cs="Arial"/>
          <w:sz w:val="22"/>
          <w:szCs w:val="22"/>
          <w:lang w:val="es-RU"/>
        </w:rPr>
        <w:t xml:space="preserve"> y </w:t>
      </w:r>
      <w:r w:rsidRPr="00905C54">
        <w:rPr>
          <w:rFonts w:ascii="Arial" w:eastAsia="TimesNewRomanPSMT" w:hAnsi="Arial" w:cs="Arial"/>
          <w:b/>
          <w:bCs/>
          <w:sz w:val="22"/>
          <w:szCs w:val="22"/>
          <w:lang w:val="es-RU"/>
        </w:rPr>
        <w:t>SVM</w:t>
      </w:r>
      <w:r w:rsidRPr="00905C54">
        <w:rPr>
          <w:rFonts w:ascii="Arial" w:eastAsia="TimesNewRomanPSMT" w:hAnsi="Arial" w:cs="Arial"/>
          <w:sz w:val="22"/>
          <w:szCs w:val="22"/>
          <w:lang w:val="es-RU"/>
        </w:rPr>
        <w:t xml:space="preserve"> presentaron, en algunos casos, desempeños algo inferiores (</w:t>
      </w:r>
      <w:r w:rsidRPr="00905C54">
        <w:rPr>
          <w:rFonts w:ascii="Arial" w:eastAsia="TimesNewRomanPSMT" w:hAnsi="Arial" w:cs="Arial"/>
          <w:b/>
          <w:bCs/>
          <w:sz w:val="22"/>
          <w:szCs w:val="22"/>
          <w:lang w:val="es-RU"/>
        </w:rPr>
        <w:t>ver Fig. 2</w:t>
      </w:r>
      <w:r w:rsidRPr="00905C54">
        <w:rPr>
          <w:rFonts w:ascii="Arial" w:eastAsia="TimesNewRomanPSMT" w:hAnsi="Arial" w:cs="Arial"/>
          <w:sz w:val="22"/>
          <w:szCs w:val="22"/>
          <w:lang w:val="es-RU"/>
        </w:rPr>
        <w:t>).</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p>
    <w:p w:rsidR="007F04C9" w:rsidRPr="00905C54" w:rsidRDefault="007F04C9" w:rsidP="007F04C9">
      <w:pPr>
        <w:pStyle w:val="NormalWeb"/>
        <w:ind w:firstLine="720"/>
        <w:contextualSpacing/>
        <w:jc w:val="center"/>
        <w:rPr>
          <w:rFonts w:ascii="Arial" w:eastAsia="TimesNewRomanPSMT" w:hAnsi="Arial" w:cs="Arial"/>
          <w:sz w:val="22"/>
          <w:szCs w:val="22"/>
          <w:lang w:val="ru-RU"/>
        </w:rPr>
      </w:pPr>
      <w:r w:rsidRPr="00905C54">
        <w:rPr>
          <w:rFonts w:ascii="Arial" w:eastAsia="TimesNewRomanPSMT" w:hAnsi="Arial" w:cs="Arial"/>
          <w:noProof/>
          <w:sz w:val="22"/>
          <w:szCs w:val="22"/>
        </w:rPr>
        <w:drawing>
          <wp:inline distT="0" distB="0" distL="0" distR="0" wp14:anchorId="3C6EBEB8" wp14:editId="7F97711B">
            <wp:extent cx="4023360" cy="2001520"/>
            <wp:effectExtent l="0" t="0" r="0" b="0"/>
            <wp:docPr id="2" name="Imagen 537089534" descr="/var/folders/9w/8v2wws452n59pp4qss7x4grw0000gn/T/com.microsoft.Word/WebArchiveCopyPasteTempFiles/c4242b04-a05d-41b8-a59f-132f809c4e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537089534" descr="/var/folders/9w/8v2wws452n59pp4qss7x4grw0000gn/T/com.microsoft.Word/WebArchiveCopyPasteTempFiles/c4242b04-a05d-41b8-a59f-132f809c4e84"/>
                    <pic:cNvPicPr>
                      <a:picLocks/>
                    </pic:cNvPicPr>
                  </pic:nvPicPr>
                  <pic:blipFill>
                    <a:blip r:embed="rId7">
                      <a:extLst>
                        <a:ext uri="{28A0092B-C50C-407E-A947-70E740481C1C}">
                          <a14:useLocalDpi xmlns:a14="http://schemas.microsoft.com/office/drawing/2010/main" val="0"/>
                        </a:ext>
                      </a:extLst>
                    </a:blip>
                    <a:srcRect t="5109" b="5070"/>
                    <a:stretch>
                      <a:fillRect/>
                    </a:stretch>
                  </pic:blipFill>
                  <pic:spPr bwMode="auto">
                    <a:xfrm>
                      <a:off x="0" y="0"/>
                      <a:ext cx="4023360" cy="2001520"/>
                    </a:xfrm>
                    <a:prstGeom prst="rect">
                      <a:avLst/>
                    </a:prstGeom>
                    <a:noFill/>
                    <a:ln>
                      <a:noFill/>
                    </a:ln>
                  </pic:spPr>
                </pic:pic>
              </a:graphicData>
            </a:graphic>
          </wp:inline>
        </w:drawing>
      </w:r>
    </w:p>
    <w:p w:rsidR="00422193" w:rsidRPr="00905C54" w:rsidRDefault="00422193" w:rsidP="00422193">
      <w:pPr>
        <w:jc w:val="center"/>
        <w:rPr>
          <w:rFonts w:ascii="Arial" w:hAnsi="Arial" w:cs="Arial"/>
          <w:i/>
          <w:iCs/>
          <w:sz w:val="22"/>
          <w:szCs w:val="22"/>
          <w:lang w:val="es-RU"/>
        </w:rPr>
      </w:pPr>
      <w:r w:rsidRPr="00905C54">
        <w:rPr>
          <w:rFonts w:ascii="Arial" w:hAnsi="Arial" w:cs="Arial"/>
          <w:b/>
          <w:bCs/>
          <w:i/>
          <w:iCs/>
          <w:sz w:val="22"/>
          <w:szCs w:val="22"/>
          <w:lang w:val="es-RU"/>
        </w:rPr>
        <w:t>Fig. 2. Comparación de los resultados de predicción del coeficiente de determinación (R²) para cada grupo.</w:t>
      </w:r>
    </w:p>
    <w:p w:rsidR="007F04C9" w:rsidRPr="00905C54" w:rsidRDefault="007F04C9" w:rsidP="007F04C9">
      <w:pPr>
        <w:jc w:val="center"/>
        <w:rPr>
          <w:rFonts w:ascii="Arial" w:hAnsi="Arial" w:cs="Arial"/>
          <w:i/>
          <w:color w:val="000000"/>
          <w:sz w:val="22"/>
          <w:szCs w:val="22"/>
          <w:lang w:val="es-RU"/>
        </w:rPr>
      </w:pPr>
    </w:p>
    <w:p w:rsidR="00422193" w:rsidRPr="00905C54" w:rsidRDefault="00422193" w:rsidP="00422193">
      <w:pPr>
        <w:pStyle w:val="NormalWeb"/>
        <w:ind w:firstLine="720"/>
        <w:jc w:val="both"/>
        <w:rPr>
          <w:rFonts w:ascii="Arial" w:hAnsi="Arial" w:cs="Arial"/>
          <w:sz w:val="22"/>
          <w:szCs w:val="22"/>
          <w:lang w:val="es-RU"/>
        </w:rPr>
      </w:pPr>
      <w:r w:rsidRPr="00905C54">
        <w:rPr>
          <w:rFonts w:ascii="Arial" w:hAnsi="Arial" w:cs="Arial"/>
          <w:sz w:val="22"/>
          <w:szCs w:val="22"/>
          <w:lang w:val="es-RU"/>
        </w:rPr>
        <w:t>Este estudio resalta la importancia de aplicar y analizar no solo un único método, sino varios enfoques de aprendizaje automático en el campo de la exploración de recursos minerales. Esto contribuye a una evaluación más completa y precisa de las concentraciones de metales preciosos en los yacimientos minerales.</w:t>
      </w:r>
    </w:p>
    <w:p w:rsidR="007F04C9" w:rsidRPr="00905C54" w:rsidRDefault="007F04C9" w:rsidP="007F04C9">
      <w:pPr>
        <w:pStyle w:val="NormalWeb"/>
        <w:ind w:firstLine="720"/>
        <w:jc w:val="both"/>
        <w:rPr>
          <w:rFonts w:ascii="Arial" w:eastAsia="TimesNewRomanPSMT" w:hAnsi="Arial" w:cs="Arial"/>
          <w:sz w:val="22"/>
          <w:szCs w:val="22"/>
          <w:lang w:val="es-ES"/>
        </w:rPr>
      </w:pPr>
    </w:p>
    <w:p w:rsidR="0026041C" w:rsidRPr="00905C54" w:rsidRDefault="0026041C" w:rsidP="0026041C">
      <w:pPr>
        <w:jc w:val="both"/>
        <w:rPr>
          <w:rFonts w:ascii="Arial" w:eastAsia="SimSun" w:hAnsi="Arial" w:cs="Arial"/>
          <w:b/>
          <w:sz w:val="22"/>
          <w:szCs w:val="22"/>
          <w:lang w:eastAsia="zh-CN"/>
        </w:rPr>
      </w:pPr>
      <w:proofErr w:type="spellStart"/>
      <w:r w:rsidRPr="00905C54">
        <w:rPr>
          <w:rFonts w:ascii="Arial" w:eastAsia="SimSun" w:hAnsi="Arial" w:cs="Arial"/>
          <w:b/>
          <w:sz w:val="22"/>
          <w:szCs w:val="22"/>
          <w:lang w:val="ru-RU" w:eastAsia="zh-CN"/>
        </w:rPr>
        <w:t>Lista</w:t>
      </w:r>
      <w:proofErr w:type="spellEnd"/>
      <w:r w:rsidRPr="00905C54">
        <w:rPr>
          <w:rFonts w:ascii="Arial" w:eastAsia="SimSun" w:hAnsi="Arial" w:cs="Arial"/>
          <w:b/>
          <w:sz w:val="22"/>
          <w:szCs w:val="22"/>
          <w:lang w:val="ru-RU" w:eastAsia="zh-CN"/>
        </w:rPr>
        <w:t xml:space="preserve"> de </w:t>
      </w:r>
      <w:proofErr w:type="spellStart"/>
      <w:r w:rsidRPr="00905C54">
        <w:rPr>
          <w:rFonts w:ascii="Arial" w:eastAsia="SimSun" w:hAnsi="Arial" w:cs="Arial"/>
          <w:b/>
          <w:sz w:val="22"/>
          <w:szCs w:val="22"/>
          <w:lang w:val="ru-RU" w:eastAsia="zh-CN"/>
        </w:rPr>
        <w:t>referencias</w:t>
      </w:r>
      <w:proofErr w:type="spellEnd"/>
      <w:r w:rsidRPr="00905C54">
        <w:rPr>
          <w:rFonts w:ascii="Arial" w:eastAsia="SimSun" w:hAnsi="Arial" w:cs="Arial"/>
          <w:b/>
          <w:sz w:val="22"/>
          <w:szCs w:val="22"/>
          <w:lang w:eastAsia="zh-CN"/>
        </w:rPr>
        <w:t>:</w:t>
      </w:r>
    </w:p>
    <w:p w:rsidR="007F04C9" w:rsidRPr="00905C54" w:rsidRDefault="007F04C9" w:rsidP="007F04C9">
      <w:pPr>
        <w:numPr>
          <w:ilvl w:val="0"/>
          <w:numId w:val="1"/>
        </w:numPr>
        <w:ind w:left="709" w:hanging="425"/>
        <w:jc w:val="both"/>
        <w:rPr>
          <w:rFonts w:ascii="Arial" w:eastAsia="TimesNewRomanPSMT" w:hAnsi="Arial" w:cs="Arial"/>
          <w:sz w:val="22"/>
          <w:szCs w:val="22"/>
          <w:lang w:val="ru-RU"/>
        </w:rPr>
      </w:pPr>
      <w:r w:rsidRPr="00905C54">
        <w:rPr>
          <w:rFonts w:ascii="Arial" w:eastAsia="TimesNewRomanPSMT" w:hAnsi="Arial" w:cs="Arial"/>
          <w:sz w:val="22"/>
          <w:szCs w:val="22"/>
          <w:lang w:val="ru-RU"/>
        </w:rPr>
        <w:t xml:space="preserve">Ширшов С.А. Поисковые работы на золото и серебро в пределах Центрального рудного узла </w:t>
      </w:r>
      <w:proofErr w:type="spellStart"/>
      <w:r w:rsidRPr="00905C54">
        <w:rPr>
          <w:rFonts w:ascii="Arial" w:eastAsia="TimesNewRomanPSMT" w:hAnsi="Arial" w:cs="Arial"/>
          <w:sz w:val="22"/>
          <w:szCs w:val="22"/>
          <w:lang w:val="ru-RU"/>
        </w:rPr>
        <w:t>Канчалано-Амгуэмской</w:t>
      </w:r>
      <w:proofErr w:type="spellEnd"/>
      <w:r w:rsidRPr="00905C54">
        <w:rPr>
          <w:rFonts w:ascii="Arial" w:eastAsia="TimesNewRomanPSMT" w:hAnsi="Arial" w:cs="Arial"/>
          <w:sz w:val="22"/>
          <w:szCs w:val="22"/>
          <w:lang w:val="ru-RU"/>
        </w:rPr>
        <w:t xml:space="preserve"> рудной зоны (Чукотский АО) // Проектная документация. 2020. Москва.  </w:t>
      </w:r>
    </w:p>
    <w:p w:rsidR="007F04C9" w:rsidRPr="00905C54" w:rsidRDefault="007F04C9" w:rsidP="007F04C9">
      <w:pPr>
        <w:numPr>
          <w:ilvl w:val="0"/>
          <w:numId w:val="1"/>
        </w:numPr>
        <w:ind w:left="709" w:hanging="425"/>
        <w:jc w:val="both"/>
        <w:rPr>
          <w:rFonts w:ascii="Arial" w:eastAsia="TimesNewRomanPSMT" w:hAnsi="Arial" w:cs="Arial"/>
          <w:sz w:val="22"/>
          <w:szCs w:val="22"/>
        </w:rPr>
      </w:pPr>
      <w:r w:rsidRPr="00905C54">
        <w:rPr>
          <w:rFonts w:ascii="Arial" w:eastAsia="TimesNewRomanPSMT" w:hAnsi="Arial" w:cs="Arial"/>
          <w:sz w:val="22"/>
          <w:szCs w:val="22"/>
        </w:rPr>
        <w:t xml:space="preserve">Carranza, E.J.M. Analysis and mapping of geochemical anomalies using log ratio-transformed stream sediment data with censored values // Journal of Geochemical Exploration. 2011. V. 110. P. 167-185. </w:t>
      </w:r>
      <w:proofErr w:type="spellStart"/>
      <w:r w:rsidRPr="00905C54">
        <w:rPr>
          <w:rFonts w:ascii="Arial" w:eastAsia="TimesNewRomanPSMT" w:hAnsi="Arial" w:cs="Arial"/>
          <w:sz w:val="22"/>
          <w:szCs w:val="22"/>
        </w:rPr>
        <w:t>doi</w:t>
      </w:r>
      <w:proofErr w:type="spellEnd"/>
      <w:r w:rsidRPr="00905C54">
        <w:rPr>
          <w:rFonts w:ascii="Arial" w:eastAsia="TimesNewRomanPSMT" w:hAnsi="Arial" w:cs="Arial"/>
          <w:sz w:val="22"/>
          <w:szCs w:val="22"/>
        </w:rPr>
        <w:t>: 10.1016/j.gexplo.2011.05.007.</w:t>
      </w:r>
    </w:p>
    <w:p w:rsidR="007F04C9" w:rsidRPr="00905C54" w:rsidRDefault="007F04C9" w:rsidP="007F04C9">
      <w:pPr>
        <w:numPr>
          <w:ilvl w:val="0"/>
          <w:numId w:val="1"/>
        </w:numPr>
        <w:ind w:left="709" w:hanging="425"/>
        <w:jc w:val="both"/>
        <w:rPr>
          <w:rFonts w:ascii="Arial" w:eastAsia="TimesNewRomanPSMT" w:hAnsi="Arial" w:cs="Arial"/>
          <w:sz w:val="22"/>
          <w:szCs w:val="22"/>
        </w:rPr>
      </w:pPr>
      <w:r w:rsidRPr="00905C54">
        <w:rPr>
          <w:rFonts w:ascii="Arial" w:eastAsia="TimesNewRomanPSMT" w:hAnsi="Arial" w:cs="Arial"/>
          <w:sz w:val="22"/>
          <w:szCs w:val="22"/>
        </w:rPr>
        <w:t xml:space="preserve">Ibrahim, B., Majeed, F., </w:t>
      </w:r>
      <w:proofErr w:type="spellStart"/>
      <w:r w:rsidRPr="00905C54">
        <w:rPr>
          <w:rFonts w:ascii="Arial" w:eastAsia="TimesNewRomanPSMT" w:hAnsi="Arial" w:cs="Arial"/>
          <w:sz w:val="22"/>
          <w:szCs w:val="22"/>
        </w:rPr>
        <w:t>Ewusi</w:t>
      </w:r>
      <w:proofErr w:type="spellEnd"/>
      <w:r w:rsidRPr="00905C54">
        <w:rPr>
          <w:rFonts w:ascii="Arial" w:eastAsia="TimesNewRomanPSMT" w:hAnsi="Arial" w:cs="Arial"/>
          <w:sz w:val="22"/>
          <w:szCs w:val="22"/>
        </w:rPr>
        <w:t xml:space="preserve">, A., &amp; </w:t>
      </w:r>
      <w:proofErr w:type="spellStart"/>
      <w:r w:rsidRPr="00905C54">
        <w:rPr>
          <w:rFonts w:ascii="Arial" w:eastAsia="TimesNewRomanPSMT" w:hAnsi="Arial" w:cs="Arial"/>
          <w:sz w:val="22"/>
          <w:szCs w:val="22"/>
        </w:rPr>
        <w:t>Ahenkorah</w:t>
      </w:r>
      <w:proofErr w:type="spellEnd"/>
      <w:r w:rsidRPr="00905C54">
        <w:rPr>
          <w:rFonts w:ascii="Arial" w:eastAsia="TimesNewRomanPSMT" w:hAnsi="Arial" w:cs="Arial"/>
          <w:sz w:val="22"/>
          <w:szCs w:val="22"/>
        </w:rPr>
        <w:t>, I. Residual geochemical gold grade prediction using extreme gradient boosting // Environmental Challenges. 2022. V. 6. https://doi.org/10.1016/j.envc.2021.100421.</w:t>
      </w:r>
    </w:p>
    <w:p w:rsidR="007F04C9" w:rsidRPr="00905C54" w:rsidRDefault="007F04C9" w:rsidP="007F04C9">
      <w:pPr>
        <w:numPr>
          <w:ilvl w:val="0"/>
          <w:numId w:val="1"/>
        </w:numPr>
        <w:ind w:left="709" w:hanging="425"/>
        <w:jc w:val="both"/>
        <w:rPr>
          <w:rFonts w:ascii="Arial" w:eastAsia="TimesNewRomanPSMT" w:hAnsi="Arial" w:cs="Arial"/>
          <w:sz w:val="22"/>
          <w:szCs w:val="22"/>
        </w:rPr>
      </w:pPr>
      <w:r w:rsidRPr="00905C54">
        <w:rPr>
          <w:rFonts w:ascii="Arial" w:eastAsia="TimesNewRomanPSMT" w:hAnsi="Arial" w:cs="Arial"/>
          <w:sz w:val="22"/>
          <w:szCs w:val="22"/>
        </w:rPr>
        <w:t xml:space="preserve">James, G., Witten, D., Hastie, T., &amp; </w:t>
      </w:r>
      <w:proofErr w:type="spellStart"/>
      <w:r w:rsidRPr="00905C54">
        <w:rPr>
          <w:rFonts w:ascii="Arial" w:eastAsia="TimesNewRomanPSMT" w:hAnsi="Arial" w:cs="Arial"/>
          <w:sz w:val="22"/>
          <w:szCs w:val="22"/>
        </w:rPr>
        <w:t>Tibshirani</w:t>
      </w:r>
      <w:proofErr w:type="spellEnd"/>
      <w:r w:rsidRPr="00905C54">
        <w:rPr>
          <w:rFonts w:ascii="Arial" w:eastAsia="TimesNewRomanPSMT" w:hAnsi="Arial" w:cs="Arial"/>
          <w:sz w:val="22"/>
          <w:szCs w:val="22"/>
        </w:rPr>
        <w:t>, R. An Introduction to Statistical Learning // Springer. 2013.</w:t>
      </w:r>
    </w:p>
    <w:p w:rsidR="002C5AF7" w:rsidRPr="002C50CF" w:rsidRDefault="007F04C9" w:rsidP="002C50CF">
      <w:pPr>
        <w:numPr>
          <w:ilvl w:val="0"/>
          <w:numId w:val="1"/>
        </w:numPr>
        <w:ind w:left="709" w:hanging="425"/>
        <w:jc w:val="both"/>
        <w:rPr>
          <w:rFonts w:ascii="Arial" w:eastAsia="TimesNewRomanPSMT" w:hAnsi="Arial" w:cs="Arial"/>
          <w:sz w:val="22"/>
          <w:szCs w:val="22"/>
          <w:lang w:val="ru-RU"/>
        </w:rPr>
      </w:pPr>
      <w:r w:rsidRPr="00905C54">
        <w:rPr>
          <w:rFonts w:ascii="Arial" w:eastAsia="TimesNewRomanPSMT" w:hAnsi="Arial" w:cs="Arial"/>
          <w:sz w:val="22"/>
          <w:szCs w:val="22"/>
        </w:rPr>
        <w:t xml:space="preserve">Pearson, R. K. Outliers in process modeling and identification // IEEE Transactions on Control Systems Technology. </w:t>
      </w:r>
      <w:r w:rsidRPr="00905C54">
        <w:rPr>
          <w:rFonts w:ascii="Arial" w:eastAsia="TimesNewRomanPSMT" w:hAnsi="Arial" w:cs="Arial"/>
          <w:sz w:val="22"/>
          <w:szCs w:val="22"/>
          <w:lang w:val="ru-RU"/>
        </w:rPr>
        <w:t xml:space="preserve">2002. </w:t>
      </w:r>
      <w:r w:rsidRPr="00905C54">
        <w:rPr>
          <w:rFonts w:ascii="Arial" w:eastAsia="TimesNewRomanPSMT" w:hAnsi="Arial" w:cs="Arial"/>
          <w:sz w:val="22"/>
          <w:szCs w:val="22"/>
        </w:rPr>
        <w:t>V</w:t>
      </w:r>
      <w:r w:rsidRPr="00905C54">
        <w:rPr>
          <w:rFonts w:ascii="Arial" w:eastAsia="TimesNewRomanPSMT" w:hAnsi="Arial" w:cs="Arial"/>
          <w:sz w:val="22"/>
          <w:szCs w:val="22"/>
          <w:lang w:val="ru-RU"/>
        </w:rPr>
        <w:t xml:space="preserve">. 10(1). </w:t>
      </w:r>
      <w:r w:rsidRPr="00905C54">
        <w:rPr>
          <w:rFonts w:ascii="Arial" w:eastAsia="TimesNewRomanPSMT" w:hAnsi="Arial" w:cs="Arial"/>
          <w:sz w:val="22"/>
          <w:szCs w:val="22"/>
        </w:rPr>
        <w:t>P</w:t>
      </w:r>
      <w:r w:rsidRPr="00905C54">
        <w:rPr>
          <w:rFonts w:ascii="Arial" w:eastAsia="TimesNewRomanPSMT" w:hAnsi="Arial" w:cs="Arial"/>
          <w:sz w:val="22"/>
          <w:szCs w:val="22"/>
          <w:lang w:val="ru-RU"/>
        </w:rPr>
        <w:t xml:space="preserve">. 55-63. </w:t>
      </w:r>
      <w:proofErr w:type="spellStart"/>
      <w:r w:rsidRPr="00905C54">
        <w:rPr>
          <w:rFonts w:ascii="Arial" w:eastAsia="TimesNewRomanPSMT" w:hAnsi="Arial" w:cs="Arial"/>
          <w:sz w:val="22"/>
          <w:szCs w:val="22"/>
        </w:rPr>
        <w:t>doi</w:t>
      </w:r>
      <w:proofErr w:type="spellEnd"/>
      <w:r w:rsidRPr="00905C54">
        <w:rPr>
          <w:rFonts w:ascii="Arial" w:eastAsia="TimesNewRomanPSMT" w:hAnsi="Arial" w:cs="Arial"/>
          <w:sz w:val="22"/>
          <w:szCs w:val="22"/>
          <w:lang w:val="ru-RU"/>
        </w:rPr>
        <w:t>: 10.1109/87.974338</w:t>
      </w:r>
    </w:p>
    <w:p w:rsidR="00710ED3" w:rsidRDefault="00710ED3" w:rsidP="002C50CF">
      <w:pPr>
        <w:spacing w:before="100" w:beforeAutospacing="1" w:after="100" w:afterAutospacing="1"/>
        <w:rPr>
          <w:rFonts w:ascii="Arial" w:hAnsi="Arial" w:cs="Arial"/>
          <w:b/>
          <w:bCs/>
          <w:sz w:val="22"/>
          <w:szCs w:val="22"/>
          <w:lang w:val="es-RU" w:eastAsia="es-MX"/>
        </w:rPr>
      </w:pPr>
    </w:p>
    <w:p w:rsidR="00710ED3" w:rsidRDefault="00710ED3" w:rsidP="002C50CF">
      <w:pPr>
        <w:spacing w:before="100" w:beforeAutospacing="1" w:after="100" w:afterAutospacing="1"/>
        <w:rPr>
          <w:rFonts w:ascii="Arial" w:hAnsi="Arial" w:cs="Arial"/>
          <w:b/>
          <w:bCs/>
          <w:sz w:val="22"/>
          <w:szCs w:val="22"/>
          <w:lang w:val="es-RU" w:eastAsia="es-MX"/>
        </w:rPr>
      </w:pPr>
    </w:p>
    <w:p w:rsidR="00710ED3" w:rsidRDefault="00710ED3" w:rsidP="002C50CF">
      <w:pPr>
        <w:spacing w:before="100" w:beforeAutospacing="1" w:after="100" w:afterAutospacing="1"/>
        <w:rPr>
          <w:rFonts w:ascii="Arial" w:hAnsi="Arial" w:cs="Arial"/>
          <w:b/>
          <w:bCs/>
          <w:sz w:val="22"/>
          <w:szCs w:val="22"/>
          <w:lang w:val="es-RU" w:eastAsia="es-MX"/>
        </w:rPr>
      </w:pPr>
    </w:p>
    <w:p w:rsidR="00710ED3" w:rsidRDefault="00710ED3" w:rsidP="002C50CF">
      <w:pPr>
        <w:spacing w:before="100" w:beforeAutospacing="1" w:after="100" w:afterAutospacing="1"/>
        <w:rPr>
          <w:rFonts w:ascii="Arial" w:hAnsi="Arial" w:cs="Arial"/>
          <w:b/>
          <w:bCs/>
          <w:sz w:val="22"/>
          <w:szCs w:val="22"/>
          <w:lang w:val="es-RU" w:eastAsia="es-MX"/>
        </w:rPr>
      </w:pPr>
    </w:p>
    <w:p w:rsidR="002C50CF" w:rsidRPr="006C6E41" w:rsidRDefault="002C50CF" w:rsidP="002C50CF">
      <w:pPr>
        <w:spacing w:before="100" w:beforeAutospacing="1" w:after="100" w:afterAutospacing="1"/>
        <w:rPr>
          <w:rFonts w:ascii="Arial" w:hAnsi="Arial" w:cs="Arial"/>
          <w:b/>
          <w:bCs/>
          <w:sz w:val="22"/>
          <w:szCs w:val="22"/>
          <w:lang w:val="es-RU" w:eastAsia="es-MX"/>
        </w:rPr>
      </w:pPr>
      <w:r w:rsidRPr="002C50CF">
        <w:rPr>
          <w:rFonts w:ascii="Arial" w:hAnsi="Arial" w:cs="Arial"/>
          <w:b/>
          <w:bCs/>
          <w:sz w:val="22"/>
          <w:szCs w:val="22"/>
          <w:lang w:val="es-RU" w:eastAsia="es-MX"/>
        </w:rPr>
        <w:lastRenderedPageBreak/>
        <w:t xml:space="preserve">Reseña profesional: </w:t>
      </w:r>
    </w:p>
    <w:p w:rsidR="002C50CF" w:rsidRPr="006C6E41" w:rsidRDefault="006C6E41" w:rsidP="00710ED3">
      <w:pPr>
        <w:spacing w:before="100" w:beforeAutospacing="1" w:after="100" w:afterAutospacing="1"/>
        <w:jc w:val="both"/>
        <w:rPr>
          <w:rFonts w:ascii="Arial" w:hAnsi="Arial" w:cs="Arial"/>
          <w:sz w:val="22"/>
          <w:szCs w:val="22"/>
          <w:lang w:val="es-ES"/>
        </w:rPr>
      </w:pPr>
      <w:r>
        <w:rPr>
          <w:rStyle w:val="Textoennegrita"/>
          <w:rFonts w:ascii="Arial" w:hAnsi="Arial" w:cs="Arial"/>
          <w:sz w:val="22"/>
          <w:szCs w:val="22"/>
          <w:lang w:val="es-ES"/>
        </w:rPr>
        <w:t xml:space="preserve">(PE) </w:t>
      </w:r>
      <w:r w:rsidR="00710ED3" w:rsidRPr="006C6E41">
        <w:rPr>
          <w:rStyle w:val="Textoennegrita"/>
          <w:rFonts w:ascii="Arial" w:hAnsi="Arial" w:cs="Arial"/>
          <w:sz w:val="22"/>
          <w:szCs w:val="22"/>
          <w:lang w:val="es-ES"/>
        </w:rPr>
        <w:t>Freedt Figueroa Balvin</w:t>
      </w:r>
      <w:r>
        <w:rPr>
          <w:rFonts w:ascii="Arial" w:hAnsi="Arial" w:cs="Arial"/>
          <w:sz w:val="22"/>
          <w:szCs w:val="22"/>
          <w:lang w:val="es-ES"/>
        </w:rPr>
        <w:t xml:space="preserve"> </w:t>
      </w:r>
      <w:r w:rsidR="00710ED3" w:rsidRPr="006C6E41">
        <w:rPr>
          <w:rFonts w:ascii="Arial" w:hAnsi="Arial" w:cs="Arial"/>
          <w:sz w:val="22"/>
          <w:szCs w:val="22"/>
          <w:lang w:val="es-ES"/>
        </w:rPr>
        <w:t>es ingeniero de minas con maestría en Geología por la Universidad Nacional Politécnica de Investigación de Tomsk (Rusia). Se especializa en prospección de yacimientos estratégicos, con experiencia en operaciones mineras</w:t>
      </w:r>
      <w:r w:rsidR="00710ED3" w:rsidRPr="006C6E41">
        <w:rPr>
          <w:rFonts w:ascii="Arial" w:hAnsi="Arial" w:cs="Arial"/>
          <w:sz w:val="22"/>
          <w:szCs w:val="22"/>
          <w:lang w:val="es-ES"/>
        </w:rPr>
        <w:t xml:space="preserve"> </w:t>
      </w:r>
      <w:r w:rsidR="00710ED3" w:rsidRPr="006C6E41">
        <w:rPr>
          <w:rFonts w:ascii="Arial" w:hAnsi="Arial" w:cs="Arial"/>
          <w:sz w:val="22"/>
          <w:szCs w:val="22"/>
          <w:lang w:val="es-ES"/>
        </w:rPr>
        <w:t xml:space="preserve">y geología aplicada. Ha participado en eventos científicos internacionales </w:t>
      </w:r>
      <w:r w:rsidR="00710ED3" w:rsidRPr="006C6E41">
        <w:rPr>
          <w:rFonts w:ascii="Arial" w:hAnsi="Arial" w:cs="Arial"/>
          <w:sz w:val="22"/>
          <w:szCs w:val="22"/>
          <w:lang w:val="es-ES"/>
        </w:rPr>
        <w:t xml:space="preserve">y nacionales en rusia </w:t>
      </w:r>
      <w:r w:rsidR="00710ED3" w:rsidRPr="006C6E41">
        <w:rPr>
          <w:rFonts w:ascii="Arial" w:hAnsi="Arial" w:cs="Arial"/>
          <w:sz w:val="22"/>
          <w:szCs w:val="22"/>
          <w:lang w:val="es-ES"/>
        </w:rPr>
        <w:t>sobre procesos de formación de yacimientos minerales.</w:t>
      </w:r>
    </w:p>
    <w:p w:rsidR="00710ED3" w:rsidRPr="006C6E41" w:rsidRDefault="006C6E41" w:rsidP="00710ED3">
      <w:pPr>
        <w:spacing w:before="100" w:beforeAutospacing="1" w:after="100" w:afterAutospacing="1"/>
        <w:jc w:val="both"/>
        <w:rPr>
          <w:rFonts w:ascii="Arial" w:hAnsi="Arial" w:cs="Arial"/>
          <w:sz w:val="22"/>
          <w:szCs w:val="22"/>
          <w:lang w:val="es-ES"/>
        </w:rPr>
      </w:pPr>
      <w:r>
        <w:rPr>
          <w:rFonts w:ascii="Arial" w:hAnsi="Arial" w:cs="Arial"/>
          <w:b/>
          <w:bCs/>
          <w:sz w:val="22"/>
          <w:szCs w:val="22"/>
          <w:lang w:val="es-ES"/>
        </w:rPr>
        <w:t xml:space="preserve">(RU) </w:t>
      </w:r>
      <w:r w:rsidR="00710ED3" w:rsidRPr="006C6E41">
        <w:rPr>
          <w:rFonts w:ascii="Arial" w:hAnsi="Arial" w:cs="Arial"/>
          <w:b/>
          <w:bCs/>
          <w:sz w:val="22"/>
          <w:szCs w:val="22"/>
          <w:lang w:val="es-ES"/>
        </w:rPr>
        <w:t>Olesya Savinova</w:t>
      </w:r>
      <w:r w:rsidR="00710ED3" w:rsidRPr="006C6E41">
        <w:rPr>
          <w:rFonts w:ascii="Arial" w:hAnsi="Arial" w:cs="Arial"/>
          <w:sz w:val="22"/>
          <w:szCs w:val="22"/>
          <w:lang w:val="es-ES"/>
        </w:rPr>
        <w:t xml:space="preserve"> </w:t>
      </w:r>
      <w:r w:rsidRPr="006C6E41">
        <w:rPr>
          <w:rFonts w:ascii="Arial" w:hAnsi="Arial" w:cs="Arial"/>
          <w:sz w:val="22"/>
          <w:szCs w:val="22"/>
          <w:lang w:val="es-ES"/>
        </w:rPr>
        <w:t xml:space="preserve">es doctora en Geociencias y actualmente se desempeña como investigadora senior en el Tatar Oil Research and Design Institute (TatNIPIneft). Anteriormente </w:t>
      </w:r>
      <w:r w:rsidRPr="006C6E41">
        <w:rPr>
          <w:rFonts w:ascii="Arial" w:hAnsi="Arial" w:cs="Arial"/>
          <w:sz w:val="22"/>
          <w:szCs w:val="22"/>
          <w:lang w:val="es-ES"/>
        </w:rPr>
        <w:t>fue</w:t>
      </w:r>
      <w:r w:rsidR="00710ED3" w:rsidRPr="006C6E41">
        <w:rPr>
          <w:rFonts w:ascii="Arial" w:hAnsi="Arial" w:cs="Arial"/>
          <w:sz w:val="22"/>
          <w:szCs w:val="22"/>
          <w:lang w:val="es-ES"/>
        </w:rPr>
        <w:t xml:space="preserve"> profesora asociada en la Universidad Politécnica de Tomsk y doctora en Geociencias, con una destacada trayectoria en geología económica. Su investigación se centra en la mineralogía, petrografía, depósitos de oro y procesos geológicos, con más de 19 publicaciones científicas. Su experiencia abarca desde el estudio de sistemas hidrotermales y mineralización aurífera hasta la caracterización de minerales en ambientes extremos de Siberia y Asia Central</w:t>
      </w:r>
      <w:r w:rsidRPr="006C6E41">
        <w:rPr>
          <w:rFonts w:ascii="Arial" w:hAnsi="Arial" w:cs="Arial"/>
          <w:sz w:val="22"/>
          <w:szCs w:val="22"/>
          <w:lang w:val="es-ES"/>
        </w:rPr>
        <w:t>.</w:t>
      </w:r>
    </w:p>
    <w:p w:rsidR="00710ED3" w:rsidRPr="002C50CF" w:rsidRDefault="00710ED3" w:rsidP="00710ED3">
      <w:pPr>
        <w:spacing w:before="100" w:beforeAutospacing="1" w:after="100" w:afterAutospacing="1"/>
        <w:jc w:val="both"/>
        <w:rPr>
          <w:rFonts w:ascii="Arial" w:hAnsi="Arial" w:cs="Arial"/>
          <w:sz w:val="21"/>
          <w:szCs w:val="21"/>
          <w:lang w:val="es-ES" w:eastAsia="es-MX"/>
        </w:rPr>
      </w:pPr>
    </w:p>
    <w:p w:rsidR="004B7F02" w:rsidRPr="00710ED3" w:rsidRDefault="004B7F02">
      <w:pPr>
        <w:rPr>
          <w:lang w:val="es-ES"/>
        </w:rPr>
      </w:pPr>
    </w:p>
    <w:p w:rsidR="004B7F02" w:rsidRPr="00710ED3" w:rsidRDefault="004B7F02">
      <w:pPr>
        <w:rPr>
          <w:lang w:val="es-ES"/>
        </w:rPr>
      </w:pPr>
    </w:p>
    <w:sectPr w:rsidR="004B7F02" w:rsidRPr="00710ED3" w:rsidSect="00EB4B1B">
      <w:pgSz w:w="11907" w:h="16840" w:code="9"/>
      <w:pgMar w:top="1134" w:right="1134" w:bottom="1134" w:left="680" w:header="0" w:footer="0" w:gutter="454"/>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MT">
    <w:altName w:val="Arial"/>
    <w:panose1 w:val="020B0604020202020204"/>
    <w:charset w:val="00"/>
    <w:family w:val="roman"/>
    <w:notTrueType/>
    <w:pitch w:val="default"/>
  </w:font>
  <w:font w:name="TimesNewRomanPSMT">
    <w:altName w:val="Arial Unicode MS"/>
    <w:panose1 w:val="020B0604020202020204"/>
    <w:charset w:val="80"/>
    <w:family w:val="auto"/>
    <w:pitch w:val="default"/>
    <w:sig w:usb0="00002A87" w:usb1="08070000" w:usb2="00000010" w:usb3="00000000" w:csb0="0002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A26BD"/>
    <w:multiLevelType w:val="hybridMultilevel"/>
    <w:tmpl w:val="D8B0770C"/>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75721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4C9"/>
    <w:rsid w:val="0022173A"/>
    <w:rsid w:val="0026041C"/>
    <w:rsid w:val="00284CEC"/>
    <w:rsid w:val="002C50CF"/>
    <w:rsid w:val="002C5AF7"/>
    <w:rsid w:val="00422193"/>
    <w:rsid w:val="004B7F02"/>
    <w:rsid w:val="006B6335"/>
    <w:rsid w:val="006C6E41"/>
    <w:rsid w:val="00710ED3"/>
    <w:rsid w:val="00794049"/>
    <w:rsid w:val="007F04C9"/>
    <w:rsid w:val="007F3015"/>
    <w:rsid w:val="00905C54"/>
    <w:rsid w:val="00AD5A0D"/>
    <w:rsid w:val="00F107A0"/>
    <w:rsid w:val="00F823BA"/>
  </w:rsids>
  <m:mathPr>
    <m:mathFont m:val="Cambria Math"/>
    <m:brkBin m:val="before"/>
    <m:brkBinSub m:val="--"/>
    <m:smallFrac m:val="0"/>
    <m:dispDef/>
    <m:lMargin m:val="0"/>
    <m:rMargin m:val="0"/>
    <m:defJc m:val="centerGroup"/>
    <m:wrapIndent m:val="1440"/>
    <m:intLim m:val="subSup"/>
    <m:naryLim m:val="undOvr"/>
  </m:mathPr>
  <w:themeFontLang w:val="es-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C4E7E"/>
  <w15:chartTrackingRefBased/>
  <w15:docId w15:val="{CC30014A-0A44-3642-9D1B-888C7CB4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4C9"/>
    <w:rPr>
      <w:rFonts w:ascii="Times New Roman" w:eastAsia="Times New Roman" w:hAnsi="Times New Roman" w:cs="Times New Roman"/>
      <w:kern w:val="0"/>
      <w:lang w:val="en-US" w:eastAsia="it-IT"/>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NormalWeb"/>
    <w:qFormat/>
    <w:rsid w:val="002C5AF7"/>
    <w:pPr>
      <w:spacing w:before="100" w:beforeAutospacing="1" w:after="100" w:afterAutospacing="1"/>
    </w:pPr>
    <w:rPr>
      <w:b/>
      <w:bCs/>
      <w:lang w:val="ru-RU" w:eastAsia="es-MX"/>
    </w:rPr>
  </w:style>
  <w:style w:type="paragraph" w:styleId="NormalWeb">
    <w:name w:val="Normal (Web)"/>
    <w:basedOn w:val="Normal"/>
    <w:uiPriority w:val="99"/>
    <w:unhideWhenUsed/>
    <w:rsid w:val="002C5AF7"/>
  </w:style>
  <w:style w:type="paragraph" w:customStyle="1" w:styleId="1">
    <w:name w:val="1"/>
    <w:autoRedefine/>
    <w:qFormat/>
    <w:rsid w:val="00AD5A0D"/>
    <w:pPr>
      <w:spacing w:after="160" w:line="259" w:lineRule="auto"/>
      <w:jc w:val="center"/>
    </w:pPr>
    <w:rPr>
      <w:rFonts w:ascii="Arial" w:eastAsia="Calibri" w:hAnsi="Arial" w:cs="Arial"/>
      <w:b/>
      <w:bCs/>
      <w:caps/>
      <w:color w:val="000000" w:themeColor="text1"/>
      <w:kern w:val="0"/>
      <w:lang w:val="es-PE" w:eastAsia="es-MX"/>
      <w14:ligatures w14:val="none"/>
    </w:rPr>
  </w:style>
  <w:style w:type="paragraph" w:customStyle="1" w:styleId="2">
    <w:name w:val="2"/>
    <w:next w:val="Normal"/>
    <w:qFormat/>
    <w:rsid w:val="00AD5A0D"/>
    <w:pPr>
      <w:spacing w:after="160" w:line="259" w:lineRule="auto"/>
      <w:ind w:firstLine="709"/>
    </w:pPr>
    <w:rPr>
      <w:rFonts w:ascii="Arial" w:eastAsia="Calibri" w:hAnsi="Arial" w:cs="Arial"/>
      <w:b/>
      <w:bCs/>
      <w:caps/>
      <w:noProof/>
      <w:color w:val="000000" w:themeColor="text1"/>
      <w:kern w:val="0"/>
      <w:lang w:val="es-PE" w:eastAsia="es-MX"/>
      <w14:ligatures w14:val="none"/>
    </w:rPr>
  </w:style>
  <w:style w:type="paragraph" w:customStyle="1" w:styleId="3">
    <w:name w:val="3"/>
    <w:qFormat/>
    <w:rsid w:val="00AD5A0D"/>
    <w:pPr>
      <w:tabs>
        <w:tab w:val="right" w:leader="dot" w:pos="9350"/>
      </w:tabs>
      <w:spacing w:after="160" w:line="259" w:lineRule="auto"/>
    </w:pPr>
    <w:rPr>
      <w:rFonts w:ascii="Arial" w:eastAsia="Arial" w:hAnsi="Arial" w:cs="Arial"/>
      <w:b/>
      <w:bCs/>
      <w:noProof/>
      <w:kern w:val="0"/>
      <w:lang w:val="es-PE" w:eastAsia="es-MX"/>
      <w14:ligatures w14:val="none"/>
    </w:rPr>
  </w:style>
  <w:style w:type="paragraph" w:customStyle="1" w:styleId="12">
    <w:name w:val="1.2"/>
    <w:next w:val="Normal"/>
    <w:qFormat/>
    <w:rsid w:val="00AD5A0D"/>
    <w:pPr>
      <w:spacing w:after="160" w:line="259" w:lineRule="auto"/>
      <w:ind w:left="-142" w:hanging="1276"/>
    </w:pPr>
    <w:rPr>
      <w:rFonts w:ascii="Arial" w:eastAsia="Calibri" w:hAnsi="Arial" w:cs="Arial"/>
      <w:b/>
      <w:bCs/>
      <w:caps/>
      <w:noProof/>
      <w:color w:val="000000" w:themeColor="text1"/>
      <w:kern w:val="0"/>
      <w:lang w:val="es-PE" w:eastAsia="es-MX"/>
      <w14:ligatures w14:val="none"/>
    </w:rPr>
  </w:style>
  <w:style w:type="paragraph" w:customStyle="1" w:styleId="Tabla1">
    <w:name w:val="Tabla 1"/>
    <w:next w:val="Normal"/>
    <w:qFormat/>
    <w:rsid w:val="00AD5A0D"/>
    <w:pPr>
      <w:spacing w:after="160" w:line="259" w:lineRule="auto"/>
      <w:jc w:val="right"/>
    </w:pPr>
    <w:rPr>
      <w:rFonts w:ascii="Arial" w:eastAsia="Times New Roman" w:hAnsi="Arial" w:cs="Arial"/>
      <w:b/>
      <w:bCs/>
      <w:kern w:val="0"/>
      <w:lang w:val="es-PE" w:eastAsia="es-MX"/>
      <w14:ligatures w14:val="none"/>
    </w:rPr>
  </w:style>
  <w:style w:type="paragraph" w:customStyle="1" w:styleId="TABLAAAS">
    <w:name w:val="TABLAAAS"/>
    <w:next w:val="Normal"/>
    <w:autoRedefine/>
    <w:qFormat/>
    <w:rsid w:val="00AD5A0D"/>
    <w:pPr>
      <w:spacing w:after="160" w:line="259" w:lineRule="auto"/>
      <w:jc w:val="right"/>
    </w:pPr>
    <w:rPr>
      <w:rFonts w:ascii="Arial" w:eastAsia="Calibri" w:hAnsi="Arial" w:cs="Arial"/>
      <w:bCs/>
      <w:color w:val="000000" w:themeColor="text1"/>
      <w:kern w:val="0"/>
      <w:lang w:val="es-PE" w:eastAsia="es-MX"/>
      <w14:ligatures w14:val="none"/>
    </w:rPr>
  </w:style>
  <w:style w:type="paragraph" w:customStyle="1" w:styleId="FIGURAAS">
    <w:name w:val="FIGURAAS"/>
    <w:next w:val="Normal"/>
    <w:autoRedefine/>
    <w:qFormat/>
    <w:rsid w:val="00AD5A0D"/>
    <w:pPr>
      <w:spacing w:after="160" w:line="360" w:lineRule="auto"/>
      <w:ind w:left="992"/>
      <w:jc w:val="center"/>
    </w:pPr>
    <w:rPr>
      <w:rFonts w:ascii="Arial" w:eastAsia="Times New Roman" w:hAnsi="Arial" w:cs="Arial"/>
      <w:bCs/>
      <w:noProof/>
      <w:kern w:val="0"/>
      <w:lang w:val="es-MX" w:eastAsia="es-MX"/>
      <w14:ligatures w14:val="none"/>
    </w:rPr>
  </w:style>
  <w:style w:type="paragraph" w:styleId="TDC3">
    <w:name w:val="toc 3"/>
    <w:next w:val="Normal"/>
    <w:autoRedefine/>
    <w:uiPriority w:val="39"/>
    <w:unhideWhenUsed/>
    <w:qFormat/>
    <w:rsid w:val="00F107A0"/>
    <w:pPr>
      <w:tabs>
        <w:tab w:val="right" w:leader="dot" w:pos="8864"/>
      </w:tabs>
      <w:ind w:left="480"/>
    </w:pPr>
    <w:rPr>
      <w:rFonts w:eastAsia="Calibri" w:cs="Arial"/>
      <w:bCs/>
      <w:caps/>
      <w:noProof/>
      <w:color w:val="000000" w:themeColor="text1"/>
      <w:kern w:val="0"/>
      <w:sz w:val="20"/>
      <w:lang w:val="es-MX" w:eastAsia="es-MX"/>
      <w14:ligatures w14:val="none"/>
    </w:rPr>
  </w:style>
  <w:style w:type="paragraph" w:styleId="TDC2">
    <w:name w:val="toc 2"/>
    <w:next w:val="Normal"/>
    <w:autoRedefine/>
    <w:uiPriority w:val="39"/>
    <w:unhideWhenUsed/>
    <w:qFormat/>
    <w:rsid w:val="00F107A0"/>
    <w:pPr>
      <w:spacing w:after="100"/>
      <w:ind w:left="240"/>
    </w:pPr>
    <w:rPr>
      <w:rFonts w:ascii="Arial" w:eastAsia="Times New Roman" w:hAnsi="Arial" w:cs="Times New Roman"/>
      <w:kern w:val="0"/>
      <w:lang w:val="es-PE" w:eastAsia="es-MX"/>
      <w14:ligatures w14:val="none"/>
    </w:rPr>
  </w:style>
  <w:style w:type="paragraph" w:styleId="Textosinformato">
    <w:name w:val="Plain Text"/>
    <w:basedOn w:val="Normal"/>
    <w:link w:val="TextosinformatoCar"/>
    <w:rsid w:val="007F04C9"/>
    <w:rPr>
      <w:rFonts w:ascii="Courier New" w:eastAsia="SimSun" w:hAnsi="Courier New" w:cs="Courier New"/>
      <w:sz w:val="20"/>
      <w:szCs w:val="20"/>
      <w:lang w:val="ru-RU" w:eastAsia="zh-CN"/>
    </w:rPr>
  </w:style>
  <w:style w:type="character" w:customStyle="1" w:styleId="TextosinformatoCar">
    <w:name w:val="Texto sin formato Car"/>
    <w:basedOn w:val="Fuentedeprrafopredeter"/>
    <w:link w:val="Textosinformato"/>
    <w:rsid w:val="007F04C9"/>
    <w:rPr>
      <w:rFonts w:ascii="Courier New" w:eastAsia="SimSun" w:hAnsi="Courier New" w:cs="Courier New"/>
      <w:kern w:val="0"/>
      <w:sz w:val="20"/>
      <w:szCs w:val="20"/>
      <w:lang w:val="ru-RU" w:eastAsia="zh-CN"/>
      <w14:ligatures w14:val="none"/>
    </w:rPr>
  </w:style>
  <w:style w:type="character" w:styleId="Referenciasutil">
    <w:name w:val="Subtle Reference"/>
    <w:aliases w:val="Литература"/>
    <w:uiPriority w:val="31"/>
    <w:qFormat/>
    <w:rsid w:val="007F04C9"/>
  </w:style>
  <w:style w:type="character" w:styleId="Textoennegrita">
    <w:name w:val="Strong"/>
    <w:basedOn w:val="Fuentedeprrafopredeter"/>
    <w:uiPriority w:val="22"/>
    <w:qFormat/>
    <w:rsid w:val="00794049"/>
    <w:rPr>
      <w:b/>
      <w:bCs/>
    </w:rPr>
  </w:style>
  <w:style w:type="character" w:styleId="Hipervnculo">
    <w:name w:val="Hyperlink"/>
    <w:basedOn w:val="Fuentedeprrafopredeter"/>
    <w:uiPriority w:val="99"/>
    <w:unhideWhenUsed/>
    <w:rsid w:val="00F823BA"/>
    <w:rPr>
      <w:color w:val="0563C1" w:themeColor="hyperlink"/>
      <w:u w:val="single"/>
    </w:rPr>
  </w:style>
  <w:style w:type="character" w:styleId="Mencinsinresolver">
    <w:name w:val="Unresolved Mention"/>
    <w:basedOn w:val="Fuentedeprrafopredeter"/>
    <w:uiPriority w:val="99"/>
    <w:semiHidden/>
    <w:unhideWhenUsed/>
    <w:rsid w:val="00F82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3742">
      <w:bodyDiv w:val="1"/>
      <w:marLeft w:val="0"/>
      <w:marRight w:val="0"/>
      <w:marTop w:val="0"/>
      <w:marBottom w:val="0"/>
      <w:divBdr>
        <w:top w:val="none" w:sz="0" w:space="0" w:color="auto"/>
        <w:left w:val="none" w:sz="0" w:space="0" w:color="auto"/>
        <w:bottom w:val="none" w:sz="0" w:space="0" w:color="auto"/>
        <w:right w:val="none" w:sz="0" w:space="0" w:color="auto"/>
      </w:divBdr>
      <w:divsChild>
        <w:div w:id="561722969">
          <w:marLeft w:val="0"/>
          <w:marRight w:val="0"/>
          <w:marTop w:val="0"/>
          <w:marBottom w:val="0"/>
          <w:divBdr>
            <w:top w:val="none" w:sz="0" w:space="0" w:color="auto"/>
            <w:left w:val="none" w:sz="0" w:space="0" w:color="auto"/>
            <w:bottom w:val="none" w:sz="0" w:space="0" w:color="auto"/>
            <w:right w:val="none" w:sz="0" w:space="0" w:color="auto"/>
          </w:divBdr>
          <w:divsChild>
            <w:div w:id="869536490">
              <w:marLeft w:val="0"/>
              <w:marRight w:val="0"/>
              <w:marTop w:val="0"/>
              <w:marBottom w:val="0"/>
              <w:divBdr>
                <w:top w:val="none" w:sz="0" w:space="0" w:color="auto"/>
                <w:left w:val="none" w:sz="0" w:space="0" w:color="auto"/>
                <w:bottom w:val="none" w:sz="0" w:space="0" w:color="auto"/>
                <w:right w:val="none" w:sz="0" w:space="0" w:color="auto"/>
              </w:divBdr>
              <w:divsChild>
                <w:div w:id="13954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007">
      <w:bodyDiv w:val="1"/>
      <w:marLeft w:val="0"/>
      <w:marRight w:val="0"/>
      <w:marTop w:val="0"/>
      <w:marBottom w:val="0"/>
      <w:divBdr>
        <w:top w:val="none" w:sz="0" w:space="0" w:color="auto"/>
        <w:left w:val="none" w:sz="0" w:space="0" w:color="auto"/>
        <w:bottom w:val="none" w:sz="0" w:space="0" w:color="auto"/>
        <w:right w:val="none" w:sz="0" w:space="0" w:color="auto"/>
      </w:divBdr>
    </w:div>
    <w:div w:id="186260917">
      <w:bodyDiv w:val="1"/>
      <w:marLeft w:val="0"/>
      <w:marRight w:val="0"/>
      <w:marTop w:val="0"/>
      <w:marBottom w:val="0"/>
      <w:divBdr>
        <w:top w:val="none" w:sz="0" w:space="0" w:color="auto"/>
        <w:left w:val="none" w:sz="0" w:space="0" w:color="auto"/>
        <w:bottom w:val="none" w:sz="0" w:space="0" w:color="auto"/>
        <w:right w:val="none" w:sz="0" w:space="0" w:color="auto"/>
      </w:divBdr>
    </w:div>
    <w:div w:id="412899062">
      <w:bodyDiv w:val="1"/>
      <w:marLeft w:val="0"/>
      <w:marRight w:val="0"/>
      <w:marTop w:val="0"/>
      <w:marBottom w:val="0"/>
      <w:divBdr>
        <w:top w:val="none" w:sz="0" w:space="0" w:color="auto"/>
        <w:left w:val="none" w:sz="0" w:space="0" w:color="auto"/>
        <w:bottom w:val="none" w:sz="0" w:space="0" w:color="auto"/>
        <w:right w:val="none" w:sz="0" w:space="0" w:color="auto"/>
      </w:divBdr>
    </w:div>
    <w:div w:id="490097418">
      <w:bodyDiv w:val="1"/>
      <w:marLeft w:val="0"/>
      <w:marRight w:val="0"/>
      <w:marTop w:val="0"/>
      <w:marBottom w:val="0"/>
      <w:divBdr>
        <w:top w:val="none" w:sz="0" w:space="0" w:color="auto"/>
        <w:left w:val="none" w:sz="0" w:space="0" w:color="auto"/>
        <w:bottom w:val="none" w:sz="0" w:space="0" w:color="auto"/>
        <w:right w:val="none" w:sz="0" w:space="0" w:color="auto"/>
      </w:divBdr>
      <w:divsChild>
        <w:div w:id="2053384776">
          <w:marLeft w:val="0"/>
          <w:marRight w:val="0"/>
          <w:marTop w:val="0"/>
          <w:marBottom w:val="0"/>
          <w:divBdr>
            <w:top w:val="none" w:sz="0" w:space="0" w:color="auto"/>
            <w:left w:val="none" w:sz="0" w:space="0" w:color="auto"/>
            <w:bottom w:val="none" w:sz="0" w:space="0" w:color="auto"/>
            <w:right w:val="none" w:sz="0" w:space="0" w:color="auto"/>
          </w:divBdr>
          <w:divsChild>
            <w:div w:id="877203180">
              <w:marLeft w:val="0"/>
              <w:marRight w:val="0"/>
              <w:marTop w:val="0"/>
              <w:marBottom w:val="0"/>
              <w:divBdr>
                <w:top w:val="none" w:sz="0" w:space="0" w:color="auto"/>
                <w:left w:val="none" w:sz="0" w:space="0" w:color="auto"/>
                <w:bottom w:val="none" w:sz="0" w:space="0" w:color="auto"/>
                <w:right w:val="none" w:sz="0" w:space="0" w:color="auto"/>
              </w:divBdr>
              <w:divsChild>
                <w:div w:id="16618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929174">
      <w:bodyDiv w:val="1"/>
      <w:marLeft w:val="0"/>
      <w:marRight w:val="0"/>
      <w:marTop w:val="0"/>
      <w:marBottom w:val="0"/>
      <w:divBdr>
        <w:top w:val="none" w:sz="0" w:space="0" w:color="auto"/>
        <w:left w:val="none" w:sz="0" w:space="0" w:color="auto"/>
        <w:bottom w:val="none" w:sz="0" w:space="0" w:color="auto"/>
        <w:right w:val="none" w:sz="0" w:space="0" w:color="auto"/>
      </w:divBdr>
    </w:div>
    <w:div w:id="568032763">
      <w:bodyDiv w:val="1"/>
      <w:marLeft w:val="0"/>
      <w:marRight w:val="0"/>
      <w:marTop w:val="0"/>
      <w:marBottom w:val="0"/>
      <w:divBdr>
        <w:top w:val="none" w:sz="0" w:space="0" w:color="auto"/>
        <w:left w:val="none" w:sz="0" w:space="0" w:color="auto"/>
        <w:bottom w:val="none" w:sz="0" w:space="0" w:color="auto"/>
        <w:right w:val="none" w:sz="0" w:space="0" w:color="auto"/>
      </w:divBdr>
    </w:div>
    <w:div w:id="653489279">
      <w:bodyDiv w:val="1"/>
      <w:marLeft w:val="0"/>
      <w:marRight w:val="0"/>
      <w:marTop w:val="0"/>
      <w:marBottom w:val="0"/>
      <w:divBdr>
        <w:top w:val="none" w:sz="0" w:space="0" w:color="auto"/>
        <w:left w:val="none" w:sz="0" w:space="0" w:color="auto"/>
        <w:bottom w:val="none" w:sz="0" w:space="0" w:color="auto"/>
        <w:right w:val="none" w:sz="0" w:space="0" w:color="auto"/>
      </w:divBdr>
    </w:div>
    <w:div w:id="688143286">
      <w:bodyDiv w:val="1"/>
      <w:marLeft w:val="0"/>
      <w:marRight w:val="0"/>
      <w:marTop w:val="0"/>
      <w:marBottom w:val="0"/>
      <w:divBdr>
        <w:top w:val="none" w:sz="0" w:space="0" w:color="auto"/>
        <w:left w:val="none" w:sz="0" w:space="0" w:color="auto"/>
        <w:bottom w:val="none" w:sz="0" w:space="0" w:color="auto"/>
        <w:right w:val="none" w:sz="0" w:space="0" w:color="auto"/>
      </w:divBdr>
    </w:div>
    <w:div w:id="749618239">
      <w:bodyDiv w:val="1"/>
      <w:marLeft w:val="0"/>
      <w:marRight w:val="0"/>
      <w:marTop w:val="0"/>
      <w:marBottom w:val="0"/>
      <w:divBdr>
        <w:top w:val="none" w:sz="0" w:space="0" w:color="auto"/>
        <w:left w:val="none" w:sz="0" w:space="0" w:color="auto"/>
        <w:bottom w:val="none" w:sz="0" w:space="0" w:color="auto"/>
        <w:right w:val="none" w:sz="0" w:space="0" w:color="auto"/>
      </w:divBdr>
    </w:div>
    <w:div w:id="927738848">
      <w:bodyDiv w:val="1"/>
      <w:marLeft w:val="0"/>
      <w:marRight w:val="0"/>
      <w:marTop w:val="0"/>
      <w:marBottom w:val="0"/>
      <w:divBdr>
        <w:top w:val="none" w:sz="0" w:space="0" w:color="auto"/>
        <w:left w:val="none" w:sz="0" w:space="0" w:color="auto"/>
        <w:bottom w:val="none" w:sz="0" w:space="0" w:color="auto"/>
        <w:right w:val="none" w:sz="0" w:space="0" w:color="auto"/>
      </w:divBdr>
    </w:div>
    <w:div w:id="977804157">
      <w:bodyDiv w:val="1"/>
      <w:marLeft w:val="0"/>
      <w:marRight w:val="0"/>
      <w:marTop w:val="0"/>
      <w:marBottom w:val="0"/>
      <w:divBdr>
        <w:top w:val="none" w:sz="0" w:space="0" w:color="auto"/>
        <w:left w:val="none" w:sz="0" w:space="0" w:color="auto"/>
        <w:bottom w:val="none" w:sz="0" w:space="0" w:color="auto"/>
        <w:right w:val="none" w:sz="0" w:space="0" w:color="auto"/>
      </w:divBdr>
    </w:div>
    <w:div w:id="1105421634">
      <w:bodyDiv w:val="1"/>
      <w:marLeft w:val="0"/>
      <w:marRight w:val="0"/>
      <w:marTop w:val="0"/>
      <w:marBottom w:val="0"/>
      <w:divBdr>
        <w:top w:val="none" w:sz="0" w:space="0" w:color="auto"/>
        <w:left w:val="none" w:sz="0" w:space="0" w:color="auto"/>
        <w:bottom w:val="none" w:sz="0" w:space="0" w:color="auto"/>
        <w:right w:val="none" w:sz="0" w:space="0" w:color="auto"/>
      </w:divBdr>
    </w:div>
    <w:div w:id="1171142927">
      <w:bodyDiv w:val="1"/>
      <w:marLeft w:val="0"/>
      <w:marRight w:val="0"/>
      <w:marTop w:val="0"/>
      <w:marBottom w:val="0"/>
      <w:divBdr>
        <w:top w:val="none" w:sz="0" w:space="0" w:color="auto"/>
        <w:left w:val="none" w:sz="0" w:space="0" w:color="auto"/>
        <w:bottom w:val="none" w:sz="0" w:space="0" w:color="auto"/>
        <w:right w:val="none" w:sz="0" w:space="0" w:color="auto"/>
      </w:divBdr>
    </w:div>
    <w:div w:id="1173497814">
      <w:bodyDiv w:val="1"/>
      <w:marLeft w:val="0"/>
      <w:marRight w:val="0"/>
      <w:marTop w:val="0"/>
      <w:marBottom w:val="0"/>
      <w:divBdr>
        <w:top w:val="none" w:sz="0" w:space="0" w:color="auto"/>
        <w:left w:val="none" w:sz="0" w:space="0" w:color="auto"/>
        <w:bottom w:val="none" w:sz="0" w:space="0" w:color="auto"/>
        <w:right w:val="none" w:sz="0" w:space="0" w:color="auto"/>
      </w:divBdr>
      <w:divsChild>
        <w:div w:id="1231041475">
          <w:marLeft w:val="0"/>
          <w:marRight w:val="0"/>
          <w:marTop w:val="0"/>
          <w:marBottom w:val="0"/>
          <w:divBdr>
            <w:top w:val="none" w:sz="0" w:space="0" w:color="auto"/>
            <w:left w:val="none" w:sz="0" w:space="0" w:color="auto"/>
            <w:bottom w:val="none" w:sz="0" w:space="0" w:color="auto"/>
            <w:right w:val="none" w:sz="0" w:space="0" w:color="auto"/>
          </w:divBdr>
          <w:divsChild>
            <w:div w:id="1293680758">
              <w:marLeft w:val="0"/>
              <w:marRight w:val="0"/>
              <w:marTop w:val="0"/>
              <w:marBottom w:val="0"/>
              <w:divBdr>
                <w:top w:val="none" w:sz="0" w:space="0" w:color="auto"/>
                <w:left w:val="none" w:sz="0" w:space="0" w:color="auto"/>
                <w:bottom w:val="none" w:sz="0" w:space="0" w:color="auto"/>
                <w:right w:val="none" w:sz="0" w:space="0" w:color="auto"/>
              </w:divBdr>
              <w:divsChild>
                <w:div w:id="649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959545">
      <w:bodyDiv w:val="1"/>
      <w:marLeft w:val="0"/>
      <w:marRight w:val="0"/>
      <w:marTop w:val="0"/>
      <w:marBottom w:val="0"/>
      <w:divBdr>
        <w:top w:val="none" w:sz="0" w:space="0" w:color="auto"/>
        <w:left w:val="none" w:sz="0" w:space="0" w:color="auto"/>
        <w:bottom w:val="none" w:sz="0" w:space="0" w:color="auto"/>
        <w:right w:val="none" w:sz="0" w:space="0" w:color="auto"/>
      </w:divBdr>
    </w:div>
    <w:div w:id="1302074510">
      <w:bodyDiv w:val="1"/>
      <w:marLeft w:val="0"/>
      <w:marRight w:val="0"/>
      <w:marTop w:val="0"/>
      <w:marBottom w:val="0"/>
      <w:divBdr>
        <w:top w:val="none" w:sz="0" w:space="0" w:color="auto"/>
        <w:left w:val="none" w:sz="0" w:space="0" w:color="auto"/>
        <w:bottom w:val="none" w:sz="0" w:space="0" w:color="auto"/>
        <w:right w:val="none" w:sz="0" w:space="0" w:color="auto"/>
      </w:divBdr>
    </w:div>
    <w:div w:id="1316955435">
      <w:bodyDiv w:val="1"/>
      <w:marLeft w:val="0"/>
      <w:marRight w:val="0"/>
      <w:marTop w:val="0"/>
      <w:marBottom w:val="0"/>
      <w:divBdr>
        <w:top w:val="none" w:sz="0" w:space="0" w:color="auto"/>
        <w:left w:val="none" w:sz="0" w:space="0" w:color="auto"/>
        <w:bottom w:val="none" w:sz="0" w:space="0" w:color="auto"/>
        <w:right w:val="none" w:sz="0" w:space="0" w:color="auto"/>
      </w:divBdr>
    </w:div>
    <w:div w:id="1437942487">
      <w:bodyDiv w:val="1"/>
      <w:marLeft w:val="0"/>
      <w:marRight w:val="0"/>
      <w:marTop w:val="0"/>
      <w:marBottom w:val="0"/>
      <w:divBdr>
        <w:top w:val="none" w:sz="0" w:space="0" w:color="auto"/>
        <w:left w:val="none" w:sz="0" w:space="0" w:color="auto"/>
        <w:bottom w:val="none" w:sz="0" w:space="0" w:color="auto"/>
        <w:right w:val="none" w:sz="0" w:space="0" w:color="auto"/>
      </w:divBdr>
    </w:div>
    <w:div w:id="1621304705">
      <w:bodyDiv w:val="1"/>
      <w:marLeft w:val="0"/>
      <w:marRight w:val="0"/>
      <w:marTop w:val="0"/>
      <w:marBottom w:val="0"/>
      <w:divBdr>
        <w:top w:val="none" w:sz="0" w:space="0" w:color="auto"/>
        <w:left w:val="none" w:sz="0" w:space="0" w:color="auto"/>
        <w:bottom w:val="none" w:sz="0" w:space="0" w:color="auto"/>
        <w:right w:val="none" w:sz="0" w:space="0" w:color="auto"/>
      </w:divBdr>
    </w:div>
    <w:div w:id="1863083787">
      <w:bodyDiv w:val="1"/>
      <w:marLeft w:val="0"/>
      <w:marRight w:val="0"/>
      <w:marTop w:val="0"/>
      <w:marBottom w:val="0"/>
      <w:divBdr>
        <w:top w:val="none" w:sz="0" w:space="0" w:color="auto"/>
        <w:left w:val="none" w:sz="0" w:space="0" w:color="auto"/>
        <w:bottom w:val="none" w:sz="0" w:space="0" w:color="auto"/>
        <w:right w:val="none" w:sz="0" w:space="0" w:color="auto"/>
      </w:divBdr>
      <w:divsChild>
        <w:div w:id="59912709">
          <w:marLeft w:val="0"/>
          <w:marRight w:val="0"/>
          <w:marTop w:val="0"/>
          <w:marBottom w:val="0"/>
          <w:divBdr>
            <w:top w:val="none" w:sz="0" w:space="0" w:color="auto"/>
            <w:left w:val="none" w:sz="0" w:space="0" w:color="auto"/>
            <w:bottom w:val="none" w:sz="0" w:space="0" w:color="auto"/>
            <w:right w:val="none" w:sz="0" w:space="0" w:color="auto"/>
          </w:divBdr>
          <w:divsChild>
            <w:div w:id="177282330">
              <w:marLeft w:val="0"/>
              <w:marRight w:val="0"/>
              <w:marTop w:val="0"/>
              <w:marBottom w:val="0"/>
              <w:divBdr>
                <w:top w:val="none" w:sz="0" w:space="0" w:color="auto"/>
                <w:left w:val="none" w:sz="0" w:space="0" w:color="auto"/>
                <w:bottom w:val="none" w:sz="0" w:space="0" w:color="auto"/>
                <w:right w:val="none" w:sz="0" w:space="0" w:color="auto"/>
              </w:divBdr>
              <w:divsChild>
                <w:div w:id="13903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213352">
      <w:bodyDiv w:val="1"/>
      <w:marLeft w:val="0"/>
      <w:marRight w:val="0"/>
      <w:marTop w:val="0"/>
      <w:marBottom w:val="0"/>
      <w:divBdr>
        <w:top w:val="none" w:sz="0" w:space="0" w:color="auto"/>
        <w:left w:val="none" w:sz="0" w:space="0" w:color="auto"/>
        <w:bottom w:val="none" w:sz="0" w:space="0" w:color="auto"/>
        <w:right w:val="none" w:sz="0" w:space="0" w:color="auto"/>
      </w:divBdr>
      <w:divsChild>
        <w:div w:id="1865090955">
          <w:marLeft w:val="0"/>
          <w:marRight w:val="0"/>
          <w:marTop w:val="0"/>
          <w:marBottom w:val="0"/>
          <w:divBdr>
            <w:top w:val="none" w:sz="0" w:space="0" w:color="auto"/>
            <w:left w:val="none" w:sz="0" w:space="0" w:color="auto"/>
            <w:bottom w:val="none" w:sz="0" w:space="0" w:color="auto"/>
            <w:right w:val="none" w:sz="0" w:space="0" w:color="auto"/>
          </w:divBdr>
          <w:divsChild>
            <w:div w:id="851410205">
              <w:marLeft w:val="0"/>
              <w:marRight w:val="0"/>
              <w:marTop w:val="0"/>
              <w:marBottom w:val="0"/>
              <w:divBdr>
                <w:top w:val="none" w:sz="0" w:space="0" w:color="auto"/>
                <w:left w:val="none" w:sz="0" w:space="0" w:color="auto"/>
                <w:bottom w:val="none" w:sz="0" w:space="0" w:color="auto"/>
                <w:right w:val="none" w:sz="0" w:space="0" w:color="auto"/>
              </w:divBdr>
              <w:divsChild>
                <w:div w:id="118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436413">
      <w:bodyDiv w:val="1"/>
      <w:marLeft w:val="0"/>
      <w:marRight w:val="0"/>
      <w:marTop w:val="0"/>
      <w:marBottom w:val="0"/>
      <w:divBdr>
        <w:top w:val="none" w:sz="0" w:space="0" w:color="auto"/>
        <w:left w:val="none" w:sz="0" w:space="0" w:color="auto"/>
        <w:bottom w:val="none" w:sz="0" w:space="0" w:color="auto"/>
        <w:right w:val="none" w:sz="0" w:space="0" w:color="auto"/>
      </w:divBdr>
    </w:div>
    <w:div w:id="2105877130">
      <w:bodyDiv w:val="1"/>
      <w:marLeft w:val="0"/>
      <w:marRight w:val="0"/>
      <w:marTop w:val="0"/>
      <w:marBottom w:val="0"/>
      <w:divBdr>
        <w:top w:val="none" w:sz="0" w:space="0" w:color="auto"/>
        <w:left w:val="none" w:sz="0" w:space="0" w:color="auto"/>
        <w:bottom w:val="none" w:sz="0" w:space="0" w:color="auto"/>
        <w:right w:val="none" w:sz="0" w:space="0" w:color="auto"/>
      </w:divBdr>
      <w:divsChild>
        <w:div w:id="704674688">
          <w:marLeft w:val="0"/>
          <w:marRight w:val="0"/>
          <w:marTop w:val="0"/>
          <w:marBottom w:val="0"/>
          <w:divBdr>
            <w:top w:val="none" w:sz="0" w:space="0" w:color="auto"/>
            <w:left w:val="none" w:sz="0" w:space="0" w:color="auto"/>
            <w:bottom w:val="none" w:sz="0" w:space="0" w:color="auto"/>
            <w:right w:val="none" w:sz="0" w:space="0" w:color="auto"/>
          </w:divBdr>
          <w:divsChild>
            <w:div w:id="1574580208">
              <w:marLeft w:val="0"/>
              <w:marRight w:val="0"/>
              <w:marTop w:val="0"/>
              <w:marBottom w:val="0"/>
              <w:divBdr>
                <w:top w:val="none" w:sz="0" w:space="0" w:color="auto"/>
                <w:left w:val="none" w:sz="0" w:space="0" w:color="auto"/>
                <w:bottom w:val="none" w:sz="0" w:space="0" w:color="auto"/>
                <w:right w:val="none" w:sz="0" w:space="0" w:color="auto"/>
              </w:divBdr>
              <w:divsChild>
                <w:div w:id="14535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ffigueroa.balvin@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1707</Words>
  <Characters>9393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2025-04-26T16:21:00Z</cp:lastPrinted>
  <dcterms:created xsi:type="dcterms:W3CDTF">2025-05-08T20:47:00Z</dcterms:created>
  <dcterms:modified xsi:type="dcterms:W3CDTF">2025-05-08T20:49:00Z</dcterms:modified>
</cp:coreProperties>
</file>