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22E558FD" w:rsidR="007373B8" w:rsidRPr="002C1314" w:rsidRDefault="00657F4D" w:rsidP="00D91BF7">
      <w:pPr>
        <w:spacing w:before="120"/>
        <w:jc w:val="center"/>
        <w:rPr>
          <w:rFonts w:ascii="Arial" w:hAnsi="Arial" w:cs="Arial"/>
          <w:b/>
          <w:sz w:val="22"/>
          <w:szCs w:val="22"/>
          <w:lang w:val="es-PE"/>
        </w:rPr>
      </w:pPr>
      <w:r w:rsidRPr="002C1314">
        <w:rPr>
          <w:rFonts w:ascii="Arial" w:hAnsi="Arial" w:cs="Arial"/>
          <w:b/>
          <w:sz w:val="22"/>
          <w:szCs w:val="22"/>
          <w:lang w:val="es-PE"/>
        </w:rPr>
        <w:t>Enfoque Multicriterio y Modular para la Transición de Rajo Abierto a Minería Subterránea: Concepto de De-</w:t>
      </w:r>
      <w:proofErr w:type="spellStart"/>
      <w:r w:rsidRPr="002C1314">
        <w:rPr>
          <w:rFonts w:ascii="Arial" w:hAnsi="Arial" w:cs="Arial"/>
          <w:b/>
          <w:sz w:val="22"/>
          <w:szCs w:val="22"/>
          <w:lang w:val="es-PE"/>
        </w:rPr>
        <w:t>Risking</w:t>
      </w:r>
      <w:proofErr w:type="spellEnd"/>
    </w:p>
    <w:p w14:paraId="18655DEC" w14:textId="48CAD884"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(Categoría</w:t>
      </w:r>
      <w:r w:rsidR="00493C85" w:rsidRPr="000270E6">
        <w:rPr>
          <w:rFonts w:ascii="Arial" w:hAnsi="Arial" w:cs="Arial"/>
          <w:sz w:val="22"/>
          <w:szCs w:val="22"/>
          <w:lang w:val="es-PE"/>
        </w:rPr>
        <w:t xml:space="preserve"> </w:t>
      </w:r>
      <w:r w:rsidR="008A5435">
        <w:rPr>
          <w:rFonts w:ascii="Arial" w:hAnsi="Arial" w:cs="Arial"/>
          <w:sz w:val="22"/>
          <w:szCs w:val="22"/>
          <w:lang w:val="es-PE"/>
        </w:rPr>
        <w:t>–</w:t>
      </w:r>
      <w:r w:rsidR="00493C85" w:rsidRPr="000270E6">
        <w:rPr>
          <w:rFonts w:ascii="Arial" w:hAnsi="Arial" w:cs="Arial"/>
          <w:sz w:val="22"/>
          <w:szCs w:val="22"/>
          <w:lang w:val="es-PE"/>
        </w:rPr>
        <w:t xml:space="preserve"> </w:t>
      </w:r>
      <w:r w:rsidR="008A5435">
        <w:rPr>
          <w:rFonts w:ascii="Arial" w:hAnsi="Arial" w:cs="Arial"/>
          <w:sz w:val="22"/>
          <w:szCs w:val="22"/>
          <w:lang w:val="es-PE"/>
        </w:rPr>
        <w:t>Planeamiento Estratégico</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400BE595" w14:textId="43DE6229" w:rsidR="0087565A" w:rsidRDefault="00657F4D" w:rsidP="0087565A">
      <w:pPr>
        <w:jc w:val="center"/>
        <w:rPr>
          <w:rFonts w:ascii="Arial" w:hAnsi="Arial" w:cs="Arial"/>
          <w:b/>
          <w:bCs/>
          <w:sz w:val="22"/>
          <w:szCs w:val="22"/>
          <w:vertAlign w:val="superscript"/>
          <w:lang w:val="es-PE"/>
        </w:rPr>
      </w:pPr>
      <w:r>
        <w:rPr>
          <w:rFonts w:ascii="Arial" w:hAnsi="Arial" w:cs="Arial"/>
          <w:b/>
          <w:bCs/>
          <w:sz w:val="22"/>
          <w:szCs w:val="22"/>
          <w:lang w:val="es-PE"/>
        </w:rPr>
        <w:t>Matías Fuentes Bustamante</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Enrique Rubio Esquivel</w:t>
      </w:r>
      <w:r w:rsidR="0087565A" w:rsidRPr="000270E6">
        <w:rPr>
          <w:rFonts w:ascii="Arial" w:hAnsi="Arial" w:cs="Arial"/>
          <w:b/>
          <w:bCs/>
          <w:sz w:val="22"/>
          <w:szCs w:val="22"/>
          <w:vertAlign w:val="superscript"/>
          <w:lang w:val="es-PE"/>
        </w:rPr>
        <w:t>2</w:t>
      </w:r>
    </w:p>
    <w:p w14:paraId="56BB83DC" w14:textId="77777777" w:rsidR="00657F4D" w:rsidRPr="000270E6" w:rsidRDefault="00657F4D"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A946794" w:rsidR="007373B8" w:rsidRPr="00657F4D" w:rsidRDefault="001F7167" w:rsidP="006975E0">
      <w:pPr>
        <w:ind w:left="142" w:hanging="142"/>
        <w:jc w:val="both"/>
        <w:rPr>
          <w:rFonts w:ascii="Arial" w:hAnsi="Arial" w:cs="Arial"/>
          <w:sz w:val="22"/>
          <w:szCs w:val="22"/>
          <w:lang w:val="en-US"/>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657F4D">
        <w:rPr>
          <w:rFonts w:ascii="Arial" w:hAnsi="Arial" w:cs="Arial"/>
          <w:sz w:val="22"/>
          <w:szCs w:val="22"/>
          <w:lang w:val="es-PE"/>
        </w:rPr>
        <w:t xml:space="preserve">REDCO Mining </w:t>
      </w:r>
      <w:proofErr w:type="spellStart"/>
      <w:r w:rsidR="00657F4D">
        <w:rPr>
          <w:rFonts w:ascii="Arial" w:hAnsi="Arial" w:cs="Arial"/>
          <w:sz w:val="22"/>
          <w:szCs w:val="22"/>
          <w:lang w:val="es-PE"/>
        </w:rPr>
        <w:t>Consultants</w:t>
      </w:r>
      <w:proofErr w:type="spellEnd"/>
      <w:r w:rsidR="00047A63" w:rsidRPr="000270E6">
        <w:rPr>
          <w:rFonts w:ascii="Arial" w:hAnsi="Arial" w:cs="Arial"/>
          <w:sz w:val="22"/>
          <w:szCs w:val="22"/>
          <w:lang w:val="es-PE"/>
        </w:rPr>
        <w:t xml:space="preserve">, </w:t>
      </w:r>
      <w:r w:rsidR="00657F4D">
        <w:rPr>
          <w:rFonts w:ascii="Arial" w:hAnsi="Arial" w:cs="Arial"/>
          <w:sz w:val="22"/>
          <w:szCs w:val="22"/>
          <w:lang w:val="es-PE"/>
        </w:rPr>
        <w:t xml:space="preserve">Av. </w:t>
      </w:r>
      <w:proofErr w:type="gramStart"/>
      <w:r w:rsidR="00657F4D" w:rsidRPr="00657F4D">
        <w:rPr>
          <w:rFonts w:ascii="Arial" w:hAnsi="Arial" w:cs="Arial"/>
          <w:sz w:val="22"/>
          <w:szCs w:val="22"/>
          <w:lang w:val="en-US"/>
        </w:rPr>
        <w:t>Presidente</w:t>
      </w:r>
      <w:proofErr w:type="gramEnd"/>
      <w:r w:rsidR="00657F4D" w:rsidRPr="00657F4D">
        <w:rPr>
          <w:rFonts w:ascii="Arial" w:hAnsi="Arial" w:cs="Arial"/>
          <w:sz w:val="22"/>
          <w:szCs w:val="22"/>
          <w:lang w:val="en-US"/>
        </w:rPr>
        <w:t xml:space="preserve"> Kennedy 5454 of.1302</w:t>
      </w:r>
      <w:r w:rsidR="00047A63" w:rsidRPr="00657F4D">
        <w:rPr>
          <w:rFonts w:ascii="Arial" w:hAnsi="Arial" w:cs="Arial"/>
          <w:sz w:val="22"/>
          <w:szCs w:val="22"/>
          <w:lang w:val="en-US"/>
        </w:rPr>
        <w:t xml:space="preserve">, </w:t>
      </w:r>
      <w:r w:rsidR="00657F4D" w:rsidRPr="00657F4D">
        <w:rPr>
          <w:rFonts w:ascii="Arial" w:hAnsi="Arial" w:cs="Arial"/>
          <w:sz w:val="22"/>
          <w:szCs w:val="22"/>
          <w:lang w:val="en-US"/>
        </w:rPr>
        <w:t>Santiago</w:t>
      </w:r>
      <w:r w:rsidR="00047A63" w:rsidRPr="00657F4D">
        <w:rPr>
          <w:rFonts w:ascii="Arial" w:hAnsi="Arial" w:cs="Arial"/>
          <w:sz w:val="22"/>
          <w:szCs w:val="22"/>
          <w:lang w:val="en-US"/>
        </w:rPr>
        <w:t xml:space="preserve">, </w:t>
      </w:r>
      <w:r w:rsidR="00657F4D">
        <w:rPr>
          <w:rFonts w:ascii="Arial" w:hAnsi="Arial" w:cs="Arial"/>
          <w:sz w:val="22"/>
          <w:szCs w:val="22"/>
          <w:lang w:val="en-US"/>
        </w:rPr>
        <w:t>Chile</w:t>
      </w:r>
      <w:r w:rsidR="00047A63" w:rsidRPr="00657F4D">
        <w:rPr>
          <w:rFonts w:ascii="Arial" w:hAnsi="Arial" w:cs="Arial"/>
          <w:sz w:val="22"/>
          <w:szCs w:val="22"/>
          <w:lang w:val="en-US"/>
        </w:rPr>
        <w:t xml:space="preserve"> </w:t>
      </w:r>
      <w:r w:rsidR="003C6D44" w:rsidRPr="00657F4D">
        <w:rPr>
          <w:rFonts w:ascii="Arial" w:hAnsi="Arial" w:cs="Arial"/>
          <w:sz w:val="22"/>
          <w:szCs w:val="22"/>
          <w:lang w:val="en-US"/>
        </w:rPr>
        <w:t>(</w:t>
      </w:r>
      <w:hyperlink r:id="rId7" w:history="1">
        <w:r w:rsidR="00657F4D" w:rsidRPr="00A84F53">
          <w:rPr>
            <w:rStyle w:val="Hipervnculo"/>
            <w:rFonts w:ascii="Arial" w:hAnsi="Arial" w:cs="Arial"/>
            <w:sz w:val="22"/>
            <w:szCs w:val="22"/>
            <w:lang w:val="en-US"/>
          </w:rPr>
          <w:t>mfuentes@redcoglobal.com</w:t>
        </w:r>
      </w:hyperlink>
      <w:r w:rsidR="00657F4D">
        <w:rPr>
          <w:rFonts w:ascii="Arial" w:hAnsi="Arial" w:cs="Arial"/>
          <w:sz w:val="22"/>
          <w:szCs w:val="22"/>
          <w:lang w:val="en-US"/>
        </w:rPr>
        <w:t>; +56979678575</w:t>
      </w:r>
      <w:r w:rsidR="003C6D44" w:rsidRPr="00657F4D">
        <w:rPr>
          <w:rFonts w:ascii="Arial" w:hAnsi="Arial" w:cs="Arial"/>
          <w:sz w:val="22"/>
          <w:szCs w:val="22"/>
          <w:lang w:val="en-US"/>
        </w:rPr>
        <w:t>)</w:t>
      </w:r>
    </w:p>
    <w:p w14:paraId="048E4213" w14:textId="253E02A6" w:rsidR="00657F4D" w:rsidRPr="00657F4D" w:rsidRDefault="001F7167" w:rsidP="00657F4D">
      <w:pPr>
        <w:ind w:left="142" w:hanging="142"/>
        <w:jc w:val="both"/>
        <w:rPr>
          <w:rFonts w:ascii="Arial" w:hAnsi="Arial" w:cs="Arial"/>
          <w:sz w:val="22"/>
          <w:szCs w:val="22"/>
          <w:lang w:val="en-US"/>
        </w:rPr>
      </w:pPr>
      <w:r w:rsidRPr="00657F4D">
        <w:rPr>
          <w:rFonts w:ascii="Arial" w:hAnsi="Arial" w:cs="Arial"/>
          <w:sz w:val="22"/>
          <w:szCs w:val="22"/>
          <w:vertAlign w:val="superscript"/>
          <w:lang w:val="en-US"/>
        </w:rPr>
        <w:t>2</w:t>
      </w:r>
      <w:r w:rsidR="007373B8" w:rsidRPr="00657F4D">
        <w:rPr>
          <w:rFonts w:ascii="Arial" w:hAnsi="Arial" w:cs="Arial"/>
          <w:sz w:val="22"/>
          <w:szCs w:val="22"/>
          <w:lang w:val="en-US"/>
        </w:rPr>
        <w:t xml:space="preserve"> </w:t>
      </w:r>
      <w:proofErr w:type="spellStart"/>
      <w:r w:rsidR="002D1C36" w:rsidRPr="00657F4D">
        <w:rPr>
          <w:rFonts w:ascii="Arial" w:hAnsi="Arial" w:cs="Arial"/>
          <w:sz w:val="22"/>
          <w:szCs w:val="22"/>
          <w:lang w:val="en-US"/>
        </w:rPr>
        <w:t>Coautor</w:t>
      </w:r>
      <w:proofErr w:type="spellEnd"/>
      <w:r w:rsidR="002D1C36" w:rsidRPr="00657F4D">
        <w:rPr>
          <w:rFonts w:ascii="Arial" w:hAnsi="Arial" w:cs="Arial"/>
          <w:sz w:val="22"/>
          <w:szCs w:val="22"/>
          <w:lang w:val="en-US"/>
        </w:rPr>
        <w:t xml:space="preserve"> 1: </w:t>
      </w:r>
      <w:r w:rsidR="00657F4D" w:rsidRPr="00657F4D">
        <w:rPr>
          <w:rFonts w:ascii="Arial" w:hAnsi="Arial" w:cs="Arial"/>
          <w:sz w:val="22"/>
          <w:szCs w:val="22"/>
          <w:lang w:val="en-US"/>
        </w:rPr>
        <w:t xml:space="preserve">REDCO Mining Consultants, Av. Presidente Kennedy 5454 of.1302, Santiago, </w:t>
      </w:r>
      <w:r w:rsidR="00657F4D">
        <w:rPr>
          <w:rFonts w:ascii="Arial" w:hAnsi="Arial" w:cs="Arial"/>
          <w:sz w:val="22"/>
          <w:szCs w:val="22"/>
          <w:lang w:val="en-US"/>
        </w:rPr>
        <w:t>Chile</w:t>
      </w:r>
      <w:r w:rsidR="00657F4D" w:rsidRPr="00657F4D">
        <w:rPr>
          <w:rFonts w:ascii="Arial" w:hAnsi="Arial" w:cs="Arial"/>
          <w:sz w:val="22"/>
          <w:szCs w:val="22"/>
          <w:lang w:val="en-US"/>
        </w:rPr>
        <w:t xml:space="preserve"> (</w:t>
      </w:r>
      <w:hyperlink r:id="rId8" w:history="1">
        <w:r w:rsidR="00657F4D" w:rsidRPr="00A84F53">
          <w:rPr>
            <w:rStyle w:val="Hipervnculo"/>
            <w:rFonts w:ascii="Arial" w:hAnsi="Arial" w:cs="Arial"/>
            <w:sz w:val="22"/>
            <w:szCs w:val="22"/>
            <w:lang w:val="en-US"/>
          </w:rPr>
          <w:t>erubio</w:t>
        </w:r>
        <w:r w:rsidR="00657F4D" w:rsidRPr="00A84F53">
          <w:rPr>
            <w:rStyle w:val="Hipervnculo"/>
            <w:rFonts w:ascii="Arial" w:hAnsi="Arial" w:cs="Arial"/>
            <w:sz w:val="22"/>
            <w:szCs w:val="22"/>
            <w:lang w:val="en-US"/>
          </w:rPr>
          <w:t>@redcoglobal.com</w:t>
        </w:r>
      </w:hyperlink>
      <w:r w:rsidR="00657F4D">
        <w:rPr>
          <w:rFonts w:ascii="Arial" w:hAnsi="Arial" w:cs="Arial"/>
          <w:sz w:val="22"/>
          <w:szCs w:val="22"/>
          <w:lang w:val="en-US"/>
        </w:rPr>
        <w:t>; +569</w:t>
      </w:r>
      <w:r w:rsidR="00657F4D">
        <w:rPr>
          <w:rFonts w:ascii="Arial" w:hAnsi="Arial" w:cs="Arial"/>
          <w:sz w:val="22"/>
          <w:szCs w:val="22"/>
          <w:lang w:val="en-US"/>
        </w:rPr>
        <w:t>77496198</w:t>
      </w:r>
      <w:r w:rsidR="00657F4D" w:rsidRPr="00657F4D">
        <w:rPr>
          <w:rFonts w:ascii="Arial" w:hAnsi="Arial" w:cs="Arial"/>
          <w:sz w:val="22"/>
          <w:szCs w:val="22"/>
          <w:lang w:val="en-US"/>
        </w:rPr>
        <w:t>)</w:t>
      </w:r>
    </w:p>
    <w:p w14:paraId="791CF854" w14:textId="60897D29" w:rsidR="007373B8" w:rsidRPr="00657F4D" w:rsidRDefault="007373B8" w:rsidP="006975E0">
      <w:pPr>
        <w:ind w:left="142" w:hanging="142"/>
        <w:jc w:val="both"/>
        <w:rPr>
          <w:rFonts w:ascii="Arial" w:hAnsi="Arial" w:cs="Arial"/>
          <w:sz w:val="22"/>
          <w:szCs w:val="22"/>
          <w:lang w:val="en-US"/>
        </w:rPr>
      </w:pPr>
    </w:p>
    <w:p w14:paraId="14DC949A" w14:textId="77777777" w:rsidR="000A599E" w:rsidRDefault="00C90525" w:rsidP="003118C0">
      <w:pPr>
        <w:rPr>
          <w:rFonts w:ascii="Arial" w:hAnsi="Arial" w:cs="Arial"/>
          <w:sz w:val="22"/>
          <w:szCs w:val="22"/>
        </w:rPr>
      </w:pPr>
      <w:r w:rsidRPr="000270E6">
        <w:rPr>
          <w:rFonts w:ascii="Arial" w:hAnsi="Arial" w:cs="Arial"/>
          <w:sz w:val="22"/>
          <w:szCs w:val="22"/>
        </w:rPr>
        <w:t>___________________________________________________________________________________</w:t>
      </w:r>
    </w:p>
    <w:p w14:paraId="6D3FDE39" w14:textId="77777777" w:rsidR="003118C0" w:rsidRDefault="003118C0" w:rsidP="003118C0">
      <w:pPr>
        <w:rPr>
          <w:rFonts w:ascii="Arial" w:hAnsi="Arial" w:cs="Arial"/>
          <w:sz w:val="22"/>
          <w:szCs w:val="22"/>
        </w:rPr>
      </w:pPr>
    </w:p>
    <w:p w14:paraId="350E87C9" w14:textId="4B090808" w:rsidR="003118C0" w:rsidRPr="003118C0" w:rsidRDefault="003118C0" w:rsidP="003118C0">
      <w:pPr>
        <w:rPr>
          <w:rFonts w:ascii="Arial" w:hAnsi="Arial" w:cs="Arial"/>
          <w:sz w:val="22"/>
          <w:szCs w:val="22"/>
        </w:rPr>
        <w:sectPr w:rsidR="003118C0" w:rsidRPr="003118C0">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11BD6C66" w14:textId="77777777" w:rsidR="00AD047E" w:rsidRDefault="00AD047E" w:rsidP="00650F70">
      <w:pPr>
        <w:jc w:val="both"/>
        <w:rPr>
          <w:rFonts w:ascii="Arial" w:hAnsi="Arial" w:cs="Arial"/>
          <w:bCs/>
          <w:sz w:val="22"/>
          <w:szCs w:val="22"/>
          <w:lang w:val="es-PE"/>
        </w:rPr>
      </w:pPr>
    </w:p>
    <w:p w14:paraId="756223F4" w14:textId="5CADC723" w:rsidR="00D574EF" w:rsidRPr="000270E6" w:rsidRDefault="00657F4D" w:rsidP="00650F70">
      <w:pPr>
        <w:jc w:val="both"/>
        <w:rPr>
          <w:rFonts w:ascii="Arial" w:hAnsi="Arial" w:cs="Arial"/>
          <w:bCs/>
          <w:sz w:val="22"/>
          <w:szCs w:val="22"/>
          <w:lang w:val="es-PE"/>
        </w:rPr>
      </w:pPr>
      <w:r w:rsidRPr="00657F4D">
        <w:rPr>
          <w:rFonts w:ascii="Arial" w:hAnsi="Arial" w:cs="Arial"/>
          <w:bCs/>
          <w:sz w:val="22"/>
          <w:szCs w:val="22"/>
          <w:lang w:val="es-PE"/>
        </w:rPr>
        <w:t>La transición desde minería a rajo abierto hacia minería subterránea representa un desafío estratégico clave en la planificación minera moderna. Este trabajo presenta una metodología multicriterio y multivariable para planificar dicha transición, integrando consideraciones técnicas, económicas, ambientales y sociales. La propuesta se enfoca en reducir la exposición al riesgo (</w:t>
      </w:r>
      <w:proofErr w:type="spellStart"/>
      <w:r w:rsidRPr="00657F4D">
        <w:rPr>
          <w:rFonts w:ascii="Arial" w:hAnsi="Arial" w:cs="Arial"/>
          <w:bCs/>
          <w:sz w:val="22"/>
          <w:szCs w:val="22"/>
          <w:lang w:val="es-PE"/>
        </w:rPr>
        <w:t>de-risking</w:t>
      </w:r>
      <w:proofErr w:type="spellEnd"/>
      <w:r w:rsidRPr="00657F4D">
        <w:rPr>
          <w:rFonts w:ascii="Arial" w:hAnsi="Arial" w:cs="Arial"/>
          <w:bCs/>
          <w:sz w:val="22"/>
          <w:szCs w:val="22"/>
          <w:lang w:val="es-PE"/>
        </w:rPr>
        <w:t xml:space="preserve">) mediante la identificación de rutas alternativas de desarrollo minero, el uso de simulación estocástica para modelar la incertidumbre y una estrategia modular de implementación subterránea. Se resumen las limitaciones de los métodos tradicionales de planificación (que usualmente separan el diseño del rajo final y la mina subterránea), y se propone en cambio un enfoque integrado que aprovecha sinergias entre ambas fases. La metodología incorpora la definición de variables críticas (geotécnicas, económicas, sociales, etc.), la construcción de múltiples rutas de transición operativas y tecnológicas, y la evaluación de cada ruta bajo criterios de atractivo económico y ejecutabilidad (factibilidad práctica). Mediante herramientas de simulación (SIMPLAN para el desempeño operacional y SIMVAL para la evaluación económica) se obtienen distribuciones probabilísticas de resultados, permitiendo cuantificar el Value at Risk del proyecto. Un análisis multicriterio posterior pondera la rentabilidad esperada frente a la factibilidad de ejecución de cada alternativa, generando una matriz de decisión que prioriza rutas óptimas. Como resultado, </w:t>
      </w:r>
      <w:r w:rsidRPr="00657F4D">
        <w:rPr>
          <w:rFonts w:ascii="Arial" w:hAnsi="Arial" w:cs="Arial" w:hint="eastAsia"/>
          <w:bCs/>
          <w:sz w:val="22"/>
          <w:szCs w:val="22"/>
          <w:lang w:val="es-PE"/>
        </w:rPr>
        <w:t>se logra identificar estrategias de transición OP</w:t>
      </w:r>
      <w:r w:rsidRPr="00657F4D">
        <w:rPr>
          <w:rFonts w:ascii="Arial" w:hAnsi="Arial" w:cs="Arial" w:hint="eastAsia"/>
          <w:bCs/>
          <w:sz w:val="22"/>
          <w:szCs w:val="22"/>
          <w:lang w:val="es-PE"/>
        </w:rPr>
        <w:t>→</w:t>
      </w:r>
      <w:r w:rsidRPr="00657F4D">
        <w:rPr>
          <w:rFonts w:ascii="Arial" w:hAnsi="Arial" w:cs="Arial" w:hint="eastAsia"/>
          <w:bCs/>
          <w:sz w:val="22"/>
          <w:szCs w:val="22"/>
          <w:lang w:val="es-PE"/>
        </w:rPr>
        <w:t>UG que maximizan el valor del negocio aprovechando al máximo las reservas remanentes, a la vez que minimizan riesgos financieros y operativos. Finalmente, se entregan conclusiones estratégicas y sugerencias</w:t>
      </w:r>
      <w:r w:rsidRPr="00657F4D">
        <w:rPr>
          <w:rFonts w:ascii="Arial" w:hAnsi="Arial" w:cs="Arial"/>
          <w:bCs/>
          <w:sz w:val="22"/>
          <w:szCs w:val="22"/>
          <w:lang w:val="es-PE"/>
        </w:rPr>
        <w:t xml:space="preserve"> para la industria, destacando la importancia de planificar con anticipación la transición y de adoptar enfoques flexibles y </w:t>
      </w:r>
      <w:r w:rsidRPr="00657F4D">
        <w:rPr>
          <w:rFonts w:ascii="Arial" w:hAnsi="Arial" w:cs="Arial"/>
          <w:bCs/>
          <w:sz w:val="22"/>
          <w:szCs w:val="22"/>
          <w:lang w:val="es-PE"/>
        </w:rPr>
        <w:t>sustentados en datos. Los próximos pasos propuestos incluyen la profundización de la metodología (por ejemplo, integrando análisis en tiempo real y decisiones adaptativas) y recomendaciones para su aplicación en diversas operaciones mineras. En suma, este trabajo provee un marco técnico-profesional para guiar a compañías mineras en cuándo y cómo realizar una transición exitosa de rajo abierto a minería subterránea, equilibrando el aprovechamiento de los recursos con la seguridad financiera, operativa y social</w:t>
      </w:r>
      <w:r w:rsidR="00BC4D43" w:rsidRPr="000270E6">
        <w:rPr>
          <w:rFonts w:ascii="Arial" w:hAnsi="Arial" w:cs="Arial"/>
          <w:b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52BDBDF2" w14:textId="2CDE1C23" w:rsidR="000270E6" w:rsidRPr="000270E6" w:rsidRDefault="00657F4D" w:rsidP="00657F4D">
      <w:pPr>
        <w:jc w:val="both"/>
        <w:rPr>
          <w:rFonts w:ascii="Arial" w:hAnsi="Arial" w:cs="Arial"/>
          <w:sz w:val="22"/>
          <w:szCs w:val="22"/>
          <w:lang w:val="es-PE"/>
        </w:rPr>
      </w:pPr>
      <w:r w:rsidRPr="00657F4D">
        <w:rPr>
          <w:rFonts w:ascii="Arial" w:hAnsi="Arial" w:cs="Arial"/>
          <w:sz w:val="22"/>
          <w:szCs w:val="22"/>
          <w:lang w:val="es-PE"/>
        </w:rPr>
        <w:t xml:space="preserve">La transición de la explotación a rajo abierto hacia métodos subterráneos suele convertirse en un punto de inflexión crítico en la vida de una operación minera, especialmente cuando el yacimiento alcanza grandes profundidades y los costos de extracción a cielo abierto aumentan considerablemente. Determinar el momento óptimo para efectuar esta transición, así como la manera más efectiva de implementarla, exige una visión integral que abarque factores técnicos, económicos, ambientales y sociales. Algunas de las minas a cielo abierto más grandes del mundo están próximas a agotar sus fases finales en la próxima década, lo que fuerza la evaluación de explotaciones subterráneas para explotar el mineral remanente. Por ejemplo, en el caso de la mina </w:t>
      </w:r>
      <w:proofErr w:type="spellStart"/>
      <w:r w:rsidRPr="00657F4D">
        <w:rPr>
          <w:rFonts w:ascii="Arial" w:hAnsi="Arial" w:cs="Arial"/>
          <w:sz w:val="22"/>
          <w:szCs w:val="22"/>
          <w:lang w:val="es-PE"/>
        </w:rPr>
        <w:t>Grasberg</w:t>
      </w:r>
      <w:proofErr w:type="spellEnd"/>
      <w:r w:rsidRPr="00657F4D">
        <w:rPr>
          <w:rFonts w:ascii="Arial" w:hAnsi="Arial" w:cs="Arial"/>
          <w:sz w:val="22"/>
          <w:szCs w:val="22"/>
          <w:lang w:val="es-PE"/>
        </w:rPr>
        <w:t xml:space="preserve"> en Indonesia, la planificación de la conversión de rajo a subterránea comenzó antes de 1995 pero solo se completó en 2008, dando paso a la construcción de la mina subterránea en 2011 y alcanzando la primera producción en 2018, con una inversión de capital del orden de 6 mil millones de dólares. Este ejemplo ilustra la complejidad y la enorme importancia económica de “acertar” en la decisión de transición: con sumas de dinero tan significativas en juego, es fundamental definir correctamente parámetros de diseño clave, tales como la profundidad hasta la cual extender el rajo y </w:t>
      </w:r>
      <w:r w:rsidRPr="00657F4D">
        <w:rPr>
          <w:rFonts w:ascii="Arial" w:hAnsi="Arial" w:cs="Arial"/>
          <w:sz w:val="22"/>
          <w:szCs w:val="22"/>
          <w:lang w:val="es-PE"/>
        </w:rPr>
        <w:lastRenderedPageBreak/>
        <w:t xml:space="preserve">el punto de partida del minado subterráneo, para maximizar el valor del proyecto. Tradicionalmente, el problema de transición OP/UG (Open Pit a Underground) se ha abordado de forma secuencial y desintegrada. Las metodologías clásicas suelen diseñar primero el </w:t>
      </w:r>
      <w:proofErr w:type="spellStart"/>
      <w:r w:rsidRPr="00657F4D">
        <w:rPr>
          <w:rFonts w:ascii="Arial" w:hAnsi="Arial" w:cs="Arial"/>
          <w:sz w:val="22"/>
          <w:szCs w:val="22"/>
          <w:lang w:val="es-PE"/>
        </w:rPr>
        <w:t>pit</w:t>
      </w:r>
      <w:proofErr w:type="spellEnd"/>
      <w:r w:rsidRPr="00657F4D">
        <w:rPr>
          <w:rFonts w:ascii="Arial" w:hAnsi="Arial" w:cs="Arial"/>
          <w:sz w:val="22"/>
          <w:szCs w:val="22"/>
          <w:lang w:val="es-PE"/>
        </w:rPr>
        <w:t xml:space="preserve"> final óptimo mediante software de optimización de rajo (p. ej., algoritmos de </w:t>
      </w:r>
      <w:proofErr w:type="spellStart"/>
      <w:r w:rsidRPr="00657F4D">
        <w:rPr>
          <w:rFonts w:ascii="Arial" w:hAnsi="Arial" w:cs="Arial"/>
          <w:sz w:val="22"/>
          <w:szCs w:val="22"/>
          <w:lang w:val="es-PE"/>
        </w:rPr>
        <w:t>Lerchs</w:t>
      </w:r>
      <w:proofErr w:type="spellEnd"/>
      <w:r w:rsidRPr="00657F4D">
        <w:rPr>
          <w:rFonts w:ascii="Arial" w:hAnsi="Arial" w:cs="Arial"/>
          <w:sz w:val="22"/>
          <w:szCs w:val="22"/>
          <w:lang w:val="es-PE"/>
        </w:rPr>
        <w:t xml:space="preserve"> &amp; </w:t>
      </w:r>
      <w:proofErr w:type="spellStart"/>
      <w:r w:rsidRPr="00657F4D">
        <w:rPr>
          <w:rFonts w:ascii="Arial" w:hAnsi="Arial" w:cs="Arial"/>
          <w:sz w:val="22"/>
          <w:szCs w:val="22"/>
          <w:lang w:val="es-PE"/>
        </w:rPr>
        <w:t>Grossmann</w:t>
      </w:r>
      <w:proofErr w:type="spellEnd"/>
      <w:r w:rsidRPr="00657F4D">
        <w:rPr>
          <w:rFonts w:ascii="Arial" w:hAnsi="Arial" w:cs="Arial"/>
          <w:sz w:val="22"/>
          <w:szCs w:val="22"/>
          <w:lang w:val="es-PE"/>
        </w:rPr>
        <w:t xml:space="preserve"> implementados en herramientas comerciales tipo Whittle), y luego, por separado, proyectar una explotación subterránea sobre el mineral remanente bajo ese </w:t>
      </w:r>
      <w:proofErr w:type="spellStart"/>
      <w:r w:rsidRPr="00657F4D">
        <w:rPr>
          <w:rFonts w:ascii="Arial" w:hAnsi="Arial" w:cs="Arial"/>
          <w:sz w:val="22"/>
          <w:szCs w:val="22"/>
          <w:lang w:val="es-PE"/>
        </w:rPr>
        <w:t>pit</w:t>
      </w:r>
      <w:proofErr w:type="spellEnd"/>
      <w:r w:rsidRPr="00657F4D">
        <w:rPr>
          <w:rFonts w:ascii="Arial" w:hAnsi="Arial" w:cs="Arial"/>
          <w:sz w:val="22"/>
          <w:szCs w:val="22"/>
          <w:lang w:val="es-PE"/>
        </w:rPr>
        <w:t>. En este esquema, la planificación subterránea se realiza a posteriori, sin capturar las posibles sinergias entre la operación superficial y la subterránea. Por ejemplo, la ubicación y dimensiones de</w:t>
      </w:r>
      <w:r w:rsidR="002C1314">
        <w:rPr>
          <w:rFonts w:ascii="Arial" w:hAnsi="Arial" w:cs="Arial"/>
          <w:sz w:val="22"/>
          <w:szCs w:val="22"/>
          <w:lang w:val="es-PE"/>
        </w:rPr>
        <w:t xml:space="preserve">l </w:t>
      </w:r>
      <w:r w:rsidRPr="00657F4D">
        <w:rPr>
          <w:rFonts w:ascii="Arial" w:hAnsi="Arial" w:cs="Arial"/>
          <w:sz w:val="22"/>
          <w:szCs w:val="22"/>
          <w:lang w:val="es-PE"/>
        </w:rPr>
        <w:t>pilar de corona (</w:t>
      </w:r>
      <w:proofErr w:type="spellStart"/>
      <w:r w:rsidRPr="00657F4D">
        <w:rPr>
          <w:rFonts w:ascii="Arial" w:hAnsi="Arial" w:cs="Arial"/>
          <w:sz w:val="22"/>
          <w:szCs w:val="22"/>
          <w:lang w:val="es-PE"/>
        </w:rPr>
        <w:t>crown</w:t>
      </w:r>
      <w:proofErr w:type="spellEnd"/>
      <w:r w:rsidRPr="00657F4D">
        <w:rPr>
          <w:rFonts w:ascii="Arial" w:hAnsi="Arial" w:cs="Arial"/>
          <w:sz w:val="22"/>
          <w:szCs w:val="22"/>
          <w:lang w:val="es-PE"/>
        </w:rPr>
        <w:t xml:space="preserve"> pillar) que separará la mina subterránea del fondo del rajo pueden afectar tanto la estabilidad geotécnica como la recuperación económica total, pero rara vez son consideradas en conjunto en las técnicas tradicionales. Si bien se han desarrollado enfoques para incluir parcialmente el valor potencial del mineral subterráneo durante la optimización de </w:t>
      </w:r>
      <w:proofErr w:type="spellStart"/>
      <w:r w:rsidRPr="00657F4D">
        <w:rPr>
          <w:rFonts w:ascii="Arial" w:hAnsi="Arial" w:cs="Arial"/>
          <w:sz w:val="22"/>
          <w:szCs w:val="22"/>
          <w:lang w:val="es-PE"/>
        </w:rPr>
        <w:t>pit</w:t>
      </w:r>
      <w:proofErr w:type="spellEnd"/>
      <w:r w:rsidRPr="00657F4D">
        <w:rPr>
          <w:rFonts w:ascii="Arial" w:hAnsi="Arial" w:cs="Arial"/>
          <w:sz w:val="22"/>
          <w:szCs w:val="22"/>
          <w:lang w:val="es-PE"/>
        </w:rPr>
        <w:t xml:space="preserve"> –desde la incorporación de costos de oportunidad en los algoritmos de cálculo de </w:t>
      </w:r>
      <w:proofErr w:type="spellStart"/>
      <w:r w:rsidRPr="00657F4D">
        <w:rPr>
          <w:rFonts w:ascii="Arial" w:hAnsi="Arial" w:cs="Arial"/>
          <w:sz w:val="22"/>
          <w:szCs w:val="22"/>
          <w:lang w:val="es-PE"/>
        </w:rPr>
        <w:t>pit</w:t>
      </w:r>
      <w:proofErr w:type="spellEnd"/>
      <w:r w:rsidRPr="00657F4D">
        <w:rPr>
          <w:rFonts w:ascii="Arial" w:hAnsi="Arial" w:cs="Arial"/>
          <w:sz w:val="22"/>
          <w:szCs w:val="22"/>
          <w:lang w:val="es-PE"/>
        </w:rPr>
        <w:t xml:space="preserve"> </w:t>
      </w:r>
      <w:proofErr w:type="spellStart"/>
      <w:r w:rsidRPr="00657F4D">
        <w:rPr>
          <w:rFonts w:ascii="Arial" w:hAnsi="Arial" w:cs="Arial"/>
          <w:sz w:val="22"/>
          <w:szCs w:val="22"/>
          <w:lang w:val="es-PE"/>
        </w:rPr>
        <w:t>shells</w:t>
      </w:r>
      <w:proofErr w:type="spellEnd"/>
      <w:r w:rsidRPr="00657F4D">
        <w:rPr>
          <w:rFonts w:ascii="Arial" w:hAnsi="Arial" w:cs="Arial"/>
          <w:sz w:val="22"/>
          <w:szCs w:val="22"/>
          <w:lang w:val="es-PE"/>
        </w:rPr>
        <w:t xml:space="preserve"> (como propuso Whittle en 1990) hasta modelos de programación entera mixta para optimizar simultáneamente el </w:t>
      </w:r>
      <w:proofErr w:type="spellStart"/>
      <w:r w:rsidRPr="00657F4D">
        <w:rPr>
          <w:rFonts w:ascii="Arial" w:hAnsi="Arial" w:cs="Arial"/>
          <w:sz w:val="22"/>
          <w:szCs w:val="22"/>
          <w:lang w:val="es-PE"/>
        </w:rPr>
        <w:t>pit</w:t>
      </w:r>
      <w:proofErr w:type="spellEnd"/>
      <w:r w:rsidRPr="00657F4D">
        <w:rPr>
          <w:rFonts w:ascii="Arial" w:hAnsi="Arial" w:cs="Arial"/>
          <w:sz w:val="22"/>
          <w:szCs w:val="22"/>
          <w:lang w:val="es-PE"/>
        </w:rPr>
        <w:t xml:space="preserve"> y la secuencia subterránea– en la práctica industrial aún prevalece la toma de decisiones aislada para cada etapa (superficial vs. subterránea). Esto conlleva limitaciones significativas: el plan resultante puede no ser globalmente óptimo para el activo minero en su conjunto y, peor aún, puede pasar por alto riesgos importantes o perder oportunidades de crear valor que surgirían de una planificación integrada. Ante este contexto, existe una necesidad patente de metodologías estratégicas integrales que aborden conjuntamente la planificación de la mina a rajo abierto y subterránea. La investigación reciente ha avanzado en este sentido. Por ejemplo, Newman y Rubio (2010) propusieron un marco de optimización para “minería sobre y bajo tierra” que mediante programación en redes evalúa múltiples escenarios de transición (variando ritmos de extracción, ley de corte, etc.) para determinar el timing más rentable de cambio, considerando también la fuerte inversión inicial de la infraestructura subterránea. Asimismo, autores como </w:t>
      </w:r>
      <w:proofErr w:type="spellStart"/>
      <w:r w:rsidRPr="00657F4D">
        <w:rPr>
          <w:rFonts w:ascii="Arial" w:hAnsi="Arial" w:cs="Arial"/>
          <w:sz w:val="22"/>
          <w:szCs w:val="22"/>
          <w:lang w:val="es-PE"/>
        </w:rPr>
        <w:t>Dimitrakopoulos</w:t>
      </w:r>
      <w:proofErr w:type="spellEnd"/>
      <w:r w:rsidRPr="00657F4D">
        <w:rPr>
          <w:rFonts w:ascii="Arial" w:hAnsi="Arial" w:cs="Arial"/>
          <w:sz w:val="22"/>
          <w:szCs w:val="22"/>
          <w:lang w:val="es-PE"/>
        </w:rPr>
        <w:t xml:space="preserve"> y colaboradores han demostrado que incorporar la incertidumbre geológica en la planificación (mediante simulación estocástica) puede aumentar el valor esperado del proyecto en comparación con los planes deterministas tradicionales, a la vez de brindar una evaluación más realista del riesgo</w:t>
      </w:r>
      <w:r w:rsidRPr="00657F4D">
        <w:rPr>
          <w:rFonts w:ascii="Arial" w:hAnsi="Arial" w:cs="Arial" w:hint="eastAsia"/>
          <w:sz w:val="22"/>
          <w:szCs w:val="22"/>
          <w:lang w:val="es-PE"/>
        </w:rPr>
        <w:t>. Estos avances sugieren que una planificación integrada, adaptativa y basada en riesgo es el camino para optimizar la transición OP</w:t>
      </w:r>
      <w:r w:rsidRPr="00657F4D">
        <w:rPr>
          <w:rFonts w:ascii="Arial" w:hAnsi="Arial" w:cs="Arial" w:hint="eastAsia"/>
          <w:sz w:val="22"/>
          <w:szCs w:val="22"/>
          <w:lang w:val="es-PE"/>
        </w:rPr>
        <w:t>→</w:t>
      </w:r>
      <w:r w:rsidRPr="00657F4D">
        <w:rPr>
          <w:rFonts w:ascii="Arial" w:hAnsi="Arial" w:cs="Arial" w:hint="eastAsia"/>
          <w:sz w:val="22"/>
          <w:szCs w:val="22"/>
          <w:lang w:val="es-PE"/>
        </w:rPr>
        <w:t xml:space="preserve">UG. Sin </w:t>
      </w:r>
      <w:r w:rsidRPr="00657F4D">
        <w:rPr>
          <w:rFonts w:ascii="Arial" w:hAnsi="Arial" w:cs="Arial" w:hint="eastAsia"/>
          <w:sz w:val="22"/>
          <w:szCs w:val="22"/>
          <w:lang w:val="es-PE"/>
        </w:rPr>
        <w:t>embargo, la aplicación práctica de tales enfoques enfrenta desafíos para los planificadores: requiere manejar múlti</w:t>
      </w:r>
      <w:r w:rsidRPr="00657F4D">
        <w:rPr>
          <w:rFonts w:ascii="Arial" w:hAnsi="Arial" w:cs="Arial"/>
          <w:sz w:val="22"/>
          <w:szCs w:val="22"/>
          <w:lang w:val="es-PE"/>
        </w:rPr>
        <w:t xml:space="preserve">ples criterios y grandes volúmenes de datos, y modelar adecuadamente la compleja interacción de factores técnicos (p. ej. geomecánica), económicos (precios volátiles, </w:t>
      </w:r>
      <w:proofErr w:type="spellStart"/>
      <w:r w:rsidRPr="00657F4D">
        <w:rPr>
          <w:rFonts w:ascii="Arial" w:hAnsi="Arial" w:cs="Arial"/>
          <w:sz w:val="22"/>
          <w:szCs w:val="22"/>
          <w:lang w:val="es-PE"/>
        </w:rPr>
        <w:t>capex</w:t>
      </w:r>
      <w:proofErr w:type="spellEnd"/>
      <w:r w:rsidRPr="00657F4D">
        <w:rPr>
          <w:rFonts w:ascii="Arial" w:hAnsi="Arial" w:cs="Arial"/>
          <w:sz w:val="22"/>
          <w:szCs w:val="22"/>
          <w:lang w:val="es-PE"/>
        </w:rPr>
        <w:t>/</w:t>
      </w:r>
      <w:proofErr w:type="spellStart"/>
      <w:r w:rsidRPr="00657F4D">
        <w:rPr>
          <w:rFonts w:ascii="Arial" w:hAnsi="Arial" w:cs="Arial"/>
          <w:sz w:val="22"/>
          <w:szCs w:val="22"/>
          <w:lang w:val="es-PE"/>
        </w:rPr>
        <w:t>opex</w:t>
      </w:r>
      <w:proofErr w:type="spellEnd"/>
      <w:r w:rsidRPr="00657F4D">
        <w:rPr>
          <w:rFonts w:ascii="Arial" w:hAnsi="Arial" w:cs="Arial"/>
          <w:sz w:val="22"/>
          <w:szCs w:val="22"/>
          <w:lang w:val="es-PE"/>
        </w:rPr>
        <w:t xml:space="preserve">), operacionales (secuencias, tasas) y sociales (permisos, comunidades). En este trabajo se presenta una propuesta metodológica que busca abordar estos desafíos de forma estructurada. La metodología combina técnicas cuantitativas avanzadas –como simulación Monte Carlo de la cadena de valor minera y análisis de decisiones multicriterio– con un enfoque modular de desarrollo de la mina subterránea. A </w:t>
      </w:r>
      <w:r w:rsidR="002C1314" w:rsidRPr="00657F4D">
        <w:rPr>
          <w:rFonts w:ascii="Arial" w:hAnsi="Arial" w:cs="Arial"/>
          <w:sz w:val="22"/>
          <w:szCs w:val="22"/>
          <w:lang w:val="es-PE"/>
        </w:rPr>
        <w:t>continuación,</w:t>
      </w:r>
      <w:r w:rsidRPr="00657F4D">
        <w:rPr>
          <w:rFonts w:ascii="Arial" w:hAnsi="Arial" w:cs="Arial"/>
          <w:sz w:val="22"/>
          <w:szCs w:val="22"/>
          <w:lang w:val="es-PE"/>
        </w:rPr>
        <w:t xml:space="preserve"> se describen los objetivos específicos de la metodología y se detalla su desarrollo paso a paso, incluyendo la identificación de variables críticas, la generación de rutas alternativas de transición, el uso de los modelos de simulación SIMPLAN y SIMVAL, y la evaluación de cada ruta bajo criterios de atractivo y ejecutabilidad. Posteriormente, se discuten resultados referenciales obtenidos al aplicar esta metodología en estudios de casos (de manera anonimizada), así como las conclusiones estratégicas derivadas y las recomendaciones para su implementación en la industria minera.</w:t>
      </w:r>
    </w:p>
    <w:p w14:paraId="542CD30A" w14:textId="0C1E87F8" w:rsidR="004B4C0C" w:rsidRPr="000270E6" w:rsidRDefault="004B4C0C" w:rsidP="004B4C0C">
      <w:pPr>
        <w:jc w:val="both"/>
        <w:rPr>
          <w:rFonts w:ascii="Arial" w:hAnsi="Arial" w:cs="Arial"/>
          <w:sz w:val="22"/>
          <w:szCs w:val="22"/>
          <w:lang w:val="es-PE"/>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71E3DBC6" w14:textId="77777777" w:rsidR="00657F4D" w:rsidRPr="00657F4D" w:rsidRDefault="00657F4D" w:rsidP="00657F4D">
      <w:pPr>
        <w:ind w:firstLine="142"/>
        <w:jc w:val="both"/>
        <w:rPr>
          <w:rFonts w:ascii="Arial" w:hAnsi="Arial" w:cs="Arial"/>
          <w:bCs/>
          <w:sz w:val="22"/>
          <w:szCs w:val="22"/>
          <w:lang w:val="es-CL"/>
        </w:rPr>
      </w:pPr>
      <w:r w:rsidRPr="00657F4D">
        <w:rPr>
          <w:rFonts w:ascii="Arial" w:hAnsi="Arial" w:cs="Arial"/>
          <w:bCs/>
          <w:sz w:val="22"/>
          <w:szCs w:val="22"/>
          <w:lang w:val="es-CL"/>
        </w:rPr>
        <w:t>Los objetivos principales de la metodología propuesta para la planificación estratégica de la transición de rajo abierto a subterráneo son:</w:t>
      </w:r>
    </w:p>
    <w:p w14:paraId="4D731C69" w14:textId="77777777" w:rsidR="00657F4D" w:rsidRPr="00657F4D" w:rsidRDefault="00657F4D" w:rsidP="00657F4D">
      <w:pPr>
        <w:numPr>
          <w:ilvl w:val="0"/>
          <w:numId w:val="2"/>
        </w:numPr>
        <w:jc w:val="both"/>
        <w:rPr>
          <w:rFonts w:ascii="Arial" w:hAnsi="Arial" w:cs="Arial"/>
          <w:bCs/>
          <w:sz w:val="22"/>
          <w:szCs w:val="22"/>
          <w:lang w:val="es-CL"/>
        </w:rPr>
      </w:pPr>
      <w:r w:rsidRPr="00657F4D">
        <w:rPr>
          <w:rFonts w:ascii="Arial" w:hAnsi="Arial" w:cs="Arial"/>
          <w:b/>
          <w:bCs/>
          <w:sz w:val="22"/>
          <w:szCs w:val="22"/>
          <w:lang w:val="es-CL"/>
        </w:rPr>
        <w:t>Integración de Planificación OP/UG:</w:t>
      </w:r>
      <w:r w:rsidRPr="00657F4D">
        <w:rPr>
          <w:rFonts w:ascii="Arial" w:hAnsi="Arial" w:cs="Arial"/>
          <w:bCs/>
          <w:sz w:val="22"/>
          <w:szCs w:val="22"/>
          <w:lang w:val="es-CL"/>
        </w:rPr>
        <w:t xml:space="preserve"> Desarrollar un marco que considere de manera conjunta la etapa final de la mina a rajo abierto y el inicio de la mina subterránea, optimizando el </w:t>
      </w:r>
      <w:r w:rsidRPr="00657F4D">
        <w:rPr>
          <w:rFonts w:ascii="Arial" w:hAnsi="Arial" w:cs="Arial"/>
          <w:bCs/>
          <w:i/>
          <w:iCs/>
          <w:sz w:val="22"/>
          <w:szCs w:val="22"/>
          <w:lang w:val="es-CL"/>
        </w:rPr>
        <w:t>valor total</w:t>
      </w:r>
      <w:r w:rsidRPr="00657F4D">
        <w:rPr>
          <w:rFonts w:ascii="Arial" w:hAnsi="Arial" w:cs="Arial"/>
          <w:bCs/>
          <w:sz w:val="22"/>
          <w:szCs w:val="22"/>
          <w:lang w:val="es-CL"/>
        </w:rPr>
        <w:t xml:space="preserve"> del yacimiento explotable. Esto implica decidir dónde y cuándo terminar la operación superficial y comenzar la subterránea de forma que se maximice el valor económico global, en lugar de optimizar cada fase por separado.</w:t>
      </w:r>
    </w:p>
    <w:p w14:paraId="5415CE1F" w14:textId="77777777" w:rsidR="00657F4D" w:rsidRPr="00657F4D" w:rsidRDefault="00657F4D" w:rsidP="00657F4D">
      <w:pPr>
        <w:numPr>
          <w:ilvl w:val="0"/>
          <w:numId w:val="2"/>
        </w:numPr>
        <w:jc w:val="both"/>
        <w:rPr>
          <w:rFonts w:ascii="Arial" w:hAnsi="Arial" w:cs="Arial"/>
          <w:bCs/>
          <w:sz w:val="22"/>
          <w:szCs w:val="22"/>
          <w:lang w:val="es-CL"/>
        </w:rPr>
      </w:pPr>
      <w:r w:rsidRPr="00657F4D">
        <w:rPr>
          <w:rFonts w:ascii="Arial" w:hAnsi="Arial" w:cs="Arial"/>
          <w:b/>
          <w:bCs/>
          <w:sz w:val="22"/>
          <w:szCs w:val="22"/>
          <w:lang w:val="es-CL"/>
        </w:rPr>
        <w:t>Reducción de Incertidumbre (De-</w:t>
      </w:r>
      <w:proofErr w:type="spellStart"/>
      <w:r w:rsidRPr="00657F4D">
        <w:rPr>
          <w:rFonts w:ascii="Arial" w:hAnsi="Arial" w:cs="Arial"/>
          <w:b/>
          <w:bCs/>
          <w:sz w:val="22"/>
          <w:szCs w:val="22"/>
          <w:lang w:val="es-CL"/>
        </w:rPr>
        <w:t>Risking</w:t>
      </w:r>
      <w:proofErr w:type="spellEnd"/>
      <w:r w:rsidRPr="00657F4D">
        <w:rPr>
          <w:rFonts w:ascii="Arial" w:hAnsi="Arial" w:cs="Arial"/>
          <w:b/>
          <w:bCs/>
          <w:sz w:val="22"/>
          <w:szCs w:val="22"/>
          <w:lang w:val="es-CL"/>
        </w:rPr>
        <w:t>):</w:t>
      </w:r>
      <w:r w:rsidRPr="00657F4D">
        <w:rPr>
          <w:rFonts w:ascii="Arial" w:hAnsi="Arial" w:cs="Arial"/>
          <w:bCs/>
          <w:sz w:val="22"/>
          <w:szCs w:val="22"/>
          <w:lang w:val="es-CL"/>
        </w:rPr>
        <w:t xml:space="preserve"> Incorporar explícitamente las principales incertidumbres y riesgos en el proceso de planificación. El objetivo es cuantificar el riesgo asociado a distintas opciones de transición (por ejemplo, a través de indicadores como el NPV @ riesgo o el </w:t>
      </w:r>
      <w:r w:rsidRPr="00657F4D">
        <w:rPr>
          <w:rFonts w:ascii="Arial" w:hAnsi="Arial" w:cs="Arial"/>
          <w:bCs/>
          <w:i/>
          <w:iCs/>
          <w:sz w:val="22"/>
          <w:szCs w:val="22"/>
          <w:lang w:val="es-CL"/>
        </w:rPr>
        <w:t>Value at Risk</w:t>
      </w:r>
      <w:r w:rsidRPr="00657F4D">
        <w:rPr>
          <w:rFonts w:ascii="Arial" w:hAnsi="Arial" w:cs="Arial"/>
          <w:bCs/>
          <w:sz w:val="22"/>
          <w:szCs w:val="22"/>
          <w:lang w:val="es-CL"/>
        </w:rPr>
        <w:t>), de modo de privilegiar rutas de desarrollo más robustas frente a las variaciones en geología, precios, costos, etc.</w:t>
      </w:r>
    </w:p>
    <w:p w14:paraId="63915D44" w14:textId="77777777" w:rsidR="00657F4D" w:rsidRPr="00657F4D" w:rsidRDefault="00657F4D" w:rsidP="00657F4D">
      <w:pPr>
        <w:numPr>
          <w:ilvl w:val="0"/>
          <w:numId w:val="2"/>
        </w:numPr>
        <w:jc w:val="both"/>
        <w:rPr>
          <w:rFonts w:ascii="Arial" w:hAnsi="Arial" w:cs="Arial"/>
          <w:bCs/>
          <w:sz w:val="22"/>
          <w:szCs w:val="22"/>
          <w:lang w:val="es-CL"/>
        </w:rPr>
      </w:pPr>
      <w:r w:rsidRPr="00657F4D">
        <w:rPr>
          <w:rFonts w:ascii="Arial" w:hAnsi="Arial" w:cs="Arial"/>
          <w:b/>
          <w:bCs/>
          <w:sz w:val="22"/>
          <w:szCs w:val="22"/>
          <w:lang w:val="es-CL"/>
        </w:rPr>
        <w:t>Evaluación Multicriterio:</w:t>
      </w:r>
      <w:r w:rsidRPr="00657F4D">
        <w:rPr>
          <w:rFonts w:ascii="Arial" w:hAnsi="Arial" w:cs="Arial"/>
          <w:bCs/>
          <w:sz w:val="22"/>
          <w:szCs w:val="22"/>
          <w:lang w:val="es-CL"/>
        </w:rPr>
        <w:t xml:space="preserve"> Además de los criterios financieros tradicionales (NPV, TIR, </w:t>
      </w:r>
      <w:r w:rsidRPr="00657F4D">
        <w:rPr>
          <w:rFonts w:ascii="Arial" w:hAnsi="Arial" w:cs="Arial"/>
          <w:bCs/>
          <w:sz w:val="22"/>
          <w:szCs w:val="22"/>
          <w:lang w:val="es-CL"/>
        </w:rPr>
        <w:lastRenderedPageBreak/>
        <w:t xml:space="preserve">costo, etc.), incorporar criterios de ejecutabilidad o </w:t>
      </w:r>
      <w:r w:rsidRPr="00657F4D">
        <w:rPr>
          <w:rFonts w:ascii="Arial" w:hAnsi="Arial" w:cs="Arial"/>
          <w:bCs/>
          <w:i/>
          <w:iCs/>
          <w:sz w:val="22"/>
          <w:szCs w:val="22"/>
          <w:lang w:val="es-CL"/>
        </w:rPr>
        <w:t>doability</w:t>
      </w:r>
      <w:r w:rsidRPr="00657F4D">
        <w:rPr>
          <w:rFonts w:ascii="Arial" w:hAnsi="Arial" w:cs="Arial"/>
          <w:bCs/>
          <w:sz w:val="22"/>
          <w:szCs w:val="22"/>
          <w:lang w:val="es-CL"/>
        </w:rPr>
        <w:t xml:space="preserve"> que reflejen la factibilidad práctica de cada ruta de desarrollo. El objetivo es poder comparar alternativas no solo por su retorno esperado sino también por su viabilidad técnica, operativa y </w:t>
      </w:r>
      <w:proofErr w:type="gramStart"/>
      <w:r w:rsidRPr="00657F4D">
        <w:rPr>
          <w:rFonts w:ascii="Arial" w:hAnsi="Arial" w:cs="Arial"/>
          <w:bCs/>
          <w:sz w:val="22"/>
          <w:szCs w:val="22"/>
          <w:lang w:val="es-CL"/>
        </w:rPr>
        <w:t>socio-ambiental</w:t>
      </w:r>
      <w:proofErr w:type="gramEnd"/>
      <w:r w:rsidRPr="00657F4D">
        <w:rPr>
          <w:rFonts w:ascii="Arial" w:hAnsi="Arial" w:cs="Arial"/>
          <w:bCs/>
          <w:sz w:val="22"/>
          <w:szCs w:val="22"/>
          <w:lang w:val="es-CL"/>
        </w:rPr>
        <w:t>, asegurando que la opción seleccionada sea tanto atractiva como ejecutable en la realidad.</w:t>
      </w:r>
    </w:p>
    <w:p w14:paraId="5AB3EA05" w14:textId="77777777" w:rsidR="00657F4D" w:rsidRPr="00657F4D" w:rsidRDefault="00657F4D" w:rsidP="00657F4D">
      <w:pPr>
        <w:numPr>
          <w:ilvl w:val="0"/>
          <w:numId w:val="2"/>
        </w:numPr>
        <w:jc w:val="both"/>
        <w:rPr>
          <w:rFonts w:ascii="Arial" w:hAnsi="Arial" w:cs="Arial"/>
          <w:bCs/>
          <w:sz w:val="22"/>
          <w:szCs w:val="22"/>
          <w:lang w:val="es-CL"/>
        </w:rPr>
      </w:pPr>
      <w:r w:rsidRPr="00657F4D">
        <w:rPr>
          <w:rFonts w:ascii="Arial" w:hAnsi="Arial" w:cs="Arial"/>
          <w:b/>
          <w:bCs/>
          <w:sz w:val="22"/>
          <w:szCs w:val="22"/>
          <w:lang w:val="es-CL"/>
        </w:rPr>
        <w:t>Estrategia Modular de Transición:</w:t>
      </w:r>
      <w:r w:rsidRPr="00657F4D">
        <w:rPr>
          <w:rFonts w:ascii="Arial" w:hAnsi="Arial" w:cs="Arial"/>
          <w:bCs/>
          <w:sz w:val="22"/>
          <w:szCs w:val="22"/>
          <w:lang w:val="es-CL"/>
        </w:rPr>
        <w:t xml:space="preserve"> Proponer un enfoque de implementación gradual de la mina subterránea (por fases o módulos), comenzando idealmente con una escala piloto o intermedia. El objetivo es minimizar la inversión inicial y el riesgo aprendiendo de una primera fase subterránea antes de comprometer capital masivo en una operación a gran escala. Este enfoque modular también busca otorgar flexibilidad al plan de mina, permitiendo ajustes en función de la información que se vaya obteniendo y de cambios en el entorno (mercado, regulatorio, etc.).</w:t>
      </w:r>
    </w:p>
    <w:p w14:paraId="4325A65F" w14:textId="77777777" w:rsidR="00657F4D" w:rsidRPr="00657F4D" w:rsidRDefault="00657F4D" w:rsidP="00657F4D">
      <w:pPr>
        <w:numPr>
          <w:ilvl w:val="0"/>
          <w:numId w:val="2"/>
        </w:numPr>
        <w:jc w:val="both"/>
        <w:rPr>
          <w:rFonts w:ascii="Arial" w:hAnsi="Arial" w:cs="Arial"/>
          <w:bCs/>
          <w:sz w:val="22"/>
          <w:szCs w:val="22"/>
          <w:lang w:val="es-CL"/>
        </w:rPr>
      </w:pPr>
      <w:r w:rsidRPr="00657F4D">
        <w:rPr>
          <w:rFonts w:ascii="Arial" w:hAnsi="Arial" w:cs="Arial"/>
          <w:b/>
          <w:bCs/>
          <w:sz w:val="22"/>
          <w:szCs w:val="22"/>
          <w:lang w:val="es-CL"/>
        </w:rPr>
        <w:t>Herramientas de Simulación y Análisis:</w:t>
      </w:r>
      <w:r w:rsidRPr="00657F4D">
        <w:rPr>
          <w:rFonts w:ascii="Arial" w:hAnsi="Arial" w:cs="Arial"/>
          <w:bCs/>
          <w:sz w:val="22"/>
          <w:szCs w:val="22"/>
          <w:lang w:val="es-CL"/>
        </w:rPr>
        <w:t xml:space="preserve"> Desarrollar e implementar herramientas computacionales (SIMPLAN, SIMVAL) que permitan simular escenarios complejos de transición y obtener métricas probabilísticas de desempeño. Estas herramientas deben facilitar la comparación cuantitativa de rutas en términos de producción, costos, inversión, plazos y rentabilidad, proporcionando una base sólida para el análisis multicriterio.</w:t>
      </w:r>
    </w:p>
    <w:p w14:paraId="166C5B36" w14:textId="11CDFA16" w:rsidR="00657F4D" w:rsidRPr="00657F4D" w:rsidRDefault="00657F4D" w:rsidP="002C1314">
      <w:pPr>
        <w:jc w:val="both"/>
        <w:rPr>
          <w:rFonts w:ascii="Arial" w:hAnsi="Arial" w:cs="Arial"/>
          <w:bCs/>
          <w:sz w:val="22"/>
          <w:szCs w:val="22"/>
          <w:lang w:val="es-CL"/>
        </w:rPr>
      </w:pPr>
      <w:r w:rsidRPr="00657F4D">
        <w:rPr>
          <w:rFonts w:ascii="Arial" w:hAnsi="Arial" w:cs="Arial"/>
          <w:bCs/>
          <w:sz w:val="22"/>
          <w:szCs w:val="22"/>
          <w:lang w:val="es-CL"/>
        </w:rPr>
        <w:t xml:space="preserve">En síntesis, la metodología propuesta persigue maximizar el valor del negocio minero asociado a la transición OP→UG, a la vez que minimiza el riesgo y garantiza la factibilidad de la ruta seleccionada. Esto, mediante un proceso estructurado, transparente y </w:t>
      </w:r>
      <w:r w:rsidRPr="002C1314">
        <w:rPr>
          <w:rFonts w:ascii="Arial" w:hAnsi="Arial" w:cs="Arial"/>
          <w:bCs/>
          <w:sz w:val="22"/>
          <w:szCs w:val="22"/>
          <w:lang w:val="es-CL"/>
        </w:rPr>
        <w:t>robusto</w:t>
      </w:r>
      <w:r w:rsidRPr="00657F4D">
        <w:rPr>
          <w:rFonts w:ascii="Arial" w:hAnsi="Arial" w:cs="Arial"/>
          <w:bCs/>
          <w:sz w:val="22"/>
          <w:szCs w:val="22"/>
          <w:lang w:val="es-CL"/>
        </w:rPr>
        <w:t xml:space="preserve"> técnicamente, que pueda servir de guía para la toma de decisiones estratégicas en proyectos mineros que enfrenten este desafío.</w:t>
      </w:r>
    </w:p>
    <w:p w14:paraId="74C51E73" w14:textId="6410C1B3" w:rsidR="00CE075D" w:rsidRPr="00657F4D" w:rsidRDefault="00CE075D" w:rsidP="00751F0F">
      <w:pPr>
        <w:ind w:firstLine="142"/>
        <w:jc w:val="both"/>
        <w:rPr>
          <w:rFonts w:ascii="Arial" w:hAnsi="Arial" w:cs="Arial"/>
          <w:bCs/>
          <w:sz w:val="22"/>
          <w:szCs w:val="22"/>
          <w:lang w:val="es-CL"/>
        </w:rPr>
      </w:pP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78FDC361"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657F4D">
        <w:rPr>
          <w:rFonts w:ascii="Arial" w:hAnsi="Arial" w:cs="Arial"/>
          <w:b/>
          <w:bCs/>
          <w:iCs/>
          <w:sz w:val="22"/>
          <w:szCs w:val="22"/>
        </w:rPr>
        <w:t>Desarrollo</w:t>
      </w:r>
      <w:proofErr w:type="spellEnd"/>
      <w:r w:rsidR="00657F4D">
        <w:rPr>
          <w:rFonts w:ascii="Arial" w:hAnsi="Arial" w:cs="Arial"/>
          <w:b/>
          <w:bCs/>
          <w:iCs/>
          <w:sz w:val="22"/>
          <w:szCs w:val="22"/>
        </w:rPr>
        <w:t xml:space="preserve"> de la Metodología</w:t>
      </w:r>
    </w:p>
    <w:p w14:paraId="3A9EE638" w14:textId="77777777" w:rsidR="007D2A73" w:rsidRPr="000270E6" w:rsidRDefault="007D2A73" w:rsidP="007D2A73">
      <w:pPr>
        <w:jc w:val="both"/>
        <w:rPr>
          <w:rFonts w:ascii="Arial" w:hAnsi="Arial" w:cs="Arial"/>
          <w:b/>
          <w:bCs/>
          <w:sz w:val="22"/>
          <w:szCs w:val="22"/>
          <w:lang w:val="es-PE"/>
        </w:rPr>
      </w:pPr>
    </w:p>
    <w:p w14:paraId="7EA6F18A" w14:textId="5EEEFD2E"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A </w:t>
      </w:r>
      <w:r w:rsidR="005472E7" w:rsidRPr="00657F4D">
        <w:rPr>
          <w:rFonts w:ascii="Arial" w:hAnsi="Arial" w:cs="Arial"/>
          <w:bCs/>
          <w:sz w:val="22"/>
          <w:szCs w:val="22"/>
          <w:lang w:val="es-CL"/>
        </w:rPr>
        <w:t>continuación,</w:t>
      </w:r>
      <w:r w:rsidRPr="00657F4D">
        <w:rPr>
          <w:rFonts w:ascii="Arial" w:hAnsi="Arial" w:cs="Arial"/>
          <w:bCs/>
          <w:sz w:val="22"/>
          <w:szCs w:val="22"/>
          <w:lang w:val="es-CL"/>
        </w:rPr>
        <w:t xml:space="preserve"> se describe en detalle la metodología propuesta, organizada en módulos o etapas clave, cada una con sus respectivos fundamentos técnicos:</w:t>
      </w:r>
    </w:p>
    <w:p w14:paraId="1CDE5EAC" w14:textId="77777777" w:rsidR="005472E7" w:rsidRDefault="005472E7" w:rsidP="00657F4D">
      <w:pPr>
        <w:jc w:val="both"/>
        <w:rPr>
          <w:rFonts w:ascii="Arial" w:hAnsi="Arial" w:cs="Arial"/>
          <w:bCs/>
          <w:sz w:val="22"/>
          <w:szCs w:val="22"/>
          <w:lang w:val="es-CL"/>
        </w:rPr>
      </w:pPr>
    </w:p>
    <w:p w14:paraId="29C2C824" w14:textId="77777777" w:rsidR="005472E7" w:rsidRDefault="005472E7" w:rsidP="00657F4D">
      <w:pPr>
        <w:jc w:val="both"/>
        <w:rPr>
          <w:rFonts w:ascii="Arial" w:hAnsi="Arial" w:cs="Arial"/>
          <w:bCs/>
          <w:sz w:val="22"/>
          <w:szCs w:val="22"/>
          <w:lang w:val="es-CL"/>
        </w:rPr>
      </w:pPr>
    </w:p>
    <w:p w14:paraId="421353AA" w14:textId="77777777" w:rsidR="00AD047E" w:rsidRPr="00657F4D" w:rsidRDefault="00AD047E" w:rsidP="00657F4D">
      <w:pPr>
        <w:jc w:val="both"/>
        <w:rPr>
          <w:rFonts w:ascii="Arial" w:hAnsi="Arial" w:cs="Arial"/>
          <w:bCs/>
          <w:sz w:val="22"/>
          <w:szCs w:val="22"/>
          <w:lang w:val="es-CL"/>
        </w:rPr>
      </w:pPr>
    </w:p>
    <w:p w14:paraId="658D479F" w14:textId="77777777" w:rsidR="00657F4D" w:rsidRP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Limitaciones de los métodos tradicionales de transición</w:t>
      </w:r>
    </w:p>
    <w:p w14:paraId="78018EC7" w14:textId="60B170D0"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Históricamente, las decisiones de transición desde rajo abierto a subterráneo se han basado en enfoques relativamente simplificados que presentan importantes limitaciones. El método convencional, como se mencionó, consiste en optimizar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final considerando únicamente la operación a cielo abierto, y luego diseñar una mina subterránea independiente por debajo. Esto puede llevar a que el rajo se profundice más de lo óptimo (extrayendo mineral que quizá sería más rentable explotar por abajo) o, por el contrario, que se pierda mineral valioso por dejar un pilar demasiado grueso. La falta de integración impide capturar interacciones clave: por ejemplo, el diseño óptimo del rajo podría cambiar si se considerase la posibilidad de explotar parte del mineral mediante minería subterránea (y viceversa).</w:t>
      </w:r>
    </w:p>
    <w:p w14:paraId="6ECF5756" w14:textId="1241C165"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Otra limitante de los métodos tradicionales es que suelen usar supuestos deterministas –una única realización del modelo geológico, precios fijos, etc.– para evaluar el proyecto. En consecuencia, subestiman la incertidumbre inherente y tienden a sobreestimar el valor: estudios han mostrado que el NPV esperado calculado con análisis de riesgo suele ser significativamente menor (</w:t>
      </w:r>
      <w:proofErr w:type="spellStart"/>
      <w:r w:rsidRPr="00657F4D">
        <w:rPr>
          <w:rFonts w:ascii="Arial" w:hAnsi="Arial" w:cs="Arial"/>
          <w:bCs/>
          <w:sz w:val="22"/>
          <w:szCs w:val="22"/>
          <w:lang w:val="es-CL"/>
        </w:rPr>
        <w:t>e.g</w:t>
      </w:r>
      <w:proofErr w:type="spellEnd"/>
      <w:r w:rsidRPr="00657F4D">
        <w:rPr>
          <w:rFonts w:ascii="Arial" w:hAnsi="Arial" w:cs="Arial"/>
          <w:bCs/>
          <w:sz w:val="22"/>
          <w:szCs w:val="22"/>
          <w:lang w:val="es-CL"/>
        </w:rPr>
        <w:t xml:space="preserve">. ~25% menor) al proyectado originalmente con modelos deterministas. Además, la sincronización temporal entre la fase final del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y el inicio de la mina subterránea no se optimiza: frecuentemente las operaciones a rajo abierto continúan hasta agotar reservas superficiales antes de iniciar la construcción subterránea, lo que puede resultar en brechas de producción cuando se cierra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y la mina subterránea aún no alcanza régimen. Alternativamente, acelerar prematuramente el inicio subterráneo sin haber optimizado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puede implicar dejar mineral en el suelo. En suma, existe un trade-off dinámico que los métodos tradicionales difíciles capturan.</w:t>
      </w:r>
    </w:p>
    <w:p w14:paraId="23565F93" w14:textId="4F15BEC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Diversos investigadores han propuesto soluciones al denominado “problema de transición”. Por un lado, Whittle (1990) implementó en su software de optimización una forma de asignar un valor de opción a ciertos bloques que podrían extraerse vía subterránea, para influir en la geometría del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fldChar w:fldCharType="begin"/>
      </w:r>
      <w:r w:rsidRPr="00657F4D">
        <w:rPr>
          <w:rFonts w:ascii="Arial" w:hAnsi="Arial" w:cs="Arial"/>
          <w:bCs/>
          <w:sz w:val="22"/>
          <w:szCs w:val="22"/>
          <w:lang w:val="es-CL"/>
        </w:rPr>
        <w:instrText>HYPERLINK "https://www.researchgate.net/profile/David-Whittle/publication/281895765_Determining_the_open_pit_to_underground_transition_A_new_method/links/5603304808ae460e2704c7a3/Determining-the-open-pit-to-underground-transition-A-new-method.pdf" \l ":~:text=Whittle%20,can%20be%20mined%20by%20either" \t "_blank"</w:instrText>
      </w:r>
      <w:r w:rsidRPr="00657F4D">
        <w:rPr>
          <w:rFonts w:ascii="Arial" w:hAnsi="Arial" w:cs="Arial"/>
          <w:bCs/>
          <w:sz w:val="22"/>
          <w:szCs w:val="22"/>
          <w:lang w:val="es-CL"/>
        </w:rPr>
      </w:r>
      <w:r w:rsidRPr="00657F4D">
        <w:rPr>
          <w:rFonts w:ascii="Arial" w:hAnsi="Arial" w:cs="Arial"/>
          <w:bCs/>
          <w:sz w:val="22"/>
          <w:szCs w:val="22"/>
          <w:lang w:val="es-CL"/>
        </w:rPr>
        <w:fldChar w:fldCharType="separate"/>
      </w:r>
      <w:r w:rsidRPr="00657F4D">
        <w:rPr>
          <w:rFonts w:ascii="Arial" w:hAnsi="Arial" w:cs="Arial"/>
          <w:bCs/>
          <w:sz w:val="22"/>
          <w:szCs w:val="22"/>
          <w:lang w:val="es-PE"/>
        </w:rPr>
        <w:fldChar w:fldCharType="end"/>
      </w:r>
      <w:r w:rsidRPr="00657F4D">
        <w:rPr>
          <w:rFonts w:ascii="Arial" w:hAnsi="Arial" w:cs="Arial"/>
          <w:bCs/>
          <w:sz w:val="22"/>
          <w:szCs w:val="22"/>
          <w:lang w:val="es-CL"/>
        </w:rPr>
        <w:t xml:space="preserve">. Si bien innovadora, esta aproximación no aborda otros factores como la interacción geomecánica ni la secuenciación temporal óptima. Otros trabajos, como el de Nilsson (1981), enumeraron las consideraciones necesarias (geotecnia, económicas, operacionales) para una transición efectiva, pero sin resolver </w:t>
      </w:r>
      <w:proofErr w:type="spellStart"/>
      <w:r w:rsidRPr="00657F4D">
        <w:rPr>
          <w:rFonts w:ascii="Arial" w:hAnsi="Arial" w:cs="Arial"/>
          <w:bCs/>
          <w:sz w:val="22"/>
          <w:szCs w:val="22"/>
          <w:lang w:val="es-CL"/>
        </w:rPr>
        <w:t>optimizadamente</w:t>
      </w:r>
      <w:proofErr w:type="spellEnd"/>
      <w:r w:rsidRPr="00657F4D">
        <w:rPr>
          <w:rFonts w:ascii="Arial" w:hAnsi="Arial" w:cs="Arial"/>
          <w:bCs/>
          <w:sz w:val="22"/>
          <w:szCs w:val="22"/>
          <w:lang w:val="es-CL"/>
        </w:rPr>
        <w:t xml:space="preserve"> el problema</w:t>
      </w:r>
      <w:hyperlink r:id="rId13" w:anchor=":~:text=CURRENT%20APPROACHES%20Nilsson%20,optimal%20pit%20design%20changes%20if" w:tgtFrame="_blank" w:history="1"/>
      <w:r w:rsidRPr="00657F4D">
        <w:rPr>
          <w:rFonts w:ascii="Arial" w:hAnsi="Arial" w:cs="Arial"/>
          <w:bCs/>
          <w:sz w:val="22"/>
          <w:szCs w:val="22"/>
          <w:lang w:val="es-CL"/>
        </w:rPr>
        <w:t>. Métodos de programación matemática (entera, no-lineal) han logrado determinar profundidades de transición óptimas teóricas bajo ciertos supuestos</w:t>
      </w:r>
      <w:hyperlink r:id="rId14" w:anchor=":~:text=A%20dynamic%20stochastic%20programming%20approach,mine%20production%20planning.%20Resour" w:tgtFrame="_blank" w:history="1"/>
      <w:hyperlink r:id="rId15" w:anchor=":~:text=,simultaneous%20extraction%20mode." w:tgtFrame="_blank" w:history="1"/>
      <w:r w:rsidRPr="00657F4D">
        <w:rPr>
          <w:rFonts w:ascii="Arial" w:hAnsi="Arial" w:cs="Arial"/>
          <w:bCs/>
          <w:sz w:val="22"/>
          <w:szCs w:val="22"/>
          <w:lang w:val="es-CL"/>
        </w:rPr>
        <w:t xml:space="preserve">, pero su aplicación práctica es compleja debido a las numerosas variables en juego. En 2010, Newman &amp; Rubio introdujeron un </w:t>
      </w:r>
      <w:r w:rsidRPr="00657F4D">
        <w:rPr>
          <w:rFonts w:ascii="Arial" w:hAnsi="Arial" w:cs="Arial"/>
          <w:bCs/>
          <w:sz w:val="22"/>
          <w:szCs w:val="22"/>
          <w:lang w:val="es-CL"/>
        </w:rPr>
        <w:lastRenderedPageBreak/>
        <w:t xml:space="preserve">modelo de </w:t>
      </w:r>
      <w:proofErr w:type="spellStart"/>
      <w:r w:rsidRPr="00657F4D">
        <w:rPr>
          <w:rFonts w:ascii="Arial" w:hAnsi="Arial" w:cs="Arial"/>
          <w:bCs/>
          <w:i/>
          <w:iCs/>
          <w:sz w:val="22"/>
          <w:szCs w:val="22"/>
          <w:lang w:val="es-CL"/>
        </w:rPr>
        <w:t>longest</w:t>
      </w:r>
      <w:proofErr w:type="spellEnd"/>
      <w:r w:rsidRPr="00657F4D">
        <w:rPr>
          <w:rFonts w:ascii="Arial" w:hAnsi="Arial" w:cs="Arial"/>
          <w:bCs/>
          <w:i/>
          <w:iCs/>
          <w:sz w:val="22"/>
          <w:szCs w:val="22"/>
          <w:lang w:val="es-CL"/>
        </w:rPr>
        <w:t xml:space="preserve"> </w:t>
      </w:r>
      <w:proofErr w:type="spellStart"/>
      <w:r w:rsidRPr="00657F4D">
        <w:rPr>
          <w:rFonts w:ascii="Arial" w:hAnsi="Arial" w:cs="Arial"/>
          <w:bCs/>
          <w:i/>
          <w:iCs/>
          <w:sz w:val="22"/>
          <w:szCs w:val="22"/>
          <w:lang w:val="es-CL"/>
        </w:rPr>
        <w:t>path</w:t>
      </w:r>
      <w:proofErr w:type="spellEnd"/>
      <w:r w:rsidRPr="00657F4D">
        <w:rPr>
          <w:rFonts w:ascii="Arial" w:hAnsi="Arial" w:cs="Arial"/>
          <w:bCs/>
          <w:sz w:val="22"/>
          <w:szCs w:val="22"/>
          <w:lang w:val="es-CL"/>
        </w:rPr>
        <w:t xml:space="preserve"> en red para optimizar el </w:t>
      </w:r>
      <w:r w:rsidRPr="00657F4D">
        <w:rPr>
          <w:rFonts w:ascii="Arial" w:hAnsi="Arial" w:cs="Arial"/>
          <w:bCs/>
          <w:i/>
          <w:iCs/>
          <w:sz w:val="22"/>
          <w:szCs w:val="22"/>
          <w:lang w:val="es-CL"/>
        </w:rPr>
        <w:t>timing</w:t>
      </w:r>
      <w:r w:rsidRPr="00657F4D">
        <w:rPr>
          <w:rFonts w:ascii="Arial" w:hAnsi="Arial" w:cs="Arial"/>
          <w:bCs/>
          <w:sz w:val="22"/>
          <w:szCs w:val="22"/>
          <w:lang w:val="es-CL"/>
        </w:rPr>
        <w:t xml:space="preserve"> de la transición considerando tasas de minería y costos de desarrollo, obteniendo mejoras significativas respecto a la decisión basada solo en cut-off grades</w:t>
      </w:r>
      <w:hyperlink r:id="rId16" w:tgtFrame="_blank" w:history="1"/>
      <w:r w:rsidRPr="00657F4D">
        <w:rPr>
          <w:rFonts w:ascii="Arial" w:hAnsi="Arial" w:cs="Arial"/>
          <w:bCs/>
          <w:sz w:val="22"/>
          <w:szCs w:val="22"/>
          <w:lang w:val="es-CL"/>
        </w:rPr>
        <w:t>. Sin embargo, incluso estos enfoques “avanzados” pueden ser difíciles de aplicar en contextos reales donde se deben considerar criterios múltiples y cualitativos (ej. aceptación social, conocimiento del método) además del puro valor numérico.</w:t>
      </w:r>
    </w:p>
    <w:p w14:paraId="439D6271"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En resumen, los métodos tradicionales para decidir la transición OP→UG adolecen de visión parcial (optimización local versus global), supuestos deterministas que ignoran la incertidumbre, y falta de criterios integrales para evaluar la decisión. Esto establece la motivación para una metodología mejorada como la que proponemos, que enfrente explícitamente estas limitaciones combinando análisis técnico-económico cuantitativo con evaluación multicriterio.</w:t>
      </w:r>
    </w:p>
    <w:p w14:paraId="07D6734E"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Definición de variables críticas de decisión</w:t>
      </w:r>
    </w:p>
    <w:p w14:paraId="49121A2D" w14:textId="1044C0F9"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El primer paso de la metodología consiste en identificar y definir las variables críticas que influirán en la decisión de transición. Estas variables son tanto de índole técnica como económica y externa, ya que la conveniencia de seguir ampliando el rajo o pasar a subterráneo es un problema multifacético. Entre las principales variables a considerar destacan</w:t>
      </w:r>
      <w:hyperlink r:id="rId17" w:tgtFrame="_blank" w:history="1"/>
      <w:r w:rsidRPr="00657F4D">
        <w:rPr>
          <w:rFonts w:ascii="Arial" w:hAnsi="Arial" w:cs="Arial"/>
          <w:bCs/>
          <w:sz w:val="22"/>
          <w:szCs w:val="22"/>
          <w:lang w:val="es-CL"/>
        </w:rPr>
        <w:t>:</w:t>
      </w:r>
    </w:p>
    <w:p w14:paraId="56831BF2" w14:textId="7CB745BE" w:rsidR="00657F4D" w:rsidRPr="00657F4D" w:rsidRDefault="00657F4D" w:rsidP="00657F4D">
      <w:pPr>
        <w:numPr>
          <w:ilvl w:val="0"/>
          <w:numId w:val="3"/>
        </w:numPr>
        <w:jc w:val="both"/>
        <w:rPr>
          <w:rFonts w:ascii="Arial" w:hAnsi="Arial" w:cs="Arial"/>
          <w:bCs/>
          <w:sz w:val="22"/>
          <w:szCs w:val="22"/>
          <w:lang w:val="es-CL"/>
        </w:rPr>
      </w:pPr>
      <w:r w:rsidRPr="00657F4D">
        <w:rPr>
          <w:rFonts w:ascii="Arial" w:hAnsi="Arial" w:cs="Arial"/>
          <w:b/>
          <w:bCs/>
          <w:sz w:val="22"/>
          <w:szCs w:val="22"/>
          <w:lang w:val="es-CL"/>
        </w:rPr>
        <w:t>Condiciones Geomecánicas y de Geología (Geociencias):</w:t>
      </w:r>
      <w:r w:rsidRPr="00657F4D">
        <w:rPr>
          <w:rFonts w:ascii="Arial" w:hAnsi="Arial" w:cs="Arial"/>
          <w:bCs/>
          <w:sz w:val="22"/>
          <w:szCs w:val="22"/>
          <w:lang w:val="es-CL"/>
        </w:rPr>
        <w:t xml:space="preserve"> Incluye la calidad del macizo rocoso, la distribución de leyes y la geometría del yacimiento. Una geotecnia adversa (por ejemplo, taludes inestables a mayor profundidad) puede limitar la profundización del rajo y favorecer una transición más temprana a subterráneo. Asimismo, la continuidad del cuerpo mineralizado en profundidad determinará qué métodos subterráneos son viables (p. ej., cuerpos masivos aptos para block caving vs. vetas para métodos selectivos). Esta categoría abarca también consideraciones como la posible necesidad de un </w:t>
      </w:r>
      <w:r w:rsidRPr="00657F4D">
        <w:rPr>
          <w:rFonts w:ascii="Arial" w:hAnsi="Arial" w:cs="Arial"/>
          <w:bCs/>
          <w:i/>
          <w:iCs/>
          <w:sz w:val="22"/>
          <w:szCs w:val="22"/>
          <w:lang w:val="es-CL"/>
        </w:rPr>
        <w:t>pilar de corona</w:t>
      </w:r>
      <w:r w:rsidRPr="00657F4D">
        <w:rPr>
          <w:rFonts w:ascii="Arial" w:hAnsi="Arial" w:cs="Arial"/>
          <w:bCs/>
          <w:sz w:val="22"/>
          <w:szCs w:val="22"/>
          <w:lang w:val="es-CL"/>
        </w:rPr>
        <w:t xml:space="preserve"> y su espesor óptimo para mantener la estabilidad entre la mina subterránea y el rajo</w:t>
      </w:r>
      <w:hyperlink r:id="rId18" w:anchor=":~:text=when%20planning%20a%20transition%20from,optimal%20pit%20design%20changes%20if" w:tgtFrame="_blank" w:history="1"/>
      <w:r w:rsidRPr="00657F4D">
        <w:rPr>
          <w:rFonts w:ascii="Arial" w:hAnsi="Arial" w:cs="Arial"/>
          <w:bCs/>
          <w:sz w:val="22"/>
          <w:szCs w:val="22"/>
          <w:lang w:val="es-CL"/>
        </w:rPr>
        <w:t>.</w:t>
      </w:r>
    </w:p>
    <w:p w14:paraId="7ED3E675" w14:textId="77777777" w:rsidR="00657F4D" w:rsidRPr="00657F4D" w:rsidRDefault="00657F4D" w:rsidP="00657F4D">
      <w:pPr>
        <w:numPr>
          <w:ilvl w:val="0"/>
          <w:numId w:val="3"/>
        </w:numPr>
        <w:jc w:val="both"/>
        <w:rPr>
          <w:rFonts w:ascii="Arial" w:hAnsi="Arial" w:cs="Arial"/>
          <w:bCs/>
          <w:sz w:val="22"/>
          <w:szCs w:val="22"/>
          <w:lang w:val="es-CL"/>
        </w:rPr>
      </w:pPr>
      <w:r w:rsidRPr="00657F4D">
        <w:rPr>
          <w:rFonts w:ascii="Arial" w:hAnsi="Arial" w:cs="Arial"/>
          <w:b/>
          <w:bCs/>
          <w:sz w:val="22"/>
          <w:szCs w:val="22"/>
          <w:lang w:val="es-CL"/>
        </w:rPr>
        <w:t>Economía del Proyecto (Costos, Inversión y Mercado):</w:t>
      </w:r>
      <w:r w:rsidRPr="00657F4D">
        <w:rPr>
          <w:rFonts w:ascii="Arial" w:hAnsi="Arial" w:cs="Arial"/>
          <w:bCs/>
          <w:sz w:val="22"/>
          <w:szCs w:val="22"/>
          <w:lang w:val="es-CL"/>
        </w:rPr>
        <w:t xml:space="preserve"> Aquí se contemplan tanto los </w:t>
      </w:r>
      <w:r w:rsidRPr="00657F4D">
        <w:rPr>
          <w:rFonts w:ascii="Arial" w:hAnsi="Arial" w:cs="Arial"/>
          <w:b/>
          <w:bCs/>
          <w:sz w:val="22"/>
          <w:szCs w:val="22"/>
          <w:lang w:val="es-CL"/>
        </w:rPr>
        <w:t>costos operativos</w:t>
      </w:r>
      <w:r w:rsidRPr="00657F4D">
        <w:rPr>
          <w:rFonts w:ascii="Arial" w:hAnsi="Arial" w:cs="Arial"/>
          <w:bCs/>
          <w:sz w:val="22"/>
          <w:szCs w:val="22"/>
          <w:lang w:val="es-CL"/>
        </w:rPr>
        <w:t xml:space="preserve"> (OPEX) unitarios en cada fase como la inversión de capital (CAPEX) requerida para desarrollar la alternativa subterránea. Por lo general, a mayor profundidad del rajo, el </w:t>
      </w:r>
      <w:proofErr w:type="spellStart"/>
      <w:r w:rsidRPr="00657F4D">
        <w:rPr>
          <w:rFonts w:ascii="Arial" w:hAnsi="Arial" w:cs="Arial"/>
          <w:bCs/>
          <w:sz w:val="22"/>
          <w:szCs w:val="22"/>
          <w:lang w:val="es-CL"/>
        </w:rPr>
        <w:t>stripping</w:t>
      </w:r>
      <w:proofErr w:type="spellEnd"/>
      <w:r w:rsidRPr="00657F4D">
        <w:rPr>
          <w:rFonts w:ascii="Arial" w:hAnsi="Arial" w:cs="Arial"/>
          <w:bCs/>
          <w:sz w:val="22"/>
          <w:szCs w:val="22"/>
          <w:lang w:val="es-CL"/>
        </w:rPr>
        <w:t xml:space="preserve"> ratio incrementa y con ello el costo por tonelada, eventualmente superando el costo unitario de una operación subterránea. El análisis debe considerar ese punto de cruce de </w:t>
      </w:r>
      <w:r w:rsidRPr="00657F4D">
        <w:rPr>
          <w:rFonts w:ascii="Arial" w:hAnsi="Arial" w:cs="Arial"/>
          <w:bCs/>
          <w:sz w:val="22"/>
          <w:szCs w:val="22"/>
          <w:lang w:val="es-CL"/>
        </w:rPr>
        <w:t xml:space="preserve">costos. Igualmente, la inversión inicial para acceder subterráneamente (desarrollo de túneles, </w:t>
      </w:r>
      <w:proofErr w:type="spellStart"/>
      <w:r w:rsidRPr="00657F4D">
        <w:rPr>
          <w:rFonts w:ascii="Arial" w:hAnsi="Arial" w:cs="Arial"/>
          <w:bCs/>
          <w:sz w:val="22"/>
          <w:szCs w:val="22"/>
          <w:lang w:val="es-CL"/>
        </w:rPr>
        <w:t>shafts</w:t>
      </w:r>
      <w:proofErr w:type="spellEnd"/>
      <w:r w:rsidRPr="00657F4D">
        <w:rPr>
          <w:rFonts w:ascii="Arial" w:hAnsi="Arial" w:cs="Arial"/>
          <w:bCs/>
          <w:sz w:val="22"/>
          <w:szCs w:val="22"/>
          <w:lang w:val="es-CL"/>
        </w:rPr>
        <w:t>, infraestructura) puede ser muy elevada y exige una producción sostenida para ser rentable, por lo que la disponibilidad de capital y el costo de oportunidad del dinero (tasa de descuento) inciden en la decisión. Los precios de los metales proyectados también son críticos: un precio alto prolonga la rentabilidad del rajo, mientras que precios a la baja pueden hacer más atractivo extraer rápidamente las zonas de mayor ley vía subterránea. En suma, esta variable crítica evalúa cuándo el costo marginal del rajo excede el beneficio marginal, indicando el punto económico de transición.</w:t>
      </w:r>
    </w:p>
    <w:p w14:paraId="223D04A7" w14:textId="77777777" w:rsidR="00657F4D" w:rsidRPr="00657F4D" w:rsidRDefault="00657F4D" w:rsidP="00657F4D">
      <w:pPr>
        <w:numPr>
          <w:ilvl w:val="0"/>
          <w:numId w:val="3"/>
        </w:numPr>
        <w:jc w:val="both"/>
        <w:rPr>
          <w:rFonts w:ascii="Arial" w:hAnsi="Arial" w:cs="Arial"/>
          <w:sz w:val="22"/>
          <w:szCs w:val="22"/>
          <w:lang w:val="es-CL"/>
        </w:rPr>
      </w:pPr>
      <w:r w:rsidRPr="00657F4D">
        <w:rPr>
          <w:rFonts w:ascii="Arial" w:hAnsi="Arial" w:cs="Arial"/>
          <w:b/>
          <w:bCs/>
          <w:sz w:val="22"/>
          <w:szCs w:val="22"/>
          <w:lang w:val="es-CL"/>
        </w:rPr>
        <w:t>Cronograma y Continuidad Productiva (Timing):</w:t>
      </w:r>
      <w:r w:rsidRPr="00657F4D">
        <w:rPr>
          <w:rFonts w:ascii="Arial" w:hAnsi="Arial" w:cs="Arial"/>
          <w:bCs/>
          <w:sz w:val="22"/>
          <w:szCs w:val="22"/>
          <w:lang w:val="es-CL"/>
        </w:rPr>
        <w:t xml:space="preserve"> Se refiere al </w:t>
      </w:r>
      <w:r w:rsidRPr="00657F4D">
        <w:rPr>
          <w:rFonts w:ascii="Arial" w:hAnsi="Arial" w:cs="Arial"/>
          <w:b/>
          <w:bCs/>
          <w:sz w:val="22"/>
          <w:szCs w:val="22"/>
          <w:lang w:val="es-CL"/>
        </w:rPr>
        <w:t>horizonte temporal</w:t>
      </w:r>
      <w:r w:rsidRPr="00657F4D">
        <w:rPr>
          <w:rFonts w:ascii="Arial" w:hAnsi="Arial" w:cs="Arial"/>
          <w:bCs/>
          <w:sz w:val="22"/>
          <w:szCs w:val="22"/>
          <w:lang w:val="es-CL"/>
        </w:rPr>
        <w:t xml:space="preserve"> de la transición y a la secuencia en que ocurrirá. Es vital asegurar que la entrada en operación de la mina subterránea ocurra de forma coordinada con el cierre del rajo para </w:t>
      </w:r>
      <w:r w:rsidRPr="00657F4D">
        <w:rPr>
          <w:rFonts w:ascii="Arial" w:hAnsi="Arial" w:cs="Arial"/>
          <w:sz w:val="22"/>
          <w:szCs w:val="22"/>
          <w:lang w:val="es-CL"/>
        </w:rPr>
        <w:t xml:space="preserve">evitar brechas de producción. Por ello, la duración estimada del desarrollo subterráneo (años de preproducción) y el </w:t>
      </w:r>
      <w:proofErr w:type="spellStart"/>
      <w:r w:rsidRPr="00657F4D">
        <w:rPr>
          <w:rFonts w:ascii="Arial" w:hAnsi="Arial" w:cs="Arial"/>
          <w:i/>
          <w:iCs/>
          <w:sz w:val="22"/>
          <w:szCs w:val="22"/>
          <w:lang w:val="es-CL"/>
        </w:rPr>
        <w:t>ramp</w:t>
      </w:r>
      <w:proofErr w:type="spellEnd"/>
      <w:r w:rsidRPr="00657F4D">
        <w:rPr>
          <w:rFonts w:ascii="Arial" w:hAnsi="Arial" w:cs="Arial"/>
          <w:i/>
          <w:iCs/>
          <w:sz w:val="22"/>
          <w:szCs w:val="22"/>
          <w:lang w:val="es-CL"/>
        </w:rPr>
        <w:t>-up</w:t>
      </w:r>
      <w:r w:rsidRPr="00657F4D">
        <w:rPr>
          <w:rFonts w:ascii="Arial" w:hAnsi="Arial" w:cs="Arial"/>
          <w:sz w:val="22"/>
          <w:szCs w:val="22"/>
          <w:lang w:val="es-CL"/>
        </w:rPr>
        <w:t xml:space="preserve"> necesario para alcanzar el nivel de producción deseado son </w:t>
      </w:r>
      <w:proofErr w:type="gramStart"/>
      <w:r w:rsidRPr="00657F4D">
        <w:rPr>
          <w:rFonts w:ascii="Arial" w:hAnsi="Arial" w:cs="Arial"/>
          <w:sz w:val="22"/>
          <w:szCs w:val="22"/>
          <w:lang w:val="es-CL"/>
        </w:rPr>
        <w:t>factores a incluir</w:t>
      </w:r>
      <w:proofErr w:type="gramEnd"/>
      <w:r w:rsidRPr="00657F4D">
        <w:rPr>
          <w:rFonts w:ascii="Arial" w:hAnsi="Arial" w:cs="Arial"/>
          <w:sz w:val="22"/>
          <w:szCs w:val="22"/>
          <w:lang w:val="es-CL"/>
        </w:rPr>
        <w:t xml:space="preserve">. Un plan de transición ideal minimiza la superposición ineficiente (tener </w:t>
      </w:r>
      <w:proofErr w:type="gramStart"/>
      <w:r w:rsidRPr="00657F4D">
        <w:rPr>
          <w:rFonts w:ascii="Arial" w:hAnsi="Arial" w:cs="Arial"/>
          <w:sz w:val="22"/>
          <w:szCs w:val="22"/>
          <w:lang w:val="es-CL"/>
        </w:rPr>
        <w:t>ambos operando</w:t>
      </w:r>
      <w:proofErr w:type="gramEnd"/>
      <w:r w:rsidRPr="00657F4D">
        <w:rPr>
          <w:rFonts w:ascii="Arial" w:hAnsi="Arial" w:cs="Arial"/>
          <w:sz w:val="22"/>
          <w:szCs w:val="22"/>
          <w:lang w:val="es-CL"/>
        </w:rPr>
        <w:t xml:space="preserve"> </w:t>
      </w:r>
      <w:proofErr w:type="spellStart"/>
      <w:r w:rsidRPr="00657F4D">
        <w:rPr>
          <w:rFonts w:ascii="Arial" w:hAnsi="Arial" w:cs="Arial"/>
          <w:sz w:val="22"/>
          <w:szCs w:val="22"/>
          <w:lang w:val="es-CL"/>
        </w:rPr>
        <w:t>subóptimamente</w:t>
      </w:r>
      <w:proofErr w:type="spellEnd"/>
      <w:r w:rsidRPr="00657F4D">
        <w:rPr>
          <w:rFonts w:ascii="Arial" w:hAnsi="Arial" w:cs="Arial"/>
          <w:sz w:val="22"/>
          <w:szCs w:val="22"/>
          <w:lang w:val="es-CL"/>
        </w:rPr>
        <w:t xml:space="preserve"> a la vez) así como los periodos de inactividad. Esta variable también incluye la vida remanente de la mina a rajo abierto: por ejemplo, si solo quedan 2-3 años de reservas en el </w:t>
      </w:r>
      <w:proofErr w:type="spellStart"/>
      <w:r w:rsidRPr="00657F4D">
        <w:rPr>
          <w:rFonts w:ascii="Arial" w:hAnsi="Arial" w:cs="Arial"/>
          <w:sz w:val="22"/>
          <w:szCs w:val="22"/>
          <w:lang w:val="es-CL"/>
        </w:rPr>
        <w:t>pit</w:t>
      </w:r>
      <w:proofErr w:type="spellEnd"/>
      <w:r w:rsidRPr="00657F4D">
        <w:rPr>
          <w:rFonts w:ascii="Arial" w:hAnsi="Arial" w:cs="Arial"/>
          <w:sz w:val="22"/>
          <w:szCs w:val="22"/>
          <w:lang w:val="es-CL"/>
        </w:rPr>
        <w:t>, quizás sea tarde para iniciar una transición sin incurrir en un vacío productivo.</w:t>
      </w:r>
    </w:p>
    <w:p w14:paraId="19E82EBF" w14:textId="49BB4E69" w:rsidR="00657F4D" w:rsidRPr="00657F4D" w:rsidRDefault="00657F4D" w:rsidP="00657F4D">
      <w:pPr>
        <w:numPr>
          <w:ilvl w:val="0"/>
          <w:numId w:val="3"/>
        </w:numPr>
        <w:jc w:val="both"/>
        <w:rPr>
          <w:rFonts w:ascii="Arial" w:hAnsi="Arial" w:cs="Arial"/>
          <w:bCs/>
          <w:sz w:val="22"/>
          <w:szCs w:val="22"/>
          <w:lang w:val="es-CL"/>
        </w:rPr>
      </w:pPr>
      <w:r w:rsidRPr="00657F4D">
        <w:rPr>
          <w:rFonts w:ascii="Arial" w:hAnsi="Arial" w:cs="Arial"/>
          <w:b/>
          <w:bCs/>
          <w:sz w:val="22"/>
          <w:szCs w:val="22"/>
          <w:lang w:val="es-CL"/>
        </w:rPr>
        <w:t>Factores de Mercado y Riesgo (Value at Risk):</w:t>
      </w:r>
      <w:r w:rsidRPr="00657F4D">
        <w:rPr>
          <w:rFonts w:ascii="Arial" w:hAnsi="Arial" w:cs="Arial"/>
          <w:bCs/>
          <w:sz w:val="22"/>
          <w:szCs w:val="22"/>
          <w:lang w:val="es-CL"/>
        </w:rPr>
        <w:t xml:space="preserve"> Bajo este rubro evaluamos la incertidumbre en los parámetros clave y su efecto en el valor. Por ejemplo, la volatilidad de precios de </w:t>
      </w:r>
      <w:proofErr w:type="spellStart"/>
      <w:r w:rsidRPr="00657F4D">
        <w:rPr>
          <w:rFonts w:ascii="Arial" w:hAnsi="Arial" w:cs="Arial"/>
          <w:bCs/>
          <w:sz w:val="22"/>
          <w:szCs w:val="22"/>
          <w:lang w:val="es-CL"/>
        </w:rPr>
        <w:t>commodity</w:t>
      </w:r>
      <w:proofErr w:type="spellEnd"/>
      <w:r w:rsidRPr="00657F4D">
        <w:rPr>
          <w:rFonts w:ascii="Arial" w:hAnsi="Arial" w:cs="Arial"/>
          <w:bCs/>
          <w:sz w:val="22"/>
          <w:szCs w:val="22"/>
          <w:lang w:val="es-CL"/>
        </w:rPr>
        <w:t xml:space="preserve">, las variaciones en ley o tonelaje debido a incertidumbre geológica, e incluso riesgos macro (tipo de cambio, inflación de costos) afectan la comparación de opciones. Para cada ruta de transición, se puede estimar un perfil de riesgo de producción y financiero; por ejemplo, distribuciones de NPV o de toneladas producidas. Una métrica útil es el “NPV@ riesgo” o ciertas probabilidades (P10, P50, P90) asociadas a los resultados. Si una ruta tiene un NPV promedio </w:t>
      </w:r>
      <w:proofErr w:type="gramStart"/>
      <w:r w:rsidRPr="00657F4D">
        <w:rPr>
          <w:rFonts w:ascii="Arial" w:hAnsi="Arial" w:cs="Arial"/>
          <w:bCs/>
          <w:sz w:val="22"/>
          <w:szCs w:val="22"/>
          <w:lang w:val="es-CL"/>
        </w:rPr>
        <w:t>alto</w:t>
      </w:r>
      <w:proofErr w:type="gramEnd"/>
      <w:r w:rsidRPr="00657F4D">
        <w:rPr>
          <w:rFonts w:ascii="Arial" w:hAnsi="Arial" w:cs="Arial"/>
          <w:bCs/>
          <w:sz w:val="22"/>
          <w:szCs w:val="22"/>
          <w:lang w:val="es-CL"/>
        </w:rPr>
        <w:t xml:space="preserve"> pero con mucha dispersión (alto riesgo de no alcanzar ese valor), podría no ser preferible a otra con ligeramente menor </w:t>
      </w:r>
      <w:proofErr w:type="gramStart"/>
      <w:r w:rsidRPr="00657F4D">
        <w:rPr>
          <w:rFonts w:ascii="Arial" w:hAnsi="Arial" w:cs="Arial"/>
          <w:bCs/>
          <w:sz w:val="22"/>
          <w:szCs w:val="22"/>
          <w:lang w:val="es-CL"/>
        </w:rPr>
        <w:t>NPV</w:t>
      </w:r>
      <w:proofErr w:type="gramEnd"/>
      <w:r w:rsidRPr="00657F4D">
        <w:rPr>
          <w:rFonts w:ascii="Arial" w:hAnsi="Arial" w:cs="Arial"/>
          <w:bCs/>
          <w:sz w:val="22"/>
          <w:szCs w:val="22"/>
          <w:lang w:val="es-CL"/>
        </w:rPr>
        <w:t xml:space="preserve"> pero mucho más estable. El concepto de Value at Risk (VaR) proviene de las finanzas y aquí </w:t>
      </w:r>
      <w:r w:rsidRPr="00657F4D">
        <w:rPr>
          <w:rFonts w:ascii="Arial" w:hAnsi="Arial" w:cs="Arial"/>
          <w:bCs/>
          <w:sz w:val="22"/>
          <w:szCs w:val="22"/>
          <w:lang w:val="es-CL"/>
        </w:rPr>
        <w:lastRenderedPageBreak/>
        <w:t>se adopta para cuantificar, por ejemplo, la peor pérdida esperada con cierto nivel de confianza. Incorporar explícitamente los riesgos en la evaluación permite privilegiar alternativas más resilientes frente a la incertidumbre</w:t>
      </w:r>
      <w:hyperlink r:id="rId19" w:anchor=":~:text=Leite%20and%20Dimitrakopoulos%20,to%20a%20copper%20deposit%20and" w:tgtFrame="_blank" w:history="1"/>
      <w:r w:rsidRPr="00657F4D">
        <w:rPr>
          <w:rFonts w:ascii="Arial" w:hAnsi="Arial" w:cs="Arial"/>
          <w:bCs/>
          <w:sz w:val="22"/>
          <w:szCs w:val="22"/>
          <w:lang w:val="es-CL"/>
        </w:rPr>
        <w:t>.</w:t>
      </w:r>
    </w:p>
    <w:p w14:paraId="7B561213" w14:textId="77777777" w:rsidR="00657F4D" w:rsidRPr="00657F4D" w:rsidRDefault="00657F4D" w:rsidP="00657F4D">
      <w:pPr>
        <w:numPr>
          <w:ilvl w:val="0"/>
          <w:numId w:val="3"/>
        </w:numPr>
        <w:jc w:val="both"/>
        <w:rPr>
          <w:rFonts w:ascii="Arial" w:hAnsi="Arial" w:cs="Arial"/>
          <w:bCs/>
          <w:sz w:val="22"/>
          <w:szCs w:val="22"/>
          <w:lang w:val="es-CL"/>
        </w:rPr>
      </w:pPr>
      <w:r w:rsidRPr="00657F4D">
        <w:rPr>
          <w:rFonts w:ascii="Arial" w:hAnsi="Arial" w:cs="Arial"/>
          <w:b/>
          <w:bCs/>
          <w:sz w:val="22"/>
          <w:szCs w:val="22"/>
          <w:lang w:val="es-CL"/>
        </w:rPr>
        <w:t>Tecnología de Minado Subterráneo (Fundamentos de Caving y otros métodos):</w:t>
      </w:r>
      <w:r w:rsidRPr="00657F4D">
        <w:rPr>
          <w:rFonts w:ascii="Arial" w:hAnsi="Arial" w:cs="Arial"/>
          <w:bCs/>
          <w:sz w:val="22"/>
          <w:szCs w:val="22"/>
          <w:lang w:val="es-CL"/>
        </w:rPr>
        <w:t xml:space="preserve"> La selección del método minero subterráneo apropiado es en sí misma una variable crucial. Métodos masivos como </w:t>
      </w:r>
      <w:r w:rsidRPr="00657F4D">
        <w:rPr>
          <w:rFonts w:ascii="Arial" w:hAnsi="Arial" w:cs="Arial"/>
          <w:bCs/>
          <w:i/>
          <w:iCs/>
          <w:sz w:val="22"/>
          <w:szCs w:val="22"/>
          <w:lang w:val="es-CL"/>
        </w:rPr>
        <w:t>block caving</w:t>
      </w:r>
      <w:r w:rsidRPr="00657F4D">
        <w:rPr>
          <w:rFonts w:ascii="Arial" w:hAnsi="Arial" w:cs="Arial"/>
          <w:bCs/>
          <w:sz w:val="22"/>
          <w:szCs w:val="22"/>
          <w:lang w:val="es-CL"/>
        </w:rPr>
        <w:t xml:space="preserve"> o </w:t>
      </w:r>
      <w:proofErr w:type="spellStart"/>
      <w:r w:rsidRPr="00657F4D">
        <w:rPr>
          <w:rFonts w:ascii="Arial" w:hAnsi="Arial" w:cs="Arial"/>
          <w:bCs/>
          <w:i/>
          <w:iCs/>
          <w:sz w:val="22"/>
          <w:szCs w:val="22"/>
          <w:lang w:val="es-CL"/>
        </w:rPr>
        <w:t>sublevel</w:t>
      </w:r>
      <w:proofErr w:type="spellEnd"/>
      <w:r w:rsidRPr="00657F4D">
        <w:rPr>
          <w:rFonts w:ascii="Arial" w:hAnsi="Arial" w:cs="Arial"/>
          <w:bCs/>
          <w:i/>
          <w:iCs/>
          <w:sz w:val="22"/>
          <w:szCs w:val="22"/>
          <w:lang w:val="es-CL"/>
        </w:rPr>
        <w:t xml:space="preserve"> caving</w:t>
      </w:r>
      <w:r w:rsidRPr="00657F4D">
        <w:rPr>
          <w:rFonts w:ascii="Arial" w:hAnsi="Arial" w:cs="Arial"/>
          <w:bCs/>
          <w:sz w:val="22"/>
          <w:szCs w:val="22"/>
          <w:lang w:val="es-CL"/>
        </w:rPr>
        <w:t xml:space="preserve"> ofrecen grandes tasas de </w:t>
      </w:r>
      <w:proofErr w:type="gramStart"/>
      <w:r w:rsidRPr="00657F4D">
        <w:rPr>
          <w:rFonts w:ascii="Arial" w:hAnsi="Arial" w:cs="Arial"/>
          <w:bCs/>
          <w:sz w:val="22"/>
          <w:szCs w:val="22"/>
          <w:lang w:val="es-CL"/>
        </w:rPr>
        <w:t>producción</w:t>
      </w:r>
      <w:proofErr w:type="gramEnd"/>
      <w:r w:rsidRPr="00657F4D">
        <w:rPr>
          <w:rFonts w:ascii="Arial" w:hAnsi="Arial" w:cs="Arial"/>
          <w:bCs/>
          <w:sz w:val="22"/>
          <w:szCs w:val="22"/>
          <w:lang w:val="es-CL"/>
        </w:rPr>
        <w:t xml:space="preserve"> pero implican dilución y requerimientos particulares (p. ej., ciertas condiciones de hundimiento), mientras que métodos selectivos como </w:t>
      </w:r>
      <w:proofErr w:type="spellStart"/>
      <w:r w:rsidRPr="00657F4D">
        <w:rPr>
          <w:rFonts w:ascii="Arial" w:hAnsi="Arial" w:cs="Arial"/>
          <w:bCs/>
          <w:i/>
          <w:iCs/>
          <w:sz w:val="22"/>
          <w:szCs w:val="22"/>
          <w:lang w:val="es-CL"/>
        </w:rPr>
        <w:t>sublevel</w:t>
      </w:r>
      <w:proofErr w:type="spellEnd"/>
      <w:r w:rsidRPr="00657F4D">
        <w:rPr>
          <w:rFonts w:ascii="Arial" w:hAnsi="Arial" w:cs="Arial"/>
          <w:bCs/>
          <w:i/>
          <w:iCs/>
          <w:sz w:val="22"/>
          <w:szCs w:val="22"/>
          <w:lang w:val="es-CL"/>
        </w:rPr>
        <w:t xml:space="preserve"> stoping</w:t>
      </w:r>
      <w:r w:rsidRPr="00657F4D">
        <w:rPr>
          <w:rFonts w:ascii="Arial" w:hAnsi="Arial" w:cs="Arial"/>
          <w:bCs/>
          <w:sz w:val="22"/>
          <w:szCs w:val="22"/>
          <w:lang w:val="es-CL"/>
        </w:rPr>
        <w:t xml:space="preserve"> o corte y relleno tienen capacidades y costos diferentes. Cada método tiene un rango de aplicabilidad según la profundidad, el espesor del cuerpo mineral y condiciones geológicas. Adicionalmente, emergen nuevas tecnologías (minería continua, minería automatizada, métodos </w:t>
      </w:r>
      <w:proofErr w:type="spellStart"/>
      <w:r w:rsidRPr="00657F4D">
        <w:rPr>
          <w:rFonts w:ascii="Arial" w:hAnsi="Arial" w:cs="Arial"/>
          <w:bCs/>
          <w:sz w:val="22"/>
          <w:szCs w:val="22"/>
          <w:lang w:val="es-CL"/>
        </w:rPr>
        <w:t>in-situ</w:t>
      </w:r>
      <w:proofErr w:type="spellEnd"/>
      <w:r w:rsidRPr="00657F4D">
        <w:rPr>
          <w:rFonts w:ascii="Arial" w:hAnsi="Arial" w:cs="Arial"/>
          <w:bCs/>
          <w:sz w:val="22"/>
          <w:szCs w:val="22"/>
          <w:lang w:val="es-CL"/>
        </w:rPr>
        <w:t>, etc.) que podrían ofrecer rutas novedosas. Esta variable incluye evaluar qué método o combinación de métodos maximiza la extracción segura del mineral remanente. Por ejemplo, se puede analizar un escenario donde primero se aplican métodos selectivos en zonas periféricas de alta ley, seguido de un block caving central para el resto. También abarca consideraciones de diseño minero específicas, como la altura de los drawbells, el tamaño de malla de hundimiento, tamaño de cámaras, etc., que impactan la viabilidad operativa.</w:t>
      </w:r>
    </w:p>
    <w:p w14:paraId="3000680D" w14:textId="77777777" w:rsidR="00657F4D" w:rsidRPr="00657F4D" w:rsidRDefault="00657F4D" w:rsidP="00657F4D">
      <w:pPr>
        <w:numPr>
          <w:ilvl w:val="0"/>
          <w:numId w:val="3"/>
        </w:numPr>
        <w:jc w:val="both"/>
        <w:rPr>
          <w:rFonts w:ascii="Arial" w:hAnsi="Arial" w:cs="Arial"/>
          <w:bCs/>
          <w:sz w:val="22"/>
          <w:szCs w:val="22"/>
          <w:lang w:val="es-CL"/>
        </w:rPr>
      </w:pPr>
      <w:r w:rsidRPr="00657F4D">
        <w:rPr>
          <w:rFonts w:ascii="Arial" w:hAnsi="Arial" w:cs="Arial"/>
          <w:b/>
          <w:bCs/>
          <w:sz w:val="22"/>
          <w:szCs w:val="22"/>
          <w:lang w:val="es-CL"/>
        </w:rPr>
        <w:t>Aspectos Sociales, Ambientales y Regulatorios:</w:t>
      </w:r>
      <w:r w:rsidRPr="00657F4D">
        <w:rPr>
          <w:rFonts w:ascii="Arial" w:hAnsi="Arial" w:cs="Arial"/>
          <w:bCs/>
          <w:sz w:val="22"/>
          <w:szCs w:val="22"/>
          <w:lang w:val="es-CL"/>
        </w:rPr>
        <w:t xml:space="preserve"> No menos importante es el entorno externo: la comunidad local, los requisitos de permiso ambiental y otras regulaciones gubernamentales. Un proyecto subterráneo puede tener una huella superficial menor (menos impacto visual y de ruido que un rajo), pero introduce preocupaciones distintas (posibles subsidencias, uso de agua subterránea, </w:t>
      </w:r>
      <w:proofErr w:type="spellStart"/>
      <w:r w:rsidRPr="00657F4D">
        <w:rPr>
          <w:rFonts w:ascii="Arial" w:hAnsi="Arial" w:cs="Arial"/>
          <w:bCs/>
          <w:sz w:val="22"/>
          <w:szCs w:val="22"/>
          <w:lang w:val="es-CL"/>
        </w:rPr>
        <w:t>relocación</w:t>
      </w:r>
      <w:proofErr w:type="spellEnd"/>
      <w:r w:rsidRPr="00657F4D">
        <w:rPr>
          <w:rFonts w:ascii="Arial" w:hAnsi="Arial" w:cs="Arial"/>
          <w:bCs/>
          <w:sz w:val="22"/>
          <w:szCs w:val="22"/>
          <w:lang w:val="es-CL"/>
        </w:rPr>
        <w:t xml:space="preserve"> de población si se requiere infraestructura en superficie). Las comunidades pueden percibir beneficios o riesgos diferenciados con la minería subterránea; por ejemplo, es posible mantener la continuidad de empleos cuando el rajo cierra si se abre la mina subterránea, pero también surgen inquietudes por estabilidad del terreno o contaminación de acuíferos. Desde el punto de vista de permisos, iniciar una nueva fase </w:t>
      </w:r>
      <w:r w:rsidRPr="00657F4D">
        <w:rPr>
          <w:rFonts w:ascii="Arial" w:hAnsi="Arial" w:cs="Arial"/>
          <w:bCs/>
          <w:sz w:val="22"/>
          <w:szCs w:val="22"/>
          <w:lang w:val="es-CL"/>
        </w:rPr>
        <w:t xml:space="preserve">subterránea a veces implica tramitar nuevas licencias o EIA adicionales, lo cual puede ser largo y complejo. Todas estas consideraciones pueden influir: una ruta que en papel sea muy atractiva económicamente podría no ser viable si no obtiene licencia social o ambiental. Por tanto, la metodología incorpora estos factores cualitativos al evaluar la </w:t>
      </w:r>
      <w:r w:rsidRPr="00657F4D">
        <w:rPr>
          <w:rFonts w:ascii="Arial" w:hAnsi="Arial" w:cs="Arial"/>
          <w:bCs/>
          <w:i/>
          <w:iCs/>
          <w:sz w:val="22"/>
          <w:szCs w:val="22"/>
          <w:lang w:val="es-CL"/>
        </w:rPr>
        <w:t>ejecutabilidad</w:t>
      </w:r>
      <w:r w:rsidRPr="00657F4D">
        <w:rPr>
          <w:rFonts w:ascii="Arial" w:hAnsi="Arial" w:cs="Arial"/>
          <w:bCs/>
          <w:sz w:val="22"/>
          <w:szCs w:val="22"/>
          <w:lang w:val="es-CL"/>
        </w:rPr>
        <w:t xml:space="preserve"> de las rutas (ver más abajo). En resumen, se deben mapear cuáles restricciones externas existen (por ejemplo, un límite impuesto por la autoridad a la profundidad del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por proximidad a un acuífero, o una zona de no disturbio) y cómo cada alternativa las cumple o las enfrenta.</w:t>
      </w:r>
    </w:p>
    <w:p w14:paraId="1AA48C06" w14:textId="7777777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En base a estas categorías principales –geología/geotecnia, economía, timing, riesgo, tecnología y factores externos– se construye un set de variables críticas que alimentarán el análisis. Es esencial destacar que muchas de estas variables están interrelacionadas: por ejemplo, la elección de método subterráneo influirá en el </w:t>
      </w:r>
      <w:proofErr w:type="spellStart"/>
      <w:r w:rsidRPr="00657F4D">
        <w:rPr>
          <w:rFonts w:ascii="Arial" w:hAnsi="Arial" w:cs="Arial"/>
          <w:bCs/>
          <w:sz w:val="22"/>
          <w:szCs w:val="22"/>
          <w:lang w:val="es-CL"/>
        </w:rPr>
        <w:t>Capex</w:t>
      </w:r>
      <w:proofErr w:type="spellEnd"/>
      <w:r w:rsidRPr="00657F4D">
        <w:rPr>
          <w:rFonts w:ascii="Arial" w:hAnsi="Arial" w:cs="Arial"/>
          <w:bCs/>
          <w:sz w:val="22"/>
          <w:szCs w:val="22"/>
          <w:lang w:val="es-CL"/>
        </w:rPr>
        <w:t xml:space="preserve"> y en el timeline de </w:t>
      </w:r>
      <w:proofErr w:type="spellStart"/>
      <w:r w:rsidRPr="00657F4D">
        <w:rPr>
          <w:rFonts w:ascii="Arial" w:hAnsi="Arial" w:cs="Arial"/>
          <w:bCs/>
          <w:sz w:val="22"/>
          <w:szCs w:val="22"/>
          <w:lang w:val="es-CL"/>
        </w:rPr>
        <w:t>ramp</w:t>
      </w:r>
      <w:proofErr w:type="spellEnd"/>
      <w:r w:rsidRPr="00657F4D">
        <w:rPr>
          <w:rFonts w:ascii="Arial" w:hAnsi="Arial" w:cs="Arial"/>
          <w:bCs/>
          <w:sz w:val="22"/>
          <w:szCs w:val="22"/>
          <w:lang w:val="es-CL"/>
        </w:rPr>
        <w:t>-up, o la calidad geomecánica influirá en la factibilidad (permiso) de aplicar cierto método. Por ello, más que analizarlas en silos, la metodología las considera en conjunto al generar los escenarios o rutas de transición que se explican en la siguiente sección.</w:t>
      </w:r>
    </w:p>
    <w:p w14:paraId="5B0FD6EB" w14:textId="77777777" w:rsidR="002C1314" w:rsidRPr="00657F4D" w:rsidRDefault="002C1314" w:rsidP="00657F4D">
      <w:pPr>
        <w:jc w:val="both"/>
        <w:rPr>
          <w:rFonts w:ascii="Arial" w:hAnsi="Arial" w:cs="Arial"/>
          <w:bCs/>
          <w:sz w:val="22"/>
          <w:szCs w:val="22"/>
          <w:lang w:val="es-CL"/>
        </w:rPr>
      </w:pPr>
    </w:p>
    <w:p w14:paraId="359C78BA" w14:textId="77777777" w:rsid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Construcción de rutas de transición operativas</w:t>
      </w:r>
    </w:p>
    <w:p w14:paraId="78363F85" w14:textId="77777777" w:rsidR="002C1314" w:rsidRPr="00657F4D" w:rsidRDefault="002C1314" w:rsidP="00657F4D">
      <w:pPr>
        <w:jc w:val="both"/>
        <w:rPr>
          <w:rFonts w:ascii="Arial" w:hAnsi="Arial" w:cs="Arial"/>
          <w:b/>
          <w:bCs/>
          <w:sz w:val="22"/>
          <w:szCs w:val="22"/>
          <w:lang w:val="es-CL"/>
        </w:rPr>
      </w:pPr>
    </w:p>
    <w:p w14:paraId="4ED05A66"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Identificadas las principales variables de decisión, el siguiente paso es construir distintas “rutas” de desarrollo que representen alternativas estratégicas para la transición OP→UG. Cada ruta equivale a un escenario integrado que especifica </w:t>
      </w:r>
      <w:r w:rsidRPr="00657F4D">
        <w:rPr>
          <w:rFonts w:ascii="Arial" w:hAnsi="Arial" w:cs="Arial"/>
          <w:bCs/>
          <w:i/>
          <w:iCs/>
          <w:sz w:val="22"/>
          <w:szCs w:val="22"/>
          <w:lang w:val="es-CL"/>
        </w:rPr>
        <w:t>cómo</w:t>
      </w:r>
      <w:r w:rsidRPr="00657F4D">
        <w:rPr>
          <w:rFonts w:ascii="Arial" w:hAnsi="Arial" w:cs="Arial"/>
          <w:bCs/>
          <w:sz w:val="22"/>
          <w:szCs w:val="22"/>
          <w:lang w:val="es-CL"/>
        </w:rPr>
        <w:t xml:space="preserve"> se llevaría a cabo la transición en términos operativos y tecnológicos. Esto implica definir, para cada ruta, aspectos como: hasta dónde se expandirá el rajo (profundidad, fase final), qué método(s) subterráneos se emplearán, en qué secuencia temporal se invertiría y desarrollaría la mina subterránea, y cómo sería la curva de incremento de producción (</w:t>
      </w:r>
      <w:proofErr w:type="spellStart"/>
      <w:r w:rsidRPr="00657F4D">
        <w:rPr>
          <w:rFonts w:ascii="Arial" w:hAnsi="Arial" w:cs="Arial"/>
          <w:bCs/>
          <w:sz w:val="22"/>
          <w:szCs w:val="22"/>
          <w:lang w:val="es-CL"/>
        </w:rPr>
        <w:t>ramp</w:t>
      </w:r>
      <w:proofErr w:type="spellEnd"/>
      <w:r w:rsidRPr="00657F4D">
        <w:rPr>
          <w:rFonts w:ascii="Arial" w:hAnsi="Arial" w:cs="Arial"/>
          <w:bCs/>
          <w:sz w:val="22"/>
          <w:szCs w:val="22"/>
          <w:lang w:val="es-CL"/>
        </w:rPr>
        <w:t>-up) subterránea. En otras palabras, cada ruta es una configuración completa de plan minero futuro, desde el presente hasta el fin de la vida de la mina, combinando decisiones en múltiples dimensiones.</w:t>
      </w:r>
    </w:p>
    <w:p w14:paraId="2A28EB4D"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Por ejemplo, una ruta podría plantear agotar al máximo el rajo abierto antes de pasar a subterráneo (Ruta A), mientras otra ruta podría iniciar una operación subterránea piloto anticipadamente para extraer mineral profundo de alta ley en paralelo al rajo (Ruta B). Otra ruta tal vez considere detener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más temprano y comenzar directamente con un método masivo subterráneo de gran escala (Ruta C). Las combinaciones son potencialmente </w:t>
      </w:r>
      <w:r w:rsidRPr="00657F4D">
        <w:rPr>
          <w:rFonts w:ascii="Arial" w:hAnsi="Arial" w:cs="Arial"/>
          <w:bCs/>
          <w:sz w:val="22"/>
          <w:szCs w:val="22"/>
          <w:lang w:val="es-CL"/>
        </w:rPr>
        <w:lastRenderedPageBreak/>
        <w:t>numerosas, pero generalmente se exploran entre 3 y 6 rutas representativas que cubran el espectro de opciones razonables. Entre las opciones típicas que podrían diferenciar rutas, están:</w:t>
      </w:r>
    </w:p>
    <w:p w14:paraId="7ED7A031" w14:textId="0578F100" w:rsidR="00657F4D" w:rsidRPr="00657F4D" w:rsidRDefault="00657F4D" w:rsidP="00657F4D">
      <w:pPr>
        <w:numPr>
          <w:ilvl w:val="0"/>
          <w:numId w:val="4"/>
        </w:numPr>
        <w:jc w:val="both"/>
        <w:rPr>
          <w:rFonts w:ascii="Arial" w:hAnsi="Arial" w:cs="Arial"/>
          <w:bCs/>
          <w:sz w:val="22"/>
          <w:szCs w:val="22"/>
          <w:lang w:val="es-CL"/>
        </w:rPr>
      </w:pPr>
      <w:r w:rsidRPr="00657F4D">
        <w:rPr>
          <w:rFonts w:ascii="Arial" w:hAnsi="Arial" w:cs="Arial"/>
          <w:b/>
          <w:bCs/>
          <w:sz w:val="22"/>
          <w:szCs w:val="22"/>
          <w:lang w:val="es-CL"/>
        </w:rPr>
        <w:t>Método de Minería Subterránea Seleccionado:</w:t>
      </w:r>
      <w:r w:rsidRPr="00657F4D">
        <w:rPr>
          <w:rFonts w:ascii="Arial" w:hAnsi="Arial" w:cs="Arial"/>
          <w:bCs/>
          <w:sz w:val="22"/>
          <w:szCs w:val="22"/>
          <w:lang w:val="es-CL"/>
        </w:rPr>
        <w:t xml:space="preserve"> Por ejemplo, comparar una ruta que emplea </w:t>
      </w:r>
      <w:proofErr w:type="spellStart"/>
      <w:r w:rsidRPr="00657F4D">
        <w:rPr>
          <w:rFonts w:ascii="Arial" w:hAnsi="Arial" w:cs="Arial"/>
          <w:bCs/>
          <w:i/>
          <w:iCs/>
          <w:sz w:val="22"/>
          <w:szCs w:val="22"/>
          <w:lang w:val="es-CL"/>
        </w:rPr>
        <w:t>Sublevel</w:t>
      </w:r>
      <w:proofErr w:type="spellEnd"/>
      <w:r w:rsidRPr="00657F4D">
        <w:rPr>
          <w:rFonts w:ascii="Arial" w:hAnsi="Arial" w:cs="Arial"/>
          <w:bCs/>
          <w:i/>
          <w:iCs/>
          <w:sz w:val="22"/>
          <w:szCs w:val="22"/>
          <w:lang w:val="es-CL"/>
        </w:rPr>
        <w:t xml:space="preserve"> Stoping</w:t>
      </w:r>
      <w:r w:rsidRPr="00657F4D">
        <w:rPr>
          <w:rFonts w:ascii="Arial" w:hAnsi="Arial" w:cs="Arial"/>
          <w:bCs/>
          <w:sz w:val="22"/>
          <w:szCs w:val="22"/>
          <w:lang w:val="es-CL"/>
        </w:rPr>
        <w:t xml:space="preserve"> (método selectivo, inversión moderada) frente a otra que opta por </w:t>
      </w:r>
      <w:r w:rsidRPr="00657F4D">
        <w:rPr>
          <w:rFonts w:ascii="Arial" w:hAnsi="Arial" w:cs="Arial"/>
          <w:bCs/>
          <w:i/>
          <w:iCs/>
          <w:sz w:val="22"/>
          <w:szCs w:val="22"/>
          <w:lang w:val="es-CL"/>
        </w:rPr>
        <w:t>Block Caving</w:t>
      </w:r>
      <w:r w:rsidRPr="00657F4D">
        <w:rPr>
          <w:rFonts w:ascii="Arial" w:hAnsi="Arial" w:cs="Arial"/>
          <w:bCs/>
          <w:sz w:val="22"/>
          <w:szCs w:val="22"/>
          <w:lang w:val="es-CL"/>
        </w:rPr>
        <w:t xml:space="preserve"> (método masivo, alta </w:t>
      </w:r>
      <w:proofErr w:type="gramStart"/>
      <w:r w:rsidRPr="00657F4D">
        <w:rPr>
          <w:rFonts w:ascii="Arial" w:hAnsi="Arial" w:cs="Arial"/>
          <w:bCs/>
          <w:sz w:val="22"/>
          <w:szCs w:val="22"/>
          <w:lang w:val="es-CL"/>
        </w:rPr>
        <w:t>inversión</w:t>
      </w:r>
      <w:proofErr w:type="gramEnd"/>
      <w:r w:rsidRPr="00657F4D">
        <w:rPr>
          <w:rFonts w:ascii="Arial" w:hAnsi="Arial" w:cs="Arial"/>
          <w:bCs/>
          <w:sz w:val="22"/>
          <w:szCs w:val="22"/>
          <w:lang w:val="es-CL"/>
        </w:rPr>
        <w:t xml:space="preserve"> pero bajos costos operativos). Cada método afectará el perfil de producción y riesgo: block caving suele ofrecer mayor </w:t>
      </w:r>
      <w:proofErr w:type="gramStart"/>
      <w:r w:rsidRPr="00657F4D">
        <w:rPr>
          <w:rFonts w:ascii="Arial" w:hAnsi="Arial" w:cs="Arial"/>
          <w:bCs/>
          <w:sz w:val="22"/>
          <w:szCs w:val="22"/>
          <w:lang w:val="es-CL"/>
        </w:rPr>
        <w:t>producción</w:t>
      </w:r>
      <w:proofErr w:type="gramEnd"/>
      <w:r w:rsidRPr="00657F4D">
        <w:rPr>
          <w:rFonts w:ascii="Arial" w:hAnsi="Arial" w:cs="Arial"/>
          <w:bCs/>
          <w:sz w:val="22"/>
          <w:szCs w:val="22"/>
          <w:lang w:val="es-CL"/>
        </w:rPr>
        <w:t xml:space="preserve"> pero con más incertidumbre en </w:t>
      </w:r>
      <w:proofErr w:type="spellStart"/>
      <w:r w:rsidRPr="00657F4D">
        <w:rPr>
          <w:rFonts w:ascii="Arial" w:hAnsi="Arial" w:cs="Arial"/>
          <w:bCs/>
          <w:sz w:val="22"/>
          <w:szCs w:val="22"/>
          <w:lang w:val="es-CL"/>
        </w:rPr>
        <w:t>ramp</w:t>
      </w:r>
      <w:proofErr w:type="spellEnd"/>
      <w:r w:rsidRPr="00657F4D">
        <w:rPr>
          <w:rFonts w:ascii="Arial" w:hAnsi="Arial" w:cs="Arial"/>
          <w:bCs/>
          <w:sz w:val="22"/>
          <w:szCs w:val="22"/>
          <w:lang w:val="es-CL"/>
        </w:rPr>
        <w:t xml:space="preserve">-up y dilución, mientras que </w:t>
      </w:r>
      <w:proofErr w:type="spellStart"/>
      <w:r w:rsidRPr="00657F4D">
        <w:rPr>
          <w:rFonts w:ascii="Arial" w:hAnsi="Arial" w:cs="Arial"/>
          <w:bCs/>
          <w:sz w:val="22"/>
          <w:szCs w:val="22"/>
          <w:lang w:val="es-CL"/>
        </w:rPr>
        <w:t>sublevel</w:t>
      </w:r>
      <w:proofErr w:type="spellEnd"/>
      <w:r w:rsidRPr="00657F4D">
        <w:rPr>
          <w:rFonts w:ascii="Arial" w:hAnsi="Arial" w:cs="Arial"/>
          <w:bCs/>
          <w:sz w:val="22"/>
          <w:szCs w:val="22"/>
          <w:lang w:val="es-CL"/>
        </w:rPr>
        <w:t xml:space="preserve"> stoping puede iniciarse más </w:t>
      </w:r>
      <w:proofErr w:type="gramStart"/>
      <w:r w:rsidRPr="00657F4D">
        <w:rPr>
          <w:rFonts w:ascii="Arial" w:hAnsi="Arial" w:cs="Arial"/>
          <w:bCs/>
          <w:sz w:val="22"/>
          <w:szCs w:val="22"/>
          <w:lang w:val="es-CL"/>
        </w:rPr>
        <w:t>rápido</w:t>
      </w:r>
      <w:proofErr w:type="gramEnd"/>
      <w:r w:rsidRPr="00657F4D">
        <w:rPr>
          <w:rFonts w:ascii="Arial" w:hAnsi="Arial" w:cs="Arial"/>
          <w:bCs/>
          <w:sz w:val="22"/>
          <w:szCs w:val="22"/>
          <w:lang w:val="es-CL"/>
        </w:rPr>
        <w:t xml:space="preserve"> pero con menor producción anual</w:t>
      </w:r>
      <w:hyperlink r:id="rId20" w:tgtFrame="_blank" w:history="1"/>
      <w:r w:rsidRPr="00657F4D">
        <w:rPr>
          <w:rFonts w:ascii="Arial" w:hAnsi="Arial" w:cs="Arial"/>
          <w:bCs/>
          <w:sz w:val="22"/>
          <w:szCs w:val="22"/>
          <w:lang w:val="es-CL"/>
        </w:rPr>
        <w:t>.</w:t>
      </w:r>
    </w:p>
    <w:p w14:paraId="312972FC" w14:textId="48EBD0A2" w:rsidR="00657F4D" w:rsidRPr="00657F4D" w:rsidRDefault="00657F4D" w:rsidP="00657F4D">
      <w:pPr>
        <w:numPr>
          <w:ilvl w:val="0"/>
          <w:numId w:val="4"/>
        </w:numPr>
        <w:jc w:val="both"/>
        <w:rPr>
          <w:rFonts w:ascii="Arial" w:hAnsi="Arial" w:cs="Arial"/>
          <w:bCs/>
          <w:sz w:val="22"/>
          <w:szCs w:val="22"/>
          <w:lang w:val="es-CL"/>
        </w:rPr>
      </w:pPr>
      <w:r w:rsidRPr="00657F4D">
        <w:rPr>
          <w:rFonts w:ascii="Arial" w:hAnsi="Arial" w:cs="Arial"/>
          <w:b/>
          <w:bCs/>
          <w:sz w:val="22"/>
          <w:szCs w:val="22"/>
          <w:lang w:val="es-CL"/>
        </w:rPr>
        <w:t>Secuencia de Inversiones y Desarrollo:</w:t>
      </w:r>
      <w:r w:rsidRPr="00657F4D">
        <w:rPr>
          <w:rFonts w:ascii="Arial" w:hAnsi="Arial" w:cs="Arial"/>
          <w:bCs/>
          <w:sz w:val="22"/>
          <w:szCs w:val="22"/>
          <w:lang w:val="es-CL"/>
        </w:rPr>
        <w:t xml:space="preserve"> Una ruta podría escalonar la inversión en la subterránea en fases. Por ejemplo, primero desarrollar un nivel intermedio accesible con rampas para explotar 5 Mt anuales (mina piloto), y solo después -si resulta exitosa- acometer la inversión en un </w:t>
      </w:r>
      <w:proofErr w:type="spellStart"/>
      <w:r w:rsidRPr="00657F4D">
        <w:rPr>
          <w:rFonts w:ascii="Arial" w:hAnsi="Arial" w:cs="Arial"/>
          <w:bCs/>
          <w:sz w:val="22"/>
          <w:szCs w:val="22"/>
          <w:lang w:val="es-CL"/>
        </w:rPr>
        <w:t>shaft</w:t>
      </w:r>
      <w:proofErr w:type="spellEnd"/>
      <w:r w:rsidRPr="00657F4D">
        <w:rPr>
          <w:rFonts w:ascii="Arial" w:hAnsi="Arial" w:cs="Arial"/>
          <w:bCs/>
          <w:sz w:val="22"/>
          <w:szCs w:val="22"/>
          <w:lang w:val="es-CL"/>
        </w:rPr>
        <w:t xml:space="preserve"> y expansiones para llegar a 20 Mt/año con block caving</w:t>
      </w:r>
      <w:hyperlink r:id="rId21" w:tgtFrame="_blank" w:history="1"/>
      <w:r w:rsidRPr="00657F4D">
        <w:rPr>
          <w:rFonts w:ascii="Arial" w:hAnsi="Arial" w:cs="Arial"/>
          <w:bCs/>
          <w:sz w:val="22"/>
          <w:szCs w:val="22"/>
          <w:lang w:val="es-CL"/>
        </w:rPr>
        <w:t xml:space="preserve">. Otra ruta quizás plantea desde el inicio la inversión completa para un block caving a gran escala, asumiendo mayores riesgos por las economías de escala. La programación temporal de cuándo se realiza cada inversión (antes o después de terminar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por ejemplo) forma parte de la definición de la ruta.</w:t>
      </w:r>
    </w:p>
    <w:p w14:paraId="1E2CF8B4" w14:textId="77777777" w:rsidR="00657F4D" w:rsidRPr="00657F4D" w:rsidRDefault="00657F4D" w:rsidP="00657F4D">
      <w:pPr>
        <w:numPr>
          <w:ilvl w:val="0"/>
          <w:numId w:val="4"/>
        </w:numPr>
        <w:jc w:val="both"/>
        <w:rPr>
          <w:rFonts w:ascii="Arial" w:hAnsi="Arial" w:cs="Arial"/>
          <w:bCs/>
          <w:sz w:val="22"/>
          <w:szCs w:val="22"/>
          <w:lang w:val="es-CL"/>
        </w:rPr>
      </w:pPr>
      <w:r w:rsidRPr="00657F4D">
        <w:rPr>
          <w:rFonts w:ascii="Arial" w:hAnsi="Arial" w:cs="Arial"/>
          <w:b/>
          <w:bCs/>
          <w:sz w:val="22"/>
          <w:szCs w:val="22"/>
          <w:lang w:val="es-CL"/>
        </w:rPr>
        <w:t>Configuraciones Operativas y Tecnológicas:</w:t>
      </w:r>
      <w:r w:rsidRPr="00657F4D">
        <w:rPr>
          <w:rFonts w:ascii="Arial" w:hAnsi="Arial" w:cs="Arial"/>
          <w:bCs/>
          <w:sz w:val="22"/>
          <w:szCs w:val="22"/>
          <w:lang w:val="es-CL"/>
        </w:rPr>
        <w:t xml:space="preserve"> Esto abarca decisiones como incorporar nuevas tecnologías. Por ejemplo, una ruta podría suponer la introducción de equipos autónomos subterráneos o </w:t>
      </w:r>
      <w:proofErr w:type="spellStart"/>
      <w:r w:rsidRPr="00657F4D">
        <w:rPr>
          <w:rFonts w:ascii="Arial" w:hAnsi="Arial" w:cs="Arial"/>
          <w:bCs/>
          <w:i/>
          <w:iCs/>
          <w:sz w:val="22"/>
          <w:szCs w:val="22"/>
          <w:lang w:val="es-CL"/>
        </w:rPr>
        <w:t>Continuous</w:t>
      </w:r>
      <w:proofErr w:type="spellEnd"/>
      <w:r w:rsidRPr="00657F4D">
        <w:rPr>
          <w:rFonts w:ascii="Arial" w:hAnsi="Arial" w:cs="Arial"/>
          <w:bCs/>
          <w:i/>
          <w:iCs/>
          <w:sz w:val="22"/>
          <w:szCs w:val="22"/>
          <w:lang w:val="es-CL"/>
        </w:rPr>
        <w:t xml:space="preserve"> Mining</w:t>
      </w:r>
      <w:r w:rsidRPr="00657F4D">
        <w:rPr>
          <w:rFonts w:ascii="Arial" w:hAnsi="Arial" w:cs="Arial"/>
          <w:bCs/>
          <w:sz w:val="22"/>
          <w:szCs w:val="22"/>
          <w:lang w:val="es-CL"/>
        </w:rPr>
        <w:t xml:space="preserve"> para ciertos sectores, mientras otra mantiene tecnologías convencionales. También puede incluir opciones de procesamiento: quizás desarrollar una planta adicional para procesar mineral de baja ley vía lixiviación en lugar de enviarlo a relaves, cambiando la ecuación económico-ambiental de la ruta.</w:t>
      </w:r>
    </w:p>
    <w:p w14:paraId="3E4DCBFC" w14:textId="77777777" w:rsidR="00657F4D" w:rsidRPr="00657F4D" w:rsidRDefault="00657F4D" w:rsidP="00657F4D">
      <w:pPr>
        <w:numPr>
          <w:ilvl w:val="0"/>
          <w:numId w:val="4"/>
        </w:numPr>
        <w:jc w:val="both"/>
        <w:rPr>
          <w:rFonts w:ascii="Arial" w:hAnsi="Arial" w:cs="Arial"/>
          <w:bCs/>
          <w:sz w:val="22"/>
          <w:szCs w:val="22"/>
          <w:lang w:val="es-CL"/>
        </w:rPr>
      </w:pPr>
      <w:r w:rsidRPr="00657F4D">
        <w:rPr>
          <w:rFonts w:ascii="Arial" w:hAnsi="Arial" w:cs="Arial"/>
          <w:b/>
          <w:bCs/>
          <w:sz w:val="22"/>
          <w:szCs w:val="22"/>
          <w:lang w:val="es-CL"/>
        </w:rPr>
        <w:t>Interacción Pit-Underground:</w:t>
      </w:r>
      <w:r w:rsidRPr="00657F4D">
        <w:rPr>
          <w:rFonts w:ascii="Arial" w:hAnsi="Arial" w:cs="Arial"/>
          <w:bCs/>
          <w:sz w:val="22"/>
          <w:szCs w:val="22"/>
          <w:lang w:val="es-CL"/>
        </w:rPr>
        <w:t xml:space="preserve"> Las rutas difieren en cómo “conviven” o se conectan la operación superficial con la subterránea. Una ruta podría permitir operación simultánea por un periodo (extrayendo mineral remanente vía rajo en zonas periféricas mientras arranca la producción subterránea bajo 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Otras rutas suponen un cierre definitivo del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antes de arrancar UG. También entra aquí la decisión de qué hacer con material remanente: ¿dejar un pilar de corona de cierto espesor </w:t>
      </w:r>
      <w:r w:rsidRPr="00657F4D">
        <w:rPr>
          <w:rFonts w:ascii="Arial" w:hAnsi="Arial" w:cs="Arial"/>
          <w:bCs/>
          <w:sz w:val="22"/>
          <w:szCs w:val="22"/>
          <w:lang w:val="es-CL"/>
        </w:rPr>
        <w:t xml:space="preserve">protegiendo la infraestructura superficial? ¿o diseñar una mina subterránea que inicialmente se expande lateralmente fuera del perímetro del </w:t>
      </w:r>
      <w:proofErr w:type="spellStart"/>
      <w:r w:rsidRPr="00657F4D">
        <w:rPr>
          <w:rFonts w:ascii="Arial" w:hAnsi="Arial" w:cs="Arial"/>
          <w:bCs/>
          <w:sz w:val="22"/>
          <w:szCs w:val="22"/>
          <w:lang w:val="es-CL"/>
        </w:rPr>
        <w:t>pit</w:t>
      </w:r>
      <w:proofErr w:type="spellEnd"/>
      <w:r w:rsidRPr="00657F4D">
        <w:rPr>
          <w:rFonts w:ascii="Arial" w:hAnsi="Arial" w:cs="Arial"/>
          <w:bCs/>
          <w:sz w:val="22"/>
          <w:szCs w:val="22"/>
          <w:lang w:val="es-CL"/>
        </w:rPr>
        <w:t xml:space="preserve"> para luego minar hacia el centro? Estas decisiones afectan la seguridad y recuperación total.</w:t>
      </w:r>
    </w:p>
    <w:p w14:paraId="49975E09" w14:textId="068FCBA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Cada ruta construida debe ser lógica y factible dentro de sí misma, respetando las coherencias técnicas (no tendría sentido combinar, por ejemplo, un método subterráneo muy selectivo con una meta de producción gigantesca sin antes desarrollar muchas áreas en paralelo). En nuestra metodología se emplea una representación en forma de “nodos y arcos” para conceptualizar rutas</w:t>
      </w:r>
      <w:hyperlink r:id="rId22" w:tgtFrame="_blank" w:history="1"/>
      <w:hyperlink r:id="rId23" w:tgtFrame="_blank" w:history="1"/>
      <w:r w:rsidRPr="00657F4D">
        <w:rPr>
          <w:rFonts w:ascii="Arial" w:hAnsi="Arial" w:cs="Arial"/>
          <w:bCs/>
          <w:sz w:val="22"/>
          <w:szCs w:val="22"/>
          <w:lang w:val="es-CL"/>
        </w:rPr>
        <w:t>: cada nodo representa una decisión o módulo (p. ej., expandir rajo, iniciar mina subterránea pequeña, pasar a mina grande, incorporar tecnología X), y una ruta es una trayectoria que conecta nodos en un orden determinado. La Figura 1 ilustra esquemáticamente el problema de decidir dónde terminar el rajo y empezar la mina subterránea, con un perfil conceptual de la transición.</w:t>
      </w:r>
    </w:p>
    <w:p w14:paraId="70EA0D19" w14:textId="77777777" w:rsidR="005472E7" w:rsidRDefault="005472E7" w:rsidP="00657F4D">
      <w:pPr>
        <w:jc w:val="both"/>
        <w:rPr>
          <w:rFonts w:ascii="Arial" w:hAnsi="Arial" w:cs="Arial"/>
          <w:bCs/>
          <w:sz w:val="22"/>
          <w:szCs w:val="22"/>
          <w:lang w:val="es-CL"/>
        </w:rPr>
      </w:pPr>
    </w:p>
    <w:p w14:paraId="12436183" w14:textId="69FB5330" w:rsidR="005472E7" w:rsidRPr="00657F4D" w:rsidRDefault="00142F3A" w:rsidP="00657F4D">
      <w:pPr>
        <w:jc w:val="both"/>
        <w:rPr>
          <w:rFonts w:ascii="Arial" w:hAnsi="Arial" w:cs="Arial"/>
          <w:bCs/>
          <w:sz w:val="22"/>
          <w:szCs w:val="22"/>
          <w:lang w:val="es-CL"/>
        </w:rPr>
      </w:pPr>
      <w:r>
        <w:rPr>
          <w:rFonts w:ascii="Arial" w:hAnsi="Arial" w:cs="Arial"/>
          <w:bCs/>
          <w:noProof/>
          <w:sz w:val="22"/>
          <w:szCs w:val="22"/>
          <w:lang w:val="es-CL"/>
        </w:rPr>
        <w:drawing>
          <wp:inline distT="0" distB="0" distL="0" distR="0" wp14:anchorId="6B857DAE" wp14:editId="3DE07FAC">
            <wp:extent cx="3162248" cy="2234257"/>
            <wp:effectExtent l="0" t="0" r="0" b="0"/>
            <wp:docPr id="15128958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114" cy="2240521"/>
                    </a:xfrm>
                    <a:prstGeom prst="rect">
                      <a:avLst/>
                    </a:prstGeom>
                    <a:noFill/>
                  </pic:spPr>
                </pic:pic>
              </a:graphicData>
            </a:graphic>
          </wp:inline>
        </w:drawing>
      </w:r>
    </w:p>
    <w:p w14:paraId="4EFF50CA" w14:textId="4522B33E" w:rsidR="00657F4D" w:rsidRPr="005472E7" w:rsidRDefault="00657F4D" w:rsidP="00657F4D">
      <w:pPr>
        <w:jc w:val="both"/>
        <w:rPr>
          <w:rFonts w:ascii="Arial" w:hAnsi="Arial" w:cs="Arial"/>
          <w:bCs/>
          <w:i/>
          <w:iCs/>
          <w:sz w:val="18"/>
          <w:szCs w:val="18"/>
          <w:lang w:val="es-CL"/>
        </w:rPr>
      </w:pPr>
      <w:r w:rsidRPr="00657F4D">
        <w:rPr>
          <w:rFonts w:ascii="Arial" w:hAnsi="Arial" w:cs="Arial"/>
          <w:bCs/>
          <w:i/>
          <w:iCs/>
          <w:sz w:val="18"/>
          <w:szCs w:val="18"/>
          <w:lang w:val="es-CL"/>
        </w:rPr>
        <w:t>Figura 1.</w:t>
      </w:r>
      <w:r w:rsidRPr="00657F4D">
        <w:rPr>
          <w:rFonts w:ascii="Arial" w:hAnsi="Arial" w:cs="Arial"/>
          <w:bCs/>
          <w:sz w:val="18"/>
          <w:szCs w:val="18"/>
          <w:lang w:val="es-CL"/>
        </w:rPr>
        <w:t xml:space="preserve"> Representación esquemática general del problema de transición de minería a rajo abierto a minería subterránea, mostrando un rajo final óptimo teórico y la ubicación de la mina subterránea con su respectivo pilar de corona</w:t>
      </w:r>
      <w:hyperlink r:id="rId25" w:anchor=":~:text=...%20determination%20of%20this%20depth," w:tgtFrame="_blank" w:history="1"/>
      <w:r w:rsidRPr="00657F4D">
        <w:rPr>
          <w:rFonts w:ascii="Arial" w:hAnsi="Arial" w:cs="Arial"/>
          <w:bCs/>
          <w:sz w:val="18"/>
          <w:szCs w:val="18"/>
          <w:lang w:val="es-CL"/>
        </w:rPr>
        <w:t xml:space="preserve">. </w:t>
      </w:r>
      <w:r w:rsidRPr="00657F4D">
        <w:rPr>
          <w:rFonts w:ascii="Arial" w:hAnsi="Arial" w:cs="Arial"/>
          <w:bCs/>
          <w:i/>
          <w:iCs/>
          <w:sz w:val="18"/>
          <w:szCs w:val="18"/>
          <w:lang w:val="es-CL"/>
        </w:rPr>
        <w:t>Decidir la profundidad óptima de transición es crucial para maximizar el valor total; diversos autores han estudiado este problema combinando evaluaciones económicas y geotécnicas.</w:t>
      </w:r>
    </w:p>
    <w:p w14:paraId="2D177527" w14:textId="77777777" w:rsidR="005472E7" w:rsidRPr="00657F4D" w:rsidRDefault="005472E7" w:rsidP="00657F4D">
      <w:pPr>
        <w:jc w:val="both"/>
        <w:rPr>
          <w:rFonts w:ascii="Arial" w:hAnsi="Arial" w:cs="Arial"/>
          <w:bCs/>
          <w:sz w:val="22"/>
          <w:szCs w:val="22"/>
          <w:lang w:val="es-CL"/>
        </w:rPr>
      </w:pPr>
    </w:p>
    <w:p w14:paraId="33CB4733" w14:textId="55848AE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Al generar las rutas, se aprovecha experiencia de proyectos similares y conocimiento experto. Por ejemplo, Samis (2024) documentó un caso en que una compañía adoptó un enfoque escalonado para desarrollar </w:t>
      </w:r>
      <w:proofErr w:type="gramStart"/>
      <w:r w:rsidRPr="00657F4D">
        <w:rPr>
          <w:rFonts w:ascii="Arial" w:hAnsi="Arial" w:cs="Arial"/>
          <w:bCs/>
          <w:sz w:val="22"/>
          <w:szCs w:val="22"/>
          <w:lang w:val="es-CL"/>
        </w:rPr>
        <w:t>sucesivos block</w:t>
      </w:r>
      <w:proofErr w:type="gramEnd"/>
      <w:r w:rsidRPr="00657F4D">
        <w:rPr>
          <w:rFonts w:ascii="Arial" w:hAnsi="Arial" w:cs="Arial"/>
          <w:bCs/>
          <w:sz w:val="22"/>
          <w:szCs w:val="22"/>
          <w:lang w:val="es-CL"/>
        </w:rPr>
        <w:t xml:space="preserve"> caving en un gran pórfido cuprífero, tomando decisiones de inversión en distintos hitos temporales futuros en función de cómo evolucionara la primera fase</w:t>
      </w:r>
      <w:hyperlink r:id="rId26" w:tgtFrame="_blank" w:history="1"/>
      <w:r w:rsidRPr="00657F4D">
        <w:rPr>
          <w:rFonts w:ascii="Arial" w:hAnsi="Arial" w:cs="Arial"/>
          <w:bCs/>
          <w:sz w:val="22"/>
          <w:szCs w:val="22"/>
          <w:lang w:val="es-CL"/>
        </w:rPr>
        <w:t xml:space="preserve">. Inspirados en ese concepto, nuestras rutas suelen incluir una opción de </w:t>
      </w:r>
      <w:r w:rsidRPr="00657F4D">
        <w:rPr>
          <w:rFonts w:ascii="Arial" w:hAnsi="Arial" w:cs="Arial"/>
          <w:bCs/>
          <w:i/>
          <w:iCs/>
          <w:sz w:val="22"/>
          <w:szCs w:val="22"/>
          <w:lang w:val="es-CL"/>
        </w:rPr>
        <w:t>“crecimiento por etapas”</w:t>
      </w:r>
      <w:r w:rsidRPr="00657F4D">
        <w:rPr>
          <w:rFonts w:ascii="Arial" w:hAnsi="Arial" w:cs="Arial"/>
          <w:bCs/>
          <w:sz w:val="22"/>
          <w:szCs w:val="22"/>
          <w:lang w:val="es-CL"/>
        </w:rPr>
        <w:t xml:space="preserve"> donde la primera fase subterránea es de menor escala (pero suficiente para familiarizarse con el método y geología en profundidad) y las fases subsiguientes </w:t>
      </w:r>
      <w:r w:rsidRPr="00657F4D">
        <w:rPr>
          <w:rFonts w:ascii="Arial" w:hAnsi="Arial" w:cs="Arial"/>
          <w:bCs/>
          <w:sz w:val="22"/>
          <w:szCs w:val="22"/>
          <w:lang w:val="es-CL"/>
        </w:rPr>
        <w:lastRenderedPageBreak/>
        <w:t xml:space="preserve">amplían la </w:t>
      </w:r>
      <w:proofErr w:type="gramStart"/>
      <w:r w:rsidRPr="00657F4D">
        <w:rPr>
          <w:rFonts w:ascii="Arial" w:hAnsi="Arial" w:cs="Arial"/>
          <w:bCs/>
          <w:sz w:val="22"/>
          <w:szCs w:val="22"/>
          <w:lang w:val="es-CL"/>
        </w:rPr>
        <w:t>capacidad una vez reducido</w:t>
      </w:r>
      <w:proofErr w:type="gramEnd"/>
      <w:r w:rsidRPr="00657F4D">
        <w:rPr>
          <w:rFonts w:ascii="Arial" w:hAnsi="Arial" w:cs="Arial"/>
          <w:bCs/>
          <w:sz w:val="22"/>
          <w:szCs w:val="22"/>
          <w:lang w:val="es-CL"/>
        </w:rPr>
        <w:t xml:space="preserve"> el riesgo geológico y operativo.</w:t>
      </w:r>
    </w:p>
    <w:p w14:paraId="187745FF" w14:textId="7777777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Cada ruta propuesta debe luego validarse preliminarmente para asegurar que es técnicamente realizable (por ejemplo, verificar que haya acceso al cuerpo mineral para el método propuesto, que la secuencia de extracción no viole restricciones geomecánicas, etc.). Este es un proceso iterativo: si una ruta resulta demasiado irreal o inviable, se modifica o descarta. El resultado de esta etapa es un conjunto de rutas alternativas (R0, R1, R2... Rn, donde R0 podría ser el caso base siguiendo el plan tradicional) que serán evaluadas cuantitativamente en las siguientes fases.</w:t>
      </w:r>
    </w:p>
    <w:p w14:paraId="6A0B0BBB" w14:textId="77777777" w:rsidR="00142F3A" w:rsidRDefault="00142F3A" w:rsidP="00657F4D">
      <w:pPr>
        <w:jc w:val="both"/>
        <w:rPr>
          <w:rFonts w:ascii="Arial" w:hAnsi="Arial" w:cs="Arial"/>
          <w:bCs/>
          <w:sz w:val="22"/>
          <w:szCs w:val="22"/>
          <w:lang w:val="es-CL"/>
        </w:rPr>
      </w:pPr>
    </w:p>
    <w:p w14:paraId="32C512A4" w14:textId="77777777" w:rsid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Uso de simulación estocástica (herramientas SIMPLAN y SIMVAL)</w:t>
      </w:r>
    </w:p>
    <w:p w14:paraId="1CA2E957" w14:textId="77777777" w:rsidR="002C1314" w:rsidRPr="00657F4D" w:rsidRDefault="002C1314" w:rsidP="00657F4D">
      <w:pPr>
        <w:jc w:val="both"/>
        <w:rPr>
          <w:rFonts w:ascii="Arial" w:hAnsi="Arial" w:cs="Arial"/>
          <w:b/>
          <w:bCs/>
          <w:sz w:val="22"/>
          <w:szCs w:val="22"/>
          <w:lang w:val="es-CL"/>
        </w:rPr>
      </w:pPr>
    </w:p>
    <w:p w14:paraId="4D68F099"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Una vez definidas las rutas de transición a analizar, la metodología aplica modelos de simulación estocástica para evaluar el desempeño esperado de cada ruta bajo incertidumbre. En particular, se emplean dos herramientas desarrolladas internamente: SIMPLAN y SIMVAL, las cuales actúan de forma complementaria.</w:t>
      </w:r>
    </w:p>
    <w:p w14:paraId="4DE30150" w14:textId="7B130402"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SIMPLAN (Planificación Simulada) es un modelo de simulación diseñado para representar la cadena de valor completa de la operación minera, desde la extracción mina (sea rajo o subterránea) hasta el procesamiento en planta, incorporando las restricciones y variabilidades de cada etapa</w:t>
      </w:r>
      <w:hyperlink r:id="rId27" w:tgtFrame="_blank" w:history="1"/>
      <w:r w:rsidRPr="00657F4D">
        <w:rPr>
          <w:rFonts w:ascii="Arial" w:hAnsi="Arial" w:cs="Arial"/>
          <w:bCs/>
          <w:sz w:val="22"/>
          <w:szCs w:val="22"/>
          <w:lang w:val="es-CL"/>
        </w:rPr>
        <w:t xml:space="preserve">. En esencia, SIMPLAN permite </w:t>
      </w:r>
      <w:r w:rsidRPr="00657F4D">
        <w:rPr>
          <w:rFonts w:ascii="Arial" w:hAnsi="Arial" w:cs="Arial"/>
          <w:bCs/>
          <w:i/>
          <w:iCs/>
          <w:sz w:val="22"/>
          <w:szCs w:val="22"/>
          <w:lang w:val="es-CL"/>
        </w:rPr>
        <w:t>prototipar</w:t>
      </w:r>
      <w:r w:rsidRPr="00657F4D">
        <w:rPr>
          <w:rFonts w:ascii="Arial" w:hAnsi="Arial" w:cs="Arial"/>
          <w:bCs/>
          <w:sz w:val="22"/>
          <w:szCs w:val="22"/>
          <w:lang w:val="es-CL"/>
        </w:rPr>
        <w:t xml:space="preserve"> el comportamiento de una ruta dada en un ambiente virtual. Se ingresan como datos las características específicas de la ruta: secuencia de extracción por períodos (de ambos modos de mina), capacidades de equipos, tasas de desarrollo, leyes esperadas, rendimiento de planta, etc., junto con la incertidumbre asociada a varios de esos parámetros. Por ejemplo, se incluyen simulaciones geológicas (múltiples realizaciones del modelo de bloques, reflejando la incertidumbre en leyes y tonelajes), variaciones en la productividad real de desarrollo subterráneo, posibles retrasos logísticos, fluctuaciones en disponibilidades de equipos, etc. De este modo, en lugar de un único resultado determinista, cada ruta se somete a cientos o miles de iteraciones Monte Carlo en SIMPLAN, produciendo un rango de resultados probabilísticos para métricas clave: producción anual, ley promedio, costo operativo anual, etc.</w:t>
      </w:r>
      <w:hyperlink r:id="rId28" w:tgtFrame="_blank" w:history="1"/>
      <w:r w:rsidRPr="00657F4D">
        <w:rPr>
          <w:rFonts w:ascii="Arial" w:hAnsi="Arial" w:cs="Arial"/>
          <w:bCs/>
          <w:sz w:val="22"/>
          <w:szCs w:val="22"/>
          <w:lang w:val="es-CL"/>
        </w:rPr>
        <w:t xml:space="preserve">. Por ejemplo, en vez de decir “la Ruta 1 producirá 50 </w:t>
      </w:r>
      <w:proofErr w:type="spellStart"/>
      <w:r w:rsidRPr="00657F4D">
        <w:rPr>
          <w:rFonts w:ascii="Arial" w:hAnsi="Arial" w:cs="Arial"/>
          <w:bCs/>
          <w:sz w:val="22"/>
          <w:szCs w:val="22"/>
          <w:lang w:val="es-CL"/>
        </w:rPr>
        <w:t>kt</w:t>
      </w:r>
      <w:proofErr w:type="spellEnd"/>
      <w:r w:rsidRPr="00657F4D">
        <w:rPr>
          <w:rFonts w:ascii="Arial" w:hAnsi="Arial" w:cs="Arial"/>
          <w:bCs/>
          <w:sz w:val="22"/>
          <w:szCs w:val="22"/>
          <w:lang w:val="es-CL"/>
        </w:rPr>
        <w:t xml:space="preserve"> de Cu fino al año”, la simulación podría indicar “con 90% de confianza la Ruta 1 producirá entre 45 y 55 </w:t>
      </w:r>
      <w:proofErr w:type="spellStart"/>
      <w:r w:rsidRPr="00657F4D">
        <w:rPr>
          <w:rFonts w:ascii="Arial" w:hAnsi="Arial" w:cs="Arial"/>
          <w:bCs/>
          <w:sz w:val="22"/>
          <w:szCs w:val="22"/>
          <w:lang w:val="es-CL"/>
        </w:rPr>
        <w:t>kt</w:t>
      </w:r>
      <w:proofErr w:type="spellEnd"/>
      <w:r w:rsidRPr="00657F4D">
        <w:rPr>
          <w:rFonts w:ascii="Arial" w:hAnsi="Arial" w:cs="Arial"/>
          <w:bCs/>
          <w:sz w:val="22"/>
          <w:szCs w:val="22"/>
          <w:lang w:val="es-CL"/>
        </w:rPr>
        <w:t xml:space="preserve"> de Cu; el valor </w:t>
      </w:r>
      <w:r w:rsidRPr="00657F4D">
        <w:rPr>
          <w:rFonts w:ascii="Arial" w:hAnsi="Arial" w:cs="Arial"/>
          <w:bCs/>
          <w:i/>
          <w:iCs/>
          <w:sz w:val="22"/>
          <w:szCs w:val="22"/>
          <w:lang w:val="es-CL"/>
        </w:rPr>
        <w:t>P50</w:t>
      </w:r>
      <w:r w:rsidRPr="00657F4D">
        <w:rPr>
          <w:rFonts w:ascii="Arial" w:hAnsi="Arial" w:cs="Arial"/>
          <w:bCs/>
          <w:sz w:val="22"/>
          <w:szCs w:val="22"/>
          <w:lang w:val="es-CL"/>
        </w:rPr>
        <w:t xml:space="preserve"> es 50 </w:t>
      </w:r>
      <w:proofErr w:type="spellStart"/>
      <w:r w:rsidRPr="00657F4D">
        <w:rPr>
          <w:rFonts w:ascii="Arial" w:hAnsi="Arial" w:cs="Arial"/>
          <w:bCs/>
          <w:sz w:val="22"/>
          <w:szCs w:val="22"/>
          <w:lang w:val="es-CL"/>
        </w:rPr>
        <w:t>kt</w:t>
      </w:r>
      <w:proofErr w:type="spellEnd"/>
      <w:r w:rsidRPr="00657F4D">
        <w:rPr>
          <w:rFonts w:ascii="Arial" w:hAnsi="Arial" w:cs="Arial"/>
          <w:bCs/>
          <w:sz w:val="22"/>
          <w:szCs w:val="22"/>
          <w:lang w:val="es-CL"/>
        </w:rPr>
        <w:t>”. Esto ofrece una visión mucho más realista y robusta del desempeño esperado, identificando las posibles desviaciones respecto al plan.</w:t>
      </w:r>
    </w:p>
    <w:p w14:paraId="18B62AD7" w14:textId="238DC161"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SIMVAL (Valoración Simulada) por su parte se enfoca en la evaluación económico-financiera de cada ruta bajo incertidumbre. Toma como insumos tanto resultados de SIMPLAN (ej. distribuciones de producción, consumos, etc.) como variables económico-comerciales inciertas: principalmente los precios de los metales, pero también inflación de costos, tasas de cambio, etc., según aplique. SIMVAL realiza simulaciones Monte Carlo sobre el modelo financiero del proyecto –que calcula flujos de caja, NPV, TIR, </w:t>
      </w:r>
      <w:proofErr w:type="spellStart"/>
      <w:r w:rsidRPr="00657F4D">
        <w:rPr>
          <w:rFonts w:ascii="Arial" w:hAnsi="Arial" w:cs="Arial"/>
          <w:bCs/>
          <w:sz w:val="22"/>
          <w:szCs w:val="22"/>
          <w:lang w:val="es-CL"/>
        </w:rPr>
        <w:t>payback</w:t>
      </w:r>
      <w:proofErr w:type="spellEnd"/>
      <w:r w:rsidRPr="00657F4D">
        <w:rPr>
          <w:rFonts w:ascii="Arial" w:hAnsi="Arial" w:cs="Arial"/>
          <w:bCs/>
          <w:sz w:val="22"/>
          <w:szCs w:val="22"/>
          <w:lang w:val="es-CL"/>
        </w:rPr>
        <w:t>– propagando la incertidumbre de los insumos. El resultado para cada ruta es una distribución probabilística de NPV y otros indicadores financieros</w:t>
      </w:r>
      <w:hyperlink r:id="rId29" w:tgtFrame="_blank" w:history="1"/>
      <w:r w:rsidRPr="00657F4D">
        <w:rPr>
          <w:rFonts w:ascii="Arial" w:hAnsi="Arial" w:cs="Arial"/>
          <w:bCs/>
          <w:sz w:val="22"/>
          <w:szCs w:val="22"/>
          <w:lang w:val="es-CL"/>
        </w:rPr>
        <w:t xml:space="preserve">. Así se pueden obtener, por ejemplo: el NPV P90, P50, P10 de una ruta (valores de neto presente con 90%, 50%, 10% de probabilidad de excedencia), la probabilidad de que la TIR supere el </w:t>
      </w:r>
      <w:proofErr w:type="spellStart"/>
      <w:r w:rsidRPr="00657F4D">
        <w:rPr>
          <w:rFonts w:ascii="Arial" w:hAnsi="Arial" w:cs="Arial"/>
          <w:bCs/>
          <w:sz w:val="22"/>
          <w:szCs w:val="22"/>
          <w:lang w:val="es-CL"/>
        </w:rPr>
        <w:t>hurdle</w:t>
      </w:r>
      <w:proofErr w:type="spellEnd"/>
      <w:r w:rsidRPr="00657F4D">
        <w:rPr>
          <w:rFonts w:ascii="Arial" w:hAnsi="Arial" w:cs="Arial"/>
          <w:bCs/>
          <w:sz w:val="22"/>
          <w:szCs w:val="22"/>
          <w:lang w:val="es-CL"/>
        </w:rPr>
        <w:t xml:space="preserve"> </w:t>
      </w:r>
      <w:proofErr w:type="spellStart"/>
      <w:r w:rsidRPr="00657F4D">
        <w:rPr>
          <w:rFonts w:ascii="Arial" w:hAnsi="Arial" w:cs="Arial"/>
          <w:bCs/>
          <w:sz w:val="22"/>
          <w:szCs w:val="22"/>
          <w:lang w:val="es-CL"/>
        </w:rPr>
        <w:t>rate</w:t>
      </w:r>
      <w:proofErr w:type="spellEnd"/>
      <w:r w:rsidRPr="00657F4D">
        <w:rPr>
          <w:rFonts w:ascii="Arial" w:hAnsi="Arial" w:cs="Arial"/>
          <w:bCs/>
          <w:sz w:val="22"/>
          <w:szCs w:val="22"/>
          <w:lang w:val="es-CL"/>
        </w:rPr>
        <w:t xml:space="preserve"> requerido, etc. Este enfoque de </w:t>
      </w:r>
      <w:r w:rsidRPr="00657F4D">
        <w:rPr>
          <w:rFonts w:ascii="Arial" w:hAnsi="Arial" w:cs="Arial"/>
          <w:bCs/>
          <w:i/>
          <w:iCs/>
          <w:sz w:val="22"/>
          <w:szCs w:val="22"/>
          <w:lang w:val="es-CL"/>
        </w:rPr>
        <w:t>Simulación de Valor</w:t>
      </w:r>
      <w:r w:rsidRPr="00657F4D">
        <w:rPr>
          <w:rFonts w:ascii="Arial" w:hAnsi="Arial" w:cs="Arial"/>
          <w:bCs/>
          <w:sz w:val="22"/>
          <w:szCs w:val="22"/>
          <w:lang w:val="es-CL"/>
        </w:rPr>
        <w:t xml:space="preserve"> permite cuantificar formalmente el Value at Risk en términos monetarios para cada alternativa de transición. Por ejemplo, si la Ruta A tiene un NPV medio de 1000 </w:t>
      </w:r>
      <w:proofErr w:type="gramStart"/>
      <w:r w:rsidRPr="00657F4D">
        <w:rPr>
          <w:rFonts w:ascii="Arial" w:hAnsi="Arial" w:cs="Arial"/>
          <w:bCs/>
          <w:sz w:val="22"/>
          <w:szCs w:val="22"/>
          <w:lang w:val="es-CL"/>
        </w:rPr>
        <w:t>MUSD</w:t>
      </w:r>
      <w:proofErr w:type="gramEnd"/>
      <w:r w:rsidRPr="00657F4D">
        <w:rPr>
          <w:rFonts w:ascii="Arial" w:hAnsi="Arial" w:cs="Arial"/>
          <w:bCs/>
          <w:sz w:val="22"/>
          <w:szCs w:val="22"/>
          <w:lang w:val="es-CL"/>
        </w:rPr>
        <w:t xml:space="preserve"> pero un NPV@P10 de solo 800 MUSD, significa que en un escenario pesimista podría generar solo 800 M (20% debajo de lo esperado). En cambio, quizás la Ruta B tenga un NPV medio de 900 </w:t>
      </w:r>
      <w:proofErr w:type="gramStart"/>
      <w:r w:rsidRPr="00657F4D">
        <w:rPr>
          <w:rFonts w:ascii="Arial" w:hAnsi="Arial" w:cs="Arial"/>
          <w:bCs/>
          <w:sz w:val="22"/>
          <w:szCs w:val="22"/>
          <w:lang w:val="es-CL"/>
        </w:rPr>
        <w:t>MUSD</w:t>
      </w:r>
      <w:proofErr w:type="gramEnd"/>
      <w:r w:rsidRPr="00657F4D">
        <w:rPr>
          <w:rFonts w:ascii="Arial" w:hAnsi="Arial" w:cs="Arial"/>
          <w:bCs/>
          <w:sz w:val="22"/>
          <w:szCs w:val="22"/>
          <w:lang w:val="es-CL"/>
        </w:rPr>
        <w:t xml:space="preserve"> pero con P10 de 850 M (menos dispersión). Esa información es valiosa para la toma de decisiones, especialmente bajo diferentes apetitos de riesgo.</w:t>
      </w:r>
    </w:p>
    <w:p w14:paraId="1F96263E" w14:textId="2F9A695D"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En términos prácticos, SIMPLAN y SIMVAL se ejecutan en conjunto de forma iterativa. Para cada ruta, primero SIMPLAN simula las operaciones mineras y genera series de producción y costos operativos anuales (entre otros outputs). Esos outputs alimentan a SIMVAL, que agrega capas financieras (</w:t>
      </w:r>
      <w:proofErr w:type="spellStart"/>
      <w:r w:rsidRPr="00657F4D">
        <w:rPr>
          <w:rFonts w:ascii="Arial" w:hAnsi="Arial" w:cs="Arial"/>
          <w:bCs/>
          <w:sz w:val="22"/>
          <w:szCs w:val="22"/>
          <w:lang w:val="es-CL"/>
        </w:rPr>
        <w:t>capex</w:t>
      </w:r>
      <w:proofErr w:type="spellEnd"/>
      <w:r w:rsidRPr="00657F4D">
        <w:rPr>
          <w:rFonts w:ascii="Arial" w:hAnsi="Arial" w:cs="Arial"/>
          <w:bCs/>
          <w:sz w:val="22"/>
          <w:szCs w:val="22"/>
          <w:lang w:val="es-CL"/>
        </w:rPr>
        <w:t xml:space="preserve">, impuestos, precios, etc.) y calcula métricas económicas. Todo esto repetido en múltiples simulaciones. El resultado se puede visualizar como curvas de riesgo o tableros de indicadores. En estudios recientes, la aplicación de este enfoque estocástico ha evidenciado mejoras notables en la valorización: por ejemplo, </w:t>
      </w:r>
      <w:proofErr w:type="spellStart"/>
      <w:r w:rsidRPr="00657F4D">
        <w:rPr>
          <w:rFonts w:ascii="Arial" w:hAnsi="Arial" w:cs="Arial"/>
          <w:bCs/>
          <w:sz w:val="22"/>
          <w:szCs w:val="22"/>
          <w:lang w:val="es-CL"/>
        </w:rPr>
        <w:t>MacNeil</w:t>
      </w:r>
      <w:proofErr w:type="spellEnd"/>
      <w:r w:rsidRPr="00657F4D">
        <w:rPr>
          <w:rFonts w:ascii="Arial" w:hAnsi="Arial" w:cs="Arial"/>
          <w:bCs/>
          <w:sz w:val="22"/>
          <w:szCs w:val="22"/>
          <w:lang w:val="es-CL"/>
        </w:rPr>
        <w:t xml:space="preserve"> y </w:t>
      </w:r>
      <w:proofErr w:type="spellStart"/>
      <w:r w:rsidRPr="00657F4D">
        <w:rPr>
          <w:rFonts w:ascii="Arial" w:hAnsi="Arial" w:cs="Arial"/>
          <w:bCs/>
          <w:sz w:val="22"/>
          <w:szCs w:val="22"/>
          <w:lang w:val="es-CL"/>
        </w:rPr>
        <w:t>Dimitrakopoulos</w:t>
      </w:r>
      <w:proofErr w:type="spellEnd"/>
      <w:r w:rsidRPr="00657F4D">
        <w:rPr>
          <w:rFonts w:ascii="Arial" w:hAnsi="Arial" w:cs="Arial"/>
          <w:bCs/>
          <w:sz w:val="22"/>
          <w:szCs w:val="22"/>
          <w:lang w:val="es-CL"/>
        </w:rPr>
        <w:t xml:space="preserve"> (2017) reportaron hasta un 5%–15% más de NPV en planes </w:t>
      </w:r>
      <w:r w:rsidR="002C1314" w:rsidRPr="00657F4D">
        <w:rPr>
          <w:rFonts w:ascii="Arial" w:hAnsi="Arial" w:cs="Arial"/>
          <w:bCs/>
          <w:sz w:val="22"/>
          <w:szCs w:val="22"/>
          <w:lang w:val="es-CL"/>
        </w:rPr>
        <w:t>estocásticos</w:t>
      </w:r>
      <w:r w:rsidRPr="00657F4D">
        <w:rPr>
          <w:rFonts w:ascii="Arial" w:hAnsi="Arial" w:cs="Arial"/>
          <w:bCs/>
          <w:sz w:val="22"/>
          <w:szCs w:val="22"/>
          <w:lang w:val="es-CL"/>
        </w:rPr>
        <w:t xml:space="preserve"> óptimos comparados con planes tradicionales para un caso de transición, gracias a la capacidad de capturar material adicional con incertidumbre controlada</w:t>
      </w:r>
      <w:hyperlink r:id="rId30" w:tgtFrame="_blank" w:history="1"/>
      <w:hyperlink r:id="rId31" w:tgtFrame="_blank" w:history="1"/>
      <w:r w:rsidRPr="00657F4D">
        <w:rPr>
          <w:rFonts w:ascii="Arial" w:hAnsi="Arial" w:cs="Arial"/>
          <w:bCs/>
          <w:sz w:val="22"/>
          <w:szCs w:val="22"/>
          <w:lang w:val="es-CL"/>
        </w:rPr>
        <w:t xml:space="preserve">. También se ha observado que ciertos escenarios de cola (peor caso) pueden gestionarse mejor con estrategias modulares, reduciendo la probabilidad de </w:t>
      </w:r>
      <w:proofErr w:type="spellStart"/>
      <w:r w:rsidRPr="00657F4D">
        <w:rPr>
          <w:rFonts w:ascii="Arial" w:hAnsi="Arial" w:cs="Arial"/>
          <w:bCs/>
          <w:sz w:val="22"/>
          <w:szCs w:val="22"/>
          <w:lang w:val="es-CL"/>
        </w:rPr>
        <w:t>outcomes</w:t>
      </w:r>
      <w:proofErr w:type="spellEnd"/>
      <w:r w:rsidRPr="00657F4D">
        <w:rPr>
          <w:rFonts w:ascii="Arial" w:hAnsi="Arial" w:cs="Arial"/>
          <w:bCs/>
          <w:sz w:val="22"/>
          <w:szCs w:val="22"/>
          <w:lang w:val="es-CL"/>
        </w:rPr>
        <w:t xml:space="preserve"> catastróficos.</w:t>
      </w:r>
    </w:p>
    <w:p w14:paraId="2DD8EAB3" w14:textId="77777777" w:rsidR="00142F3A" w:rsidRDefault="00142F3A" w:rsidP="00657F4D">
      <w:pPr>
        <w:jc w:val="both"/>
        <w:rPr>
          <w:rFonts w:ascii="Arial" w:hAnsi="Arial" w:cs="Arial"/>
          <w:bCs/>
          <w:sz w:val="22"/>
          <w:szCs w:val="22"/>
          <w:lang w:val="es-CL"/>
        </w:rPr>
      </w:pPr>
    </w:p>
    <w:p w14:paraId="2283C3D1" w14:textId="36FCCF0C" w:rsidR="00142F3A" w:rsidRDefault="00142F3A" w:rsidP="00657F4D">
      <w:pPr>
        <w:jc w:val="both"/>
        <w:rPr>
          <w:rFonts w:ascii="Arial" w:hAnsi="Arial" w:cs="Arial"/>
          <w:bCs/>
          <w:sz w:val="22"/>
          <w:szCs w:val="22"/>
          <w:lang w:val="es-CL"/>
        </w:rPr>
      </w:pPr>
      <w:r>
        <w:rPr>
          <w:rFonts w:ascii="Arial" w:hAnsi="Arial" w:cs="Arial"/>
          <w:bCs/>
          <w:noProof/>
          <w:sz w:val="22"/>
          <w:szCs w:val="22"/>
          <w:lang w:val="es-CL"/>
        </w:rPr>
        <w:lastRenderedPageBreak/>
        <w:drawing>
          <wp:inline distT="0" distB="0" distL="0" distR="0" wp14:anchorId="5885BE41" wp14:editId="7B747604">
            <wp:extent cx="3185368" cy="2125980"/>
            <wp:effectExtent l="0" t="0" r="0" b="7620"/>
            <wp:docPr id="1443685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7192" cy="2127197"/>
                    </a:xfrm>
                    <a:prstGeom prst="rect">
                      <a:avLst/>
                    </a:prstGeom>
                    <a:noFill/>
                  </pic:spPr>
                </pic:pic>
              </a:graphicData>
            </a:graphic>
          </wp:inline>
        </w:drawing>
      </w:r>
    </w:p>
    <w:p w14:paraId="604B1D0D" w14:textId="66815F5F" w:rsidR="00142F3A" w:rsidRDefault="00142F3A" w:rsidP="00657F4D">
      <w:pPr>
        <w:jc w:val="both"/>
        <w:rPr>
          <w:rFonts w:ascii="Arial" w:hAnsi="Arial" w:cs="Arial"/>
          <w:bCs/>
          <w:sz w:val="22"/>
          <w:szCs w:val="22"/>
          <w:lang w:val="es-CL"/>
        </w:rPr>
      </w:pPr>
      <w:r>
        <w:rPr>
          <w:rFonts w:ascii="Arial" w:hAnsi="Arial" w:cs="Arial"/>
          <w:bCs/>
          <w:sz w:val="22"/>
          <w:szCs w:val="22"/>
          <w:lang w:val="es-CL"/>
        </w:rPr>
        <w:t>Figura: Simulación de múltiples escenarios por ruta en SIMPLAN/SIMVAL</w:t>
      </w:r>
    </w:p>
    <w:p w14:paraId="14991EB0" w14:textId="77777777" w:rsidR="00142F3A" w:rsidRDefault="00142F3A" w:rsidP="00657F4D">
      <w:pPr>
        <w:jc w:val="both"/>
        <w:rPr>
          <w:rFonts w:ascii="Arial" w:hAnsi="Arial" w:cs="Arial"/>
          <w:bCs/>
          <w:sz w:val="22"/>
          <w:szCs w:val="22"/>
          <w:lang w:val="es-CL"/>
        </w:rPr>
      </w:pPr>
    </w:p>
    <w:p w14:paraId="5FE39924" w14:textId="77777777" w:rsidR="00142F3A" w:rsidRPr="00657F4D" w:rsidRDefault="00142F3A" w:rsidP="00657F4D">
      <w:pPr>
        <w:jc w:val="both"/>
        <w:rPr>
          <w:rFonts w:ascii="Arial" w:hAnsi="Arial" w:cs="Arial"/>
          <w:bCs/>
          <w:sz w:val="22"/>
          <w:szCs w:val="22"/>
          <w:lang w:val="es-CL"/>
        </w:rPr>
      </w:pPr>
    </w:p>
    <w:p w14:paraId="5E45CB79" w14:textId="7777777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En síntesis, la simulación estocástica mediante SIMPLAN/SIMVAL constituye el núcleo analítico de cuantificación en nuestra metodología. Provee para cada ruta una evaluación objetiva bajo incertidumbre, lo que sienta las bases para posteriormente comparar rutas no solo por su “promedio” sino por su perfil de riesgo-retorno completo. Esto responde directamente al objetivo de </w:t>
      </w:r>
      <w:proofErr w:type="spellStart"/>
      <w:r w:rsidRPr="00657F4D">
        <w:rPr>
          <w:rFonts w:ascii="Arial" w:hAnsi="Arial" w:cs="Arial"/>
          <w:bCs/>
          <w:i/>
          <w:iCs/>
          <w:sz w:val="22"/>
          <w:szCs w:val="22"/>
          <w:lang w:val="es-CL"/>
        </w:rPr>
        <w:t>de-risking</w:t>
      </w:r>
      <w:proofErr w:type="spellEnd"/>
      <w:r w:rsidRPr="00657F4D">
        <w:rPr>
          <w:rFonts w:ascii="Arial" w:hAnsi="Arial" w:cs="Arial"/>
          <w:bCs/>
          <w:sz w:val="22"/>
          <w:szCs w:val="22"/>
          <w:lang w:val="es-CL"/>
        </w:rPr>
        <w:t>: en lugar de apostar por un plan único a ojos cerrados, se comprende la variabilidad y se pueden elegir estrategias que maximizan la probabilidad de éxito.</w:t>
      </w:r>
    </w:p>
    <w:p w14:paraId="5E2EF3C2" w14:textId="77777777" w:rsidR="002C1314" w:rsidRPr="00657F4D" w:rsidRDefault="002C1314" w:rsidP="00657F4D">
      <w:pPr>
        <w:jc w:val="both"/>
        <w:rPr>
          <w:rFonts w:ascii="Arial" w:hAnsi="Arial" w:cs="Arial"/>
          <w:bCs/>
          <w:sz w:val="22"/>
          <w:szCs w:val="22"/>
          <w:lang w:val="es-CL"/>
        </w:rPr>
      </w:pPr>
    </w:p>
    <w:p w14:paraId="369BCE94" w14:textId="77777777" w:rsid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Estrategia modular de implementación subterránea</w:t>
      </w:r>
    </w:p>
    <w:p w14:paraId="1BCA9A29" w14:textId="77777777" w:rsidR="002C1314" w:rsidRPr="00657F4D" w:rsidRDefault="002C1314" w:rsidP="00657F4D">
      <w:pPr>
        <w:jc w:val="both"/>
        <w:rPr>
          <w:rFonts w:ascii="Arial" w:hAnsi="Arial" w:cs="Arial"/>
          <w:sz w:val="22"/>
          <w:szCs w:val="22"/>
          <w:lang w:val="es-CL"/>
        </w:rPr>
      </w:pPr>
    </w:p>
    <w:p w14:paraId="1250D3A4" w14:textId="77777777"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Un componente central de la metodología propuesta es la adopción de una estrategia modular para la implementación de la operación subterránea, concepto intrínsecamente ligado al proceso de </w:t>
      </w:r>
      <w:proofErr w:type="spellStart"/>
      <w:r w:rsidRPr="00657F4D">
        <w:rPr>
          <w:rFonts w:ascii="Arial" w:hAnsi="Arial" w:cs="Arial"/>
          <w:i/>
          <w:iCs/>
          <w:sz w:val="22"/>
          <w:szCs w:val="22"/>
          <w:lang w:val="es-CL"/>
        </w:rPr>
        <w:t>de-risking</w:t>
      </w:r>
      <w:proofErr w:type="spellEnd"/>
      <w:r w:rsidRPr="00657F4D">
        <w:rPr>
          <w:rFonts w:ascii="Arial" w:hAnsi="Arial" w:cs="Arial"/>
          <w:sz w:val="22"/>
          <w:szCs w:val="22"/>
          <w:lang w:val="es-CL"/>
        </w:rPr>
        <w:t xml:space="preserve">. La idea fundamental es dividir la transición en etapas manejables, en vez de lanzar de inmediato una explotación subterránea a plena escala sobre todo el yacimiento. Esto responde al principio de </w:t>
      </w:r>
      <w:r w:rsidRPr="00657F4D">
        <w:rPr>
          <w:rFonts w:ascii="Arial" w:hAnsi="Arial" w:cs="Arial"/>
          <w:i/>
          <w:iCs/>
          <w:sz w:val="22"/>
          <w:szCs w:val="22"/>
          <w:lang w:val="es-CL"/>
        </w:rPr>
        <w:t>iniciar en pequeño, aprender, y luego escalar</w:t>
      </w:r>
      <w:r w:rsidRPr="00657F4D">
        <w:rPr>
          <w:rFonts w:ascii="Arial" w:hAnsi="Arial" w:cs="Arial"/>
          <w:sz w:val="22"/>
          <w:szCs w:val="22"/>
          <w:lang w:val="es-CL"/>
        </w:rPr>
        <w:t>.</w:t>
      </w:r>
    </w:p>
    <w:p w14:paraId="41D4062E" w14:textId="77777777"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Concretamente, la Ruta Modular típica comenzaría con el desarrollo de una mina subterránea piloto o de menor escala. Esta fase inicial puede enfocarse en una parte del depósito (por ejemplo, un sector de alta ley fácilmente accesible desde un adyacente del </w:t>
      </w:r>
      <w:proofErr w:type="spellStart"/>
      <w:r w:rsidRPr="00657F4D">
        <w:rPr>
          <w:rFonts w:ascii="Arial" w:hAnsi="Arial" w:cs="Arial"/>
          <w:sz w:val="22"/>
          <w:szCs w:val="22"/>
          <w:lang w:val="es-CL"/>
        </w:rPr>
        <w:t>pit</w:t>
      </w:r>
      <w:proofErr w:type="spellEnd"/>
      <w:r w:rsidRPr="00657F4D">
        <w:rPr>
          <w:rFonts w:ascii="Arial" w:hAnsi="Arial" w:cs="Arial"/>
          <w:sz w:val="22"/>
          <w:szCs w:val="22"/>
          <w:lang w:val="es-CL"/>
        </w:rPr>
        <w:t xml:space="preserve">) explotada con un método subterráneo de moderada capacidad. El objetivo es que esta primera etapa requiera una inversión de capital acotada y un tiempo de desarrollo relativamente corto, de modo de comenzar a producir antes y con menos riesgo financiero. Durante la operación de esta mina piloto, la organización gana experiencia operacional bajo tierra, se refinan los parámetros geotécnicos reales (frente a los supuestos del </w:t>
      </w:r>
      <w:r w:rsidRPr="00657F4D">
        <w:rPr>
          <w:rFonts w:ascii="Arial" w:hAnsi="Arial" w:cs="Arial"/>
          <w:sz w:val="22"/>
          <w:szCs w:val="22"/>
          <w:lang w:val="es-CL"/>
        </w:rPr>
        <w:t>estudio) y se calibra el modelo de producción subterránea. Es, en cierto sentido, una fase de aprendizaje práctico sobre el yacimiento en profundidad.</w:t>
      </w:r>
    </w:p>
    <w:p w14:paraId="7DFDF71D" w14:textId="74E63B5A"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Posteriormente, basada en el conocimiento obtenido y si los resultados son positivos, la estrategia modular prevé uno o varios </w:t>
      </w:r>
      <w:proofErr w:type="spellStart"/>
      <w:r w:rsidRPr="00657F4D">
        <w:rPr>
          <w:rFonts w:ascii="Arial" w:hAnsi="Arial" w:cs="Arial"/>
          <w:sz w:val="22"/>
          <w:szCs w:val="22"/>
          <w:lang w:val="es-CL"/>
        </w:rPr>
        <w:t>increments</w:t>
      </w:r>
      <w:proofErr w:type="spellEnd"/>
      <w:r w:rsidRPr="00657F4D">
        <w:rPr>
          <w:rFonts w:ascii="Arial" w:hAnsi="Arial" w:cs="Arial"/>
          <w:sz w:val="22"/>
          <w:szCs w:val="22"/>
          <w:lang w:val="es-CL"/>
        </w:rPr>
        <w:t xml:space="preserve"> (etapas) de expansión hacia la capacidad total deseada. Por ejemplo, tras 2-3 años de mina piloto, se podría decidir la construcción de la infraestructura mayor (p.ej. un </w:t>
      </w:r>
      <w:proofErr w:type="spellStart"/>
      <w:r w:rsidRPr="00657F4D">
        <w:rPr>
          <w:rFonts w:ascii="Arial" w:hAnsi="Arial" w:cs="Arial"/>
          <w:sz w:val="22"/>
          <w:szCs w:val="22"/>
          <w:lang w:val="es-CL"/>
        </w:rPr>
        <w:t>shaft</w:t>
      </w:r>
      <w:proofErr w:type="spellEnd"/>
      <w:r w:rsidRPr="00657F4D">
        <w:rPr>
          <w:rFonts w:ascii="Arial" w:hAnsi="Arial" w:cs="Arial"/>
          <w:sz w:val="22"/>
          <w:szCs w:val="22"/>
          <w:lang w:val="es-CL"/>
        </w:rPr>
        <w:t xml:space="preserve"> principal y niveles profundos) para implementar un Block Caving a gran escala que tome el relevo de la producción superficial</w:t>
      </w:r>
      <w:hyperlink r:id="rId33" w:tgtFrame="_blank" w:history="1"/>
      <w:r w:rsidRPr="00657F4D">
        <w:rPr>
          <w:rFonts w:ascii="Arial" w:hAnsi="Arial" w:cs="Arial"/>
          <w:sz w:val="22"/>
          <w:szCs w:val="22"/>
          <w:lang w:val="es-CL"/>
        </w:rPr>
        <w:t xml:space="preserve">. Al haber diferido este gran gasto hasta tener mayor certidumbre, se reduce significativamente el riesgo de invertir miles de millones en una instalación subterránea que luego no rinda lo esperado. Alternativamente, el aprendizaje de la fase 1 podría indicar cambios de estrategia: tal vez se descubra que las condiciones no son favorables para un block caving, y se opta por expandir mediante minería subterránea selectiva en varias zonas (escalamiento horizontal en lugar de vertical). </w:t>
      </w:r>
      <w:proofErr w:type="gramStart"/>
      <w:r w:rsidRPr="00657F4D">
        <w:rPr>
          <w:rFonts w:ascii="Arial" w:hAnsi="Arial" w:cs="Arial"/>
          <w:sz w:val="22"/>
          <w:szCs w:val="22"/>
          <w:lang w:val="es-CL"/>
        </w:rPr>
        <w:t>La modularidad</w:t>
      </w:r>
      <w:proofErr w:type="gramEnd"/>
      <w:r w:rsidRPr="00657F4D">
        <w:rPr>
          <w:rFonts w:ascii="Arial" w:hAnsi="Arial" w:cs="Arial"/>
          <w:sz w:val="22"/>
          <w:szCs w:val="22"/>
          <w:lang w:val="es-CL"/>
        </w:rPr>
        <w:t xml:space="preserve"> otorga flexibilidad adaptativa al plan de mina.</w:t>
      </w:r>
    </w:p>
    <w:p w14:paraId="12FDFCAA" w14:textId="77777777"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Además del aspecto de inversión escalonada, </w:t>
      </w:r>
      <w:proofErr w:type="gramStart"/>
      <w:r w:rsidRPr="00657F4D">
        <w:rPr>
          <w:rFonts w:ascii="Arial" w:hAnsi="Arial" w:cs="Arial"/>
          <w:sz w:val="22"/>
          <w:szCs w:val="22"/>
          <w:lang w:val="es-CL"/>
        </w:rPr>
        <w:t>la modularidad</w:t>
      </w:r>
      <w:proofErr w:type="gramEnd"/>
      <w:r w:rsidRPr="00657F4D">
        <w:rPr>
          <w:rFonts w:ascii="Arial" w:hAnsi="Arial" w:cs="Arial"/>
          <w:sz w:val="22"/>
          <w:szCs w:val="22"/>
          <w:lang w:val="es-CL"/>
        </w:rPr>
        <w:t xml:space="preserve"> ayuda en otros frentes: es más fácil gestionar los recursos humanos y tecnológicos en incrementos. Se puede formar progresivamente al personal en el nuevo método, probar nuevas tecnologías en una sección antes de masificarlas, y calibrar la logística (ventilación, transporte, mantenimiento) a menor escala antes de enfrentarse a toda la complejidad de la escala máxima. Desde el punto de vista comunitario, una transición gradual puede ser más aceptable y generar confianza: la comunidad ve una evolución controlada y puede percibir los beneficios más pronto (empleo en la mina piloto, por ejemplo) sin el impacto repentino de un megaproyecto de golpe.</w:t>
      </w:r>
    </w:p>
    <w:p w14:paraId="34D2B33E" w14:textId="3F7FEF6B"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Un ejemplo concreto del enfoque modular es el caso (anónimo) de una mina de cobre mediana en los Andes: el plan tradicional contemplaba cerrar el rajo en 5 años e inmediatamente comenzar un block caving de 30 </w:t>
      </w:r>
      <w:proofErr w:type="spellStart"/>
      <w:r w:rsidRPr="00657F4D">
        <w:rPr>
          <w:rFonts w:ascii="Arial" w:hAnsi="Arial" w:cs="Arial"/>
          <w:sz w:val="22"/>
          <w:szCs w:val="22"/>
          <w:lang w:val="es-CL"/>
        </w:rPr>
        <w:t>kt</w:t>
      </w:r>
      <w:proofErr w:type="spellEnd"/>
      <w:r w:rsidRPr="00657F4D">
        <w:rPr>
          <w:rFonts w:ascii="Arial" w:hAnsi="Arial" w:cs="Arial"/>
          <w:sz w:val="22"/>
          <w:szCs w:val="22"/>
          <w:lang w:val="es-CL"/>
        </w:rPr>
        <w:t xml:space="preserve">/día. Aplicando la metodología, se diseñó en cambio una ruta modular donde tras 3 años se habilitó una explotación subterránea de 5 </w:t>
      </w:r>
      <w:proofErr w:type="spellStart"/>
      <w:r w:rsidRPr="00657F4D">
        <w:rPr>
          <w:rFonts w:ascii="Arial" w:hAnsi="Arial" w:cs="Arial"/>
          <w:sz w:val="22"/>
          <w:szCs w:val="22"/>
          <w:lang w:val="es-CL"/>
        </w:rPr>
        <w:t>kt</w:t>
      </w:r>
      <w:proofErr w:type="spellEnd"/>
      <w:r w:rsidRPr="00657F4D">
        <w:rPr>
          <w:rFonts w:ascii="Arial" w:hAnsi="Arial" w:cs="Arial"/>
          <w:sz w:val="22"/>
          <w:szCs w:val="22"/>
          <w:lang w:val="es-CL"/>
        </w:rPr>
        <w:t xml:space="preserve">/día mediante </w:t>
      </w:r>
      <w:proofErr w:type="spellStart"/>
      <w:r w:rsidRPr="00657F4D">
        <w:rPr>
          <w:rFonts w:ascii="Arial" w:hAnsi="Arial" w:cs="Arial"/>
          <w:sz w:val="22"/>
          <w:szCs w:val="22"/>
          <w:lang w:val="es-CL"/>
        </w:rPr>
        <w:t>sublevel</w:t>
      </w:r>
      <w:proofErr w:type="spellEnd"/>
      <w:r w:rsidRPr="00657F4D">
        <w:rPr>
          <w:rFonts w:ascii="Arial" w:hAnsi="Arial" w:cs="Arial"/>
          <w:sz w:val="22"/>
          <w:szCs w:val="22"/>
          <w:lang w:val="es-CL"/>
        </w:rPr>
        <w:t xml:space="preserve"> stoping en las zonas de alta ley bajo el </w:t>
      </w:r>
      <w:proofErr w:type="spellStart"/>
      <w:r w:rsidRPr="00657F4D">
        <w:rPr>
          <w:rFonts w:ascii="Arial" w:hAnsi="Arial" w:cs="Arial"/>
          <w:sz w:val="22"/>
          <w:szCs w:val="22"/>
          <w:lang w:val="es-CL"/>
        </w:rPr>
        <w:t>pit</w:t>
      </w:r>
      <w:proofErr w:type="spellEnd"/>
      <w:r w:rsidRPr="00657F4D">
        <w:rPr>
          <w:rFonts w:ascii="Arial" w:hAnsi="Arial" w:cs="Arial"/>
          <w:sz w:val="22"/>
          <w:szCs w:val="22"/>
          <w:lang w:val="es-CL"/>
        </w:rPr>
        <w:t xml:space="preserve">. Esta operación generó cash </w:t>
      </w:r>
      <w:proofErr w:type="spellStart"/>
      <w:r w:rsidRPr="00657F4D">
        <w:rPr>
          <w:rFonts w:ascii="Arial" w:hAnsi="Arial" w:cs="Arial"/>
          <w:sz w:val="22"/>
          <w:szCs w:val="22"/>
          <w:lang w:val="es-CL"/>
        </w:rPr>
        <w:t>flow</w:t>
      </w:r>
      <w:proofErr w:type="spellEnd"/>
      <w:r w:rsidRPr="00657F4D">
        <w:rPr>
          <w:rFonts w:ascii="Arial" w:hAnsi="Arial" w:cs="Arial"/>
          <w:sz w:val="22"/>
          <w:szCs w:val="22"/>
          <w:lang w:val="es-CL"/>
        </w:rPr>
        <w:t xml:space="preserve"> adicional y conocimiento geotécnico. Luego, en el año 6, se tomó la decisión de invertir en un block caving de 20 </w:t>
      </w:r>
      <w:proofErr w:type="spellStart"/>
      <w:r w:rsidRPr="00657F4D">
        <w:rPr>
          <w:rFonts w:ascii="Arial" w:hAnsi="Arial" w:cs="Arial"/>
          <w:sz w:val="22"/>
          <w:szCs w:val="22"/>
          <w:lang w:val="es-CL"/>
        </w:rPr>
        <w:t>kt</w:t>
      </w:r>
      <w:proofErr w:type="spellEnd"/>
      <w:r w:rsidRPr="00657F4D">
        <w:rPr>
          <w:rFonts w:ascii="Arial" w:hAnsi="Arial" w:cs="Arial"/>
          <w:sz w:val="22"/>
          <w:szCs w:val="22"/>
          <w:lang w:val="es-CL"/>
        </w:rPr>
        <w:t xml:space="preserve">/día complementario, apoyado en la infraestructura ya existente y los datos recolectados. El resultado proyectado mostró un NPV superior y un perfil de riesgo más bajo que la alternativa monolítica original, principalmente porque se redujo el periodo sin ingresos y se ajustó </w:t>
      </w:r>
      <w:r w:rsidRPr="00657F4D">
        <w:rPr>
          <w:rFonts w:ascii="Arial" w:hAnsi="Arial" w:cs="Arial"/>
          <w:sz w:val="22"/>
          <w:szCs w:val="22"/>
          <w:lang w:val="es-CL"/>
        </w:rPr>
        <w:lastRenderedPageBreak/>
        <w:t>el diseño del block caving con información real (mejor fragmentación y diseño de caserones)</w:t>
      </w:r>
      <w:hyperlink r:id="rId34" w:tgtFrame="_blank" w:history="1"/>
      <w:r w:rsidRPr="00657F4D">
        <w:rPr>
          <w:rFonts w:ascii="Arial" w:hAnsi="Arial" w:cs="Arial"/>
          <w:sz w:val="22"/>
          <w:szCs w:val="22"/>
          <w:lang w:val="es-CL"/>
        </w:rPr>
        <w:t>.</w:t>
      </w:r>
    </w:p>
    <w:p w14:paraId="12330ED1" w14:textId="77777777" w:rsidR="00657F4D" w:rsidRP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Por supuesto, </w:t>
      </w:r>
      <w:proofErr w:type="gramStart"/>
      <w:r w:rsidRPr="00657F4D">
        <w:rPr>
          <w:rFonts w:ascii="Arial" w:hAnsi="Arial" w:cs="Arial"/>
          <w:sz w:val="22"/>
          <w:szCs w:val="22"/>
          <w:lang w:val="es-CL"/>
        </w:rPr>
        <w:t>la modularidad</w:t>
      </w:r>
      <w:proofErr w:type="gramEnd"/>
      <w:r w:rsidRPr="00657F4D">
        <w:rPr>
          <w:rFonts w:ascii="Arial" w:hAnsi="Arial" w:cs="Arial"/>
          <w:sz w:val="22"/>
          <w:szCs w:val="22"/>
          <w:lang w:val="es-CL"/>
        </w:rPr>
        <w:t xml:space="preserve"> no es gratuita: una mina piloto pequeña puede tener un costo unitario mayor (por economías de escala) y ciertas ineficiencias de duplicar esfuerzos al escalar. Sin embargo, estos costos adicionales se ven como una “prima de seguro” razonable a pagar a cambio de reducir la incertidumbre. La metodología aborda este análisis explícitamente, comparando el valor presente de rutas modulares vs. no modulares, incluyendo los posibles escenarios de fallo o éxito de la fase inicial.</w:t>
      </w:r>
    </w:p>
    <w:p w14:paraId="4BCC31BB" w14:textId="77777777" w:rsidR="00657F4D" w:rsidRDefault="00657F4D" w:rsidP="00657F4D">
      <w:pPr>
        <w:jc w:val="both"/>
        <w:rPr>
          <w:rFonts w:ascii="Arial" w:hAnsi="Arial" w:cs="Arial"/>
          <w:sz w:val="22"/>
          <w:szCs w:val="22"/>
          <w:lang w:val="es-CL"/>
        </w:rPr>
      </w:pPr>
      <w:r w:rsidRPr="00657F4D">
        <w:rPr>
          <w:rFonts w:ascii="Arial" w:hAnsi="Arial" w:cs="Arial"/>
          <w:sz w:val="22"/>
          <w:szCs w:val="22"/>
          <w:lang w:val="es-CL"/>
        </w:rPr>
        <w:t xml:space="preserve">En conclusión, la estrategia modular de transición es un elemento diferenciador de nuestra propuesta. Se alinea con el concepto de </w:t>
      </w:r>
      <w:proofErr w:type="spellStart"/>
      <w:r w:rsidRPr="00657F4D">
        <w:rPr>
          <w:rFonts w:ascii="Arial" w:hAnsi="Arial" w:cs="Arial"/>
          <w:sz w:val="22"/>
          <w:szCs w:val="22"/>
          <w:lang w:val="es-CL"/>
        </w:rPr>
        <w:t>de-risking</w:t>
      </w:r>
      <w:proofErr w:type="spellEnd"/>
      <w:r w:rsidRPr="00657F4D">
        <w:rPr>
          <w:rFonts w:ascii="Arial" w:hAnsi="Arial" w:cs="Arial"/>
          <w:sz w:val="22"/>
          <w:szCs w:val="22"/>
          <w:lang w:val="es-CL"/>
        </w:rPr>
        <w:t xml:space="preserve"> al minimizar la exposición al riesgo en cada paso, permitiendo </w:t>
      </w:r>
      <w:proofErr w:type="spellStart"/>
      <w:r w:rsidRPr="00657F4D">
        <w:rPr>
          <w:rFonts w:ascii="Arial" w:hAnsi="Arial" w:cs="Arial"/>
          <w:i/>
          <w:iCs/>
          <w:sz w:val="22"/>
          <w:szCs w:val="22"/>
          <w:lang w:val="es-CL"/>
        </w:rPr>
        <w:t>decision</w:t>
      </w:r>
      <w:proofErr w:type="spellEnd"/>
      <w:r w:rsidRPr="00657F4D">
        <w:rPr>
          <w:rFonts w:ascii="Arial" w:hAnsi="Arial" w:cs="Arial"/>
          <w:i/>
          <w:iCs/>
          <w:sz w:val="22"/>
          <w:szCs w:val="22"/>
          <w:lang w:val="es-CL"/>
        </w:rPr>
        <w:t xml:space="preserve"> </w:t>
      </w:r>
      <w:proofErr w:type="spellStart"/>
      <w:r w:rsidRPr="00657F4D">
        <w:rPr>
          <w:rFonts w:ascii="Arial" w:hAnsi="Arial" w:cs="Arial"/>
          <w:i/>
          <w:iCs/>
          <w:sz w:val="22"/>
          <w:szCs w:val="22"/>
          <w:lang w:val="es-CL"/>
        </w:rPr>
        <w:t>points</w:t>
      </w:r>
      <w:proofErr w:type="spellEnd"/>
      <w:r w:rsidRPr="00657F4D">
        <w:rPr>
          <w:rFonts w:ascii="Arial" w:hAnsi="Arial" w:cs="Arial"/>
          <w:sz w:val="22"/>
          <w:szCs w:val="22"/>
          <w:lang w:val="es-CL"/>
        </w:rPr>
        <w:t xml:space="preserve"> donde se puede reevaluar la conveniencia de proseguir o ajustar el plan. Esta estrategia, combinada con la simulación estocástica, ofrece una hoja de ruta más resiliente para navegar la incertidumbre inherente al cambio de método minero.</w:t>
      </w:r>
    </w:p>
    <w:p w14:paraId="22101D7A" w14:textId="77777777" w:rsidR="002C1314" w:rsidRPr="00657F4D" w:rsidRDefault="002C1314" w:rsidP="00657F4D">
      <w:pPr>
        <w:jc w:val="both"/>
        <w:rPr>
          <w:rFonts w:ascii="Arial" w:hAnsi="Arial" w:cs="Arial"/>
          <w:sz w:val="22"/>
          <w:szCs w:val="22"/>
          <w:lang w:val="es-CL"/>
        </w:rPr>
      </w:pPr>
    </w:p>
    <w:p w14:paraId="739CA98C" w14:textId="77777777" w:rsid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Análisis multicriterio de ejecutabilidad y atractivo</w:t>
      </w:r>
    </w:p>
    <w:p w14:paraId="559BD955" w14:textId="77777777" w:rsidR="002C1314" w:rsidRPr="00657F4D" w:rsidRDefault="002C1314" w:rsidP="00657F4D">
      <w:pPr>
        <w:jc w:val="both"/>
        <w:rPr>
          <w:rFonts w:ascii="Arial" w:hAnsi="Arial" w:cs="Arial"/>
          <w:b/>
          <w:bCs/>
          <w:sz w:val="22"/>
          <w:szCs w:val="22"/>
          <w:lang w:val="es-CL"/>
        </w:rPr>
      </w:pPr>
    </w:p>
    <w:p w14:paraId="5C215F29"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Con las simulaciones realizadas y en mano las distribuciones de resultados para cada ruta, el siguiente paso es realizar un </w:t>
      </w:r>
      <w:r w:rsidRPr="00657F4D">
        <w:rPr>
          <w:rFonts w:ascii="Arial" w:hAnsi="Arial" w:cs="Arial"/>
          <w:b/>
          <w:bCs/>
          <w:sz w:val="22"/>
          <w:szCs w:val="22"/>
          <w:lang w:val="es-CL"/>
        </w:rPr>
        <w:t>análisis multicriterio</w:t>
      </w:r>
      <w:r w:rsidRPr="00657F4D">
        <w:rPr>
          <w:rFonts w:ascii="Arial" w:hAnsi="Arial" w:cs="Arial"/>
          <w:bCs/>
          <w:sz w:val="22"/>
          <w:szCs w:val="22"/>
          <w:lang w:val="es-CL"/>
        </w:rPr>
        <w:t xml:space="preserve"> que incorpore tanto el atractivo económico de las alternativas como su facilidad de ejecución práctica. Para ello, definimos dos grandes dimensiones de evaluación para cada ruta: </w:t>
      </w:r>
      <w:r w:rsidRPr="00657F4D">
        <w:rPr>
          <w:rFonts w:ascii="Arial" w:hAnsi="Arial" w:cs="Arial"/>
          <w:b/>
          <w:bCs/>
          <w:sz w:val="22"/>
          <w:szCs w:val="22"/>
          <w:lang w:val="es-CL"/>
        </w:rPr>
        <w:t>Atractivo</w:t>
      </w:r>
      <w:r w:rsidRPr="00657F4D">
        <w:rPr>
          <w:rFonts w:ascii="Arial" w:hAnsi="Arial" w:cs="Arial"/>
          <w:bCs/>
          <w:sz w:val="22"/>
          <w:szCs w:val="22"/>
          <w:lang w:val="es-CL"/>
        </w:rPr>
        <w:t xml:space="preserve"> y </w:t>
      </w:r>
      <w:r w:rsidRPr="00657F4D">
        <w:rPr>
          <w:rFonts w:ascii="Arial" w:hAnsi="Arial" w:cs="Arial"/>
          <w:b/>
          <w:bCs/>
          <w:sz w:val="22"/>
          <w:szCs w:val="22"/>
          <w:lang w:val="es-CL"/>
        </w:rPr>
        <w:t>Ejecutabilidad</w:t>
      </w:r>
      <w:r w:rsidRPr="00657F4D">
        <w:rPr>
          <w:rFonts w:ascii="Arial" w:hAnsi="Arial" w:cs="Arial"/>
          <w:bCs/>
          <w:sz w:val="22"/>
          <w:szCs w:val="22"/>
          <w:lang w:val="es-CL"/>
        </w:rPr>
        <w:t xml:space="preserve"> (también referida como </w:t>
      </w:r>
      <w:r w:rsidRPr="00657F4D">
        <w:rPr>
          <w:rFonts w:ascii="Arial" w:hAnsi="Arial" w:cs="Arial"/>
          <w:bCs/>
          <w:i/>
          <w:iCs/>
          <w:sz w:val="22"/>
          <w:szCs w:val="22"/>
          <w:lang w:val="es-CL"/>
        </w:rPr>
        <w:t>doability</w:t>
      </w:r>
      <w:r w:rsidRPr="00657F4D">
        <w:rPr>
          <w:rFonts w:ascii="Arial" w:hAnsi="Arial" w:cs="Arial"/>
          <w:bCs/>
          <w:sz w:val="22"/>
          <w:szCs w:val="22"/>
          <w:lang w:val="es-CL"/>
        </w:rPr>
        <w:t>). Esta separación permite ponderar explícitamente factores financieros cuantitativos frente a factores técnico-cualitativos en la decisión.</w:t>
      </w:r>
    </w:p>
    <w:p w14:paraId="074C991D" w14:textId="2A10C24D" w:rsidR="00657F4D" w:rsidRPr="00657F4D" w:rsidRDefault="00657F4D" w:rsidP="00657F4D">
      <w:pPr>
        <w:numPr>
          <w:ilvl w:val="0"/>
          <w:numId w:val="5"/>
        </w:numPr>
        <w:jc w:val="both"/>
        <w:rPr>
          <w:rFonts w:ascii="Arial" w:hAnsi="Arial" w:cs="Arial"/>
          <w:sz w:val="22"/>
          <w:szCs w:val="22"/>
          <w:lang w:val="es-CL"/>
        </w:rPr>
      </w:pPr>
      <w:r w:rsidRPr="00657F4D">
        <w:rPr>
          <w:rFonts w:ascii="Arial" w:hAnsi="Arial" w:cs="Arial"/>
          <w:b/>
          <w:bCs/>
          <w:sz w:val="22"/>
          <w:szCs w:val="22"/>
          <w:lang w:val="es-CL"/>
        </w:rPr>
        <w:t>Atractivo (Attractiveness):</w:t>
      </w:r>
      <w:r w:rsidRPr="00657F4D">
        <w:rPr>
          <w:rFonts w:ascii="Arial" w:hAnsi="Arial" w:cs="Arial"/>
          <w:bCs/>
          <w:sz w:val="22"/>
          <w:szCs w:val="22"/>
          <w:lang w:val="es-CL"/>
        </w:rPr>
        <w:t xml:space="preserve"> Agrupa los criterios relacionados al </w:t>
      </w:r>
      <w:r w:rsidRPr="00657F4D">
        <w:rPr>
          <w:rFonts w:ascii="Arial" w:hAnsi="Arial" w:cs="Arial"/>
          <w:b/>
          <w:bCs/>
          <w:sz w:val="22"/>
          <w:szCs w:val="22"/>
          <w:lang w:val="es-CL"/>
        </w:rPr>
        <w:t xml:space="preserve">potencial de </w:t>
      </w:r>
      <w:r w:rsidRPr="00657F4D">
        <w:rPr>
          <w:rFonts w:ascii="Arial" w:hAnsi="Arial" w:cs="Arial"/>
          <w:sz w:val="22"/>
          <w:szCs w:val="22"/>
          <w:lang w:val="es-CL"/>
        </w:rPr>
        <w:t xml:space="preserve">generación de valor y rendimiento de la ruta. Aquí se incluyen métricas tradicionales de rentabilidad como el Valor Presente Neto (VPN o NPV), la Tasa Interna de Retorno (TIR), el período de Payback, la vida de la mina extendida que la ruta ofrece, el costo total unitario esperado (C1 o AISC), el </w:t>
      </w:r>
      <w:proofErr w:type="spellStart"/>
      <w:r w:rsidRPr="00657F4D">
        <w:rPr>
          <w:rFonts w:ascii="Arial" w:hAnsi="Arial" w:cs="Arial"/>
          <w:sz w:val="22"/>
          <w:szCs w:val="22"/>
          <w:lang w:val="es-CL"/>
        </w:rPr>
        <w:t>recovery</w:t>
      </w:r>
      <w:proofErr w:type="spellEnd"/>
      <w:r w:rsidRPr="00657F4D">
        <w:rPr>
          <w:rFonts w:ascii="Arial" w:hAnsi="Arial" w:cs="Arial"/>
          <w:sz w:val="22"/>
          <w:szCs w:val="22"/>
          <w:lang w:val="es-CL"/>
        </w:rPr>
        <w:t xml:space="preserve"> o porcentaje de las reservas totales que logra extraer, y la producción anual (perfil de output). Adicionalmente, en nuestro enfoque </w:t>
      </w:r>
      <w:r w:rsidRPr="00657F4D">
        <w:rPr>
          <w:rFonts w:ascii="Arial" w:hAnsi="Arial" w:cs="Arial"/>
          <w:i/>
          <w:iCs/>
          <w:sz w:val="22"/>
          <w:szCs w:val="22"/>
          <w:lang w:val="es-CL"/>
        </w:rPr>
        <w:t>atractivo</w:t>
      </w:r>
      <w:r w:rsidRPr="00657F4D">
        <w:rPr>
          <w:rFonts w:ascii="Arial" w:hAnsi="Arial" w:cs="Arial"/>
          <w:sz w:val="22"/>
          <w:szCs w:val="22"/>
          <w:lang w:val="es-CL"/>
        </w:rPr>
        <w:t xml:space="preserve"> incorpora la consideración del riesgo económico: por ejemplo, penalizamos una ruta cuyo NPV tenga alta probabilidad de resultar bajo (como se vio con NPV@P10). En general, cuanto mayor NPV esperado, mayor producción lograda y menor costo unitario, más atractiva se considera una ruta</w:t>
      </w:r>
      <w:hyperlink r:id="rId35" w:tgtFrame="_blank" w:history="1"/>
      <w:r w:rsidRPr="00657F4D">
        <w:rPr>
          <w:rFonts w:ascii="Arial" w:hAnsi="Arial" w:cs="Arial"/>
          <w:sz w:val="22"/>
          <w:szCs w:val="22"/>
          <w:lang w:val="es-CL"/>
        </w:rPr>
        <w:t xml:space="preserve">. Por el </w:t>
      </w:r>
      <w:r w:rsidRPr="00657F4D">
        <w:rPr>
          <w:rFonts w:ascii="Arial" w:hAnsi="Arial" w:cs="Arial"/>
          <w:sz w:val="22"/>
          <w:szCs w:val="22"/>
          <w:lang w:val="es-CL"/>
        </w:rPr>
        <w:t xml:space="preserve">contrario, una ruta con capital muy elevado que reduzca la razón beneficio/costo, o con un </w:t>
      </w:r>
      <w:proofErr w:type="spellStart"/>
      <w:r w:rsidRPr="00657F4D">
        <w:rPr>
          <w:rFonts w:ascii="Arial" w:hAnsi="Arial" w:cs="Arial"/>
          <w:sz w:val="22"/>
          <w:szCs w:val="22"/>
          <w:lang w:val="es-CL"/>
        </w:rPr>
        <w:t>ramp</w:t>
      </w:r>
      <w:proofErr w:type="spellEnd"/>
      <w:r w:rsidRPr="00657F4D">
        <w:rPr>
          <w:rFonts w:ascii="Arial" w:hAnsi="Arial" w:cs="Arial"/>
          <w:sz w:val="22"/>
          <w:szCs w:val="22"/>
          <w:lang w:val="es-CL"/>
        </w:rPr>
        <w:t>-up demasiado prolongado que afecte el VAN, resultará menos atractiva en este eje.</w:t>
      </w:r>
    </w:p>
    <w:p w14:paraId="209AB29F" w14:textId="5FFAC310" w:rsidR="00657F4D" w:rsidRDefault="00657F4D" w:rsidP="00657F4D">
      <w:pPr>
        <w:numPr>
          <w:ilvl w:val="0"/>
          <w:numId w:val="5"/>
        </w:numPr>
        <w:jc w:val="both"/>
        <w:rPr>
          <w:rFonts w:ascii="Arial" w:hAnsi="Arial" w:cs="Arial"/>
          <w:bCs/>
          <w:sz w:val="22"/>
          <w:szCs w:val="22"/>
          <w:lang w:val="es-CL"/>
        </w:rPr>
      </w:pPr>
      <w:r w:rsidRPr="00657F4D">
        <w:rPr>
          <w:rFonts w:ascii="Arial" w:hAnsi="Arial" w:cs="Arial"/>
          <w:b/>
          <w:bCs/>
          <w:sz w:val="22"/>
          <w:szCs w:val="22"/>
          <w:lang w:val="es-CL"/>
        </w:rPr>
        <w:t>Ejecutabilidad (Doability):</w:t>
      </w:r>
      <w:r w:rsidRPr="00657F4D">
        <w:rPr>
          <w:rFonts w:ascii="Arial" w:hAnsi="Arial" w:cs="Arial"/>
          <w:bCs/>
          <w:sz w:val="22"/>
          <w:szCs w:val="22"/>
          <w:lang w:val="es-CL"/>
        </w:rPr>
        <w:t xml:space="preserve"> Reúne los criterios que reflejan la factibilidad de llevar a cabo la ruta en la práctica, considerando aspectos técnicos, organizacionales y externos. Aquí entran factores como la complejidad técnica del método minero propuesto (p. ej., ¿el equipo humano tiene experiencia en block caving o sería la primera vez? ¿existe conocimiento previo para la geología del lugar?), las condiciones del macizo rocoso (un método puede ser teóricamente posible pero en la práctica muy riesgoso si la roca es fracturada o hay agua subterránea excesiva), la profundidad del mineral (más profundidad suele implicar más desafíos en ventilación, altas temperaturas, estrés de roca), la disponibilidad de infraestructura (energía eléctrica suficiente para la nueva mina, accesos viales, etc.), la logística (por ejemplo, si se planea extraer simultáneamente por rajo y UG, ¿hay capacidad en chancadores y correas para ambas producciones? ¿existe un plan de manejo de estrangulamientos?), los permisos y licencias necesarios (¿requiere reasentamiento de comunidades? ¿afecta acuíferos protegidos? ¿tiempos de aprobación ambiental encajan en el cronograma?), y en general la madurez tecnológica de la opción (¿se necesita desarrollar una tecnología nueva o es algo probado?). También consideramos la </w:t>
      </w:r>
      <w:proofErr w:type="spellStart"/>
      <w:r w:rsidRPr="00657F4D">
        <w:rPr>
          <w:rFonts w:ascii="Arial" w:hAnsi="Arial" w:cs="Arial"/>
          <w:bCs/>
          <w:sz w:val="22"/>
          <w:szCs w:val="22"/>
          <w:lang w:val="es-CL"/>
        </w:rPr>
        <w:t>constructabilidad</w:t>
      </w:r>
      <w:proofErr w:type="spellEnd"/>
      <w:r w:rsidRPr="00657F4D">
        <w:rPr>
          <w:rFonts w:ascii="Arial" w:hAnsi="Arial" w:cs="Arial"/>
          <w:bCs/>
          <w:sz w:val="22"/>
          <w:szCs w:val="22"/>
          <w:lang w:val="es-CL"/>
        </w:rPr>
        <w:t xml:space="preserve"> y secuencia: rutas que requieren, por ejemplo, excavar un </w:t>
      </w:r>
      <w:proofErr w:type="spellStart"/>
      <w:r w:rsidRPr="00657F4D">
        <w:rPr>
          <w:rFonts w:ascii="Arial" w:hAnsi="Arial" w:cs="Arial"/>
          <w:bCs/>
          <w:sz w:val="22"/>
          <w:szCs w:val="22"/>
          <w:lang w:val="es-CL"/>
        </w:rPr>
        <w:t>shaft</w:t>
      </w:r>
      <w:proofErr w:type="spellEnd"/>
      <w:r w:rsidRPr="00657F4D">
        <w:rPr>
          <w:rFonts w:ascii="Arial" w:hAnsi="Arial" w:cs="Arial"/>
          <w:bCs/>
          <w:sz w:val="22"/>
          <w:szCs w:val="22"/>
          <w:lang w:val="es-CL"/>
        </w:rPr>
        <w:t xml:space="preserve"> de 1000 m de profundidad antes de producir nada se ven menos ejecutables que rutas aprovechando rampas </w:t>
      </w:r>
      <w:proofErr w:type="spellStart"/>
      <w:r w:rsidRPr="00657F4D">
        <w:rPr>
          <w:rFonts w:ascii="Arial" w:hAnsi="Arial" w:cs="Arial"/>
          <w:bCs/>
          <w:sz w:val="22"/>
          <w:szCs w:val="22"/>
          <w:lang w:val="es-CL"/>
        </w:rPr>
        <w:t>pre-existentes</w:t>
      </w:r>
      <w:proofErr w:type="spellEnd"/>
      <w:r w:rsidRPr="00657F4D">
        <w:rPr>
          <w:rFonts w:ascii="Arial" w:hAnsi="Arial" w:cs="Arial"/>
          <w:bCs/>
          <w:sz w:val="22"/>
          <w:szCs w:val="22"/>
          <w:lang w:val="es-CL"/>
        </w:rPr>
        <w:t xml:space="preserve"> desde el rajo. Todos estos factores se evalúan cualitativa o </w:t>
      </w:r>
      <w:proofErr w:type="spellStart"/>
      <w:r w:rsidRPr="00657F4D">
        <w:rPr>
          <w:rFonts w:ascii="Arial" w:hAnsi="Arial" w:cs="Arial"/>
          <w:bCs/>
          <w:sz w:val="22"/>
          <w:szCs w:val="22"/>
          <w:lang w:val="es-CL"/>
        </w:rPr>
        <w:t>semicuantitativamente</w:t>
      </w:r>
      <w:proofErr w:type="spellEnd"/>
      <w:r w:rsidRPr="00657F4D">
        <w:rPr>
          <w:rFonts w:ascii="Arial" w:hAnsi="Arial" w:cs="Arial"/>
          <w:bCs/>
          <w:sz w:val="22"/>
          <w:szCs w:val="22"/>
          <w:lang w:val="es-CL"/>
        </w:rPr>
        <w:t>, asignando una puntuación o nivel (por ej., Alta, Media, Baja ejecutabilidad) a cada ruta</w:t>
      </w:r>
      <w:hyperlink r:id="rId36" w:tgtFrame="_blank" w:history="1"/>
      <w:r w:rsidRPr="00657F4D">
        <w:rPr>
          <w:rFonts w:ascii="Arial" w:hAnsi="Arial" w:cs="Arial"/>
          <w:bCs/>
          <w:sz w:val="22"/>
          <w:szCs w:val="22"/>
          <w:lang w:val="es-CL"/>
        </w:rPr>
        <w:t xml:space="preserve">. Cabe mencionar que algunos factores de ejecutabilidad son explícitamente </w:t>
      </w:r>
      <w:r w:rsidRPr="00657F4D">
        <w:rPr>
          <w:rFonts w:ascii="Arial" w:hAnsi="Arial" w:cs="Arial"/>
          <w:bCs/>
          <w:i/>
          <w:iCs/>
          <w:sz w:val="22"/>
          <w:szCs w:val="22"/>
          <w:lang w:val="es-CL"/>
        </w:rPr>
        <w:t>no técnicos</w:t>
      </w:r>
      <w:r w:rsidRPr="00657F4D">
        <w:rPr>
          <w:rFonts w:ascii="Arial" w:hAnsi="Arial" w:cs="Arial"/>
          <w:bCs/>
          <w:sz w:val="22"/>
          <w:szCs w:val="22"/>
          <w:lang w:val="es-CL"/>
        </w:rPr>
        <w:t>: por ejemplo, la relación con comunidades y la percepción pública. Si una ruta implica extender la vida del rajo 10 años más cerca de un poblado, puede enfrentar oposición social significativa, afectando su viabilidad real. En cambio, una ruta que cierra antes el rajo y reduce polvo/</w:t>
      </w:r>
      <w:proofErr w:type="spellStart"/>
      <w:r w:rsidRPr="00657F4D">
        <w:rPr>
          <w:rFonts w:ascii="Arial" w:hAnsi="Arial" w:cs="Arial"/>
          <w:bCs/>
          <w:sz w:val="22"/>
          <w:szCs w:val="22"/>
          <w:lang w:val="es-CL"/>
        </w:rPr>
        <w:t>noise</w:t>
      </w:r>
      <w:proofErr w:type="spellEnd"/>
      <w:r w:rsidRPr="00657F4D">
        <w:rPr>
          <w:rFonts w:ascii="Arial" w:hAnsi="Arial" w:cs="Arial"/>
          <w:bCs/>
          <w:sz w:val="22"/>
          <w:szCs w:val="22"/>
          <w:lang w:val="es-CL"/>
        </w:rPr>
        <w:t xml:space="preserve"> podría ganarse apoyos locales, facilitando permisos.</w:t>
      </w:r>
    </w:p>
    <w:p w14:paraId="25989EB7" w14:textId="77777777" w:rsidR="002C1314" w:rsidRPr="00657F4D" w:rsidRDefault="002C1314" w:rsidP="002C1314">
      <w:pPr>
        <w:ind w:left="720"/>
        <w:jc w:val="both"/>
        <w:rPr>
          <w:rFonts w:ascii="Arial" w:hAnsi="Arial" w:cs="Arial"/>
          <w:bCs/>
          <w:sz w:val="22"/>
          <w:szCs w:val="22"/>
          <w:lang w:val="es-CL"/>
        </w:rPr>
      </w:pPr>
    </w:p>
    <w:p w14:paraId="69C3435E" w14:textId="05C3E109"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La metodología procede a </w:t>
      </w:r>
      <w:r w:rsidRPr="00657F4D">
        <w:rPr>
          <w:rFonts w:ascii="Arial" w:hAnsi="Arial" w:cs="Arial"/>
          <w:b/>
          <w:bCs/>
          <w:sz w:val="22"/>
          <w:szCs w:val="22"/>
          <w:lang w:val="es-CL"/>
        </w:rPr>
        <w:t>evaluar cada ruta en ambos ejes</w:t>
      </w:r>
      <w:r w:rsidRPr="00657F4D">
        <w:rPr>
          <w:rFonts w:ascii="Arial" w:hAnsi="Arial" w:cs="Arial"/>
          <w:bCs/>
          <w:sz w:val="22"/>
          <w:szCs w:val="22"/>
          <w:lang w:val="es-CL"/>
        </w:rPr>
        <w:t xml:space="preserve">. Para la dimensión </w:t>
      </w:r>
      <w:r w:rsidRPr="00657F4D">
        <w:rPr>
          <w:rFonts w:ascii="Arial" w:hAnsi="Arial" w:cs="Arial"/>
          <w:bCs/>
          <w:i/>
          <w:iCs/>
          <w:sz w:val="22"/>
          <w:szCs w:val="22"/>
          <w:lang w:val="es-CL"/>
        </w:rPr>
        <w:t>Atractivo</w:t>
      </w:r>
      <w:r w:rsidRPr="00657F4D">
        <w:rPr>
          <w:rFonts w:ascii="Arial" w:hAnsi="Arial" w:cs="Arial"/>
          <w:bCs/>
          <w:sz w:val="22"/>
          <w:szCs w:val="22"/>
          <w:lang w:val="es-CL"/>
        </w:rPr>
        <w:t xml:space="preserve">, se utilizan principalmente los resultados cuantitativos de SIMPLAN/SIMVAL: se extraen indicadores como NPV medio, NPV@P90 (como proxy de mínimo garantizado), IRR, vida útil, producción pico, etc., y se comparan contra umbrales o mejores valores entre rutas. Para la dimensión </w:t>
      </w:r>
      <w:r w:rsidRPr="00657F4D">
        <w:rPr>
          <w:rFonts w:ascii="Arial" w:hAnsi="Arial" w:cs="Arial"/>
          <w:bCs/>
          <w:i/>
          <w:iCs/>
          <w:sz w:val="22"/>
          <w:szCs w:val="22"/>
          <w:lang w:val="es-CL"/>
        </w:rPr>
        <w:t>Ejecutabilidad</w:t>
      </w:r>
      <w:r w:rsidRPr="00657F4D">
        <w:rPr>
          <w:rFonts w:ascii="Arial" w:hAnsi="Arial" w:cs="Arial"/>
          <w:bCs/>
          <w:sz w:val="22"/>
          <w:szCs w:val="22"/>
          <w:lang w:val="es-CL"/>
        </w:rPr>
        <w:t xml:space="preserve">, se realizan evaluaciones con expertos y partes interesadas, calificando cada criterio (tecnología, geotecnia, comunidad, permisos, etc.) y consolidando en un índice general. A veces se emplea un enfoque de </w:t>
      </w:r>
      <w:r w:rsidRPr="00657F4D">
        <w:rPr>
          <w:rFonts w:ascii="Arial" w:hAnsi="Arial" w:cs="Arial"/>
          <w:b/>
          <w:bCs/>
          <w:sz w:val="22"/>
          <w:szCs w:val="22"/>
          <w:lang w:val="es-CL"/>
        </w:rPr>
        <w:t>matrices de decisión</w:t>
      </w:r>
      <w:r w:rsidRPr="00657F4D">
        <w:rPr>
          <w:rFonts w:ascii="Arial" w:hAnsi="Arial" w:cs="Arial"/>
          <w:bCs/>
          <w:sz w:val="22"/>
          <w:szCs w:val="22"/>
          <w:lang w:val="es-CL"/>
        </w:rPr>
        <w:t xml:space="preserve"> o incluso técnicas de decisión multicriterio para ponderar la importancia relativa de cada </w:t>
      </w:r>
      <w:proofErr w:type="spellStart"/>
      <w:r w:rsidRPr="00657F4D">
        <w:rPr>
          <w:rFonts w:ascii="Arial" w:hAnsi="Arial" w:cs="Arial"/>
          <w:bCs/>
          <w:sz w:val="22"/>
          <w:szCs w:val="22"/>
          <w:lang w:val="es-CL"/>
        </w:rPr>
        <w:t>sub-criterio</w:t>
      </w:r>
      <w:proofErr w:type="spellEnd"/>
      <w:r w:rsidRPr="00657F4D">
        <w:rPr>
          <w:rFonts w:ascii="Arial" w:hAnsi="Arial" w:cs="Arial"/>
          <w:bCs/>
          <w:sz w:val="22"/>
          <w:szCs w:val="22"/>
          <w:lang w:val="es-CL"/>
        </w:rPr>
        <w:t>, dependiendo de la sensibilidad del proyecto. Por ejemplo, en un país con regulaciones ambientales estrictas, el factor permisos podría tener un peso mayor en la ejecutabilidad.</w:t>
      </w:r>
    </w:p>
    <w:p w14:paraId="02FC638A"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Es importante señalar que </w:t>
      </w:r>
      <w:r w:rsidRPr="00657F4D">
        <w:rPr>
          <w:rFonts w:ascii="Arial" w:hAnsi="Arial" w:cs="Arial"/>
          <w:bCs/>
          <w:i/>
          <w:iCs/>
          <w:sz w:val="22"/>
          <w:szCs w:val="22"/>
          <w:lang w:val="es-CL"/>
        </w:rPr>
        <w:t>Atractivo</w:t>
      </w:r>
      <w:r w:rsidRPr="00657F4D">
        <w:rPr>
          <w:rFonts w:ascii="Arial" w:hAnsi="Arial" w:cs="Arial"/>
          <w:bCs/>
          <w:sz w:val="22"/>
          <w:szCs w:val="22"/>
          <w:lang w:val="es-CL"/>
        </w:rPr>
        <w:t xml:space="preserve"> y </w:t>
      </w:r>
      <w:r w:rsidRPr="00657F4D">
        <w:rPr>
          <w:rFonts w:ascii="Arial" w:hAnsi="Arial" w:cs="Arial"/>
          <w:bCs/>
          <w:i/>
          <w:iCs/>
          <w:sz w:val="22"/>
          <w:szCs w:val="22"/>
          <w:lang w:val="es-CL"/>
        </w:rPr>
        <w:t>Ejecutabilidad</w:t>
      </w:r>
      <w:r w:rsidRPr="00657F4D">
        <w:rPr>
          <w:rFonts w:ascii="Arial" w:hAnsi="Arial" w:cs="Arial"/>
          <w:bCs/>
          <w:sz w:val="22"/>
          <w:szCs w:val="22"/>
          <w:lang w:val="es-CL"/>
        </w:rPr>
        <w:t xml:space="preserve"> no son totalmente independientes. Por ejemplo, una ruta con altísimo CAPEX podría puntuar mal en ambos: poco atractiva (por su costo) y poco ejecutable (difícil de financiar, riesgo constructivo). Sin embargo, el objetivo de separar ambos ejes es visualizar rutas que tal vez destacan en </w:t>
      </w:r>
      <w:proofErr w:type="gramStart"/>
      <w:r w:rsidRPr="00657F4D">
        <w:rPr>
          <w:rFonts w:ascii="Arial" w:hAnsi="Arial" w:cs="Arial"/>
          <w:bCs/>
          <w:sz w:val="22"/>
          <w:szCs w:val="22"/>
          <w:lang w:val="es-CL"/>
        </w:rPr>
        <w:t>uno</w:t>
      </w:r>
      <w:proofErr w:type="gramEnd"/>
      <w:r w:rsidRPr="00657F4D">
        <w:rPr>
          <w:rFonts w:ascii="Arial" w:hAnsi="Arial" w:cs="Arial"/>
          <w:bCs/>
          <w:sz w:val="22"/>
          <w:szCs w:val="22"/>
          <w:lang w:val="es-CL"/>
        </w:rPr>
        <w:t xml:space="preserve"> pero flaquean en el otro. La decisión final ideal buscará un balance. Por ejemplo, una Ruta X podría tener el mayor NPV (muy atractiva) pero con dudas serias de ejecutabilidad (quizá requeriría una innovación geotécnica no probada). Otra Ruta Y quizás tiene menor </w:t>
      </w:r>
      <w:proofErr w:type="gramStart"/>
      <w:r w:rsidRPr="00657F4D">
        <w:rPr>
          <w:rFonts w:ascii="Arial" w:hAnsi="Arial" w:cs="Arial"/>
          <w:bCs/>
          <w:sz w:val="22"/>
          <w:szCs w:val="22"/>
          <w:lang w:val="es-CL"/>
        </w:rPr>
        <w:t>NPV</w:t>
      </w:r>
      <w:proofErr w:type="gramEnd"/>
      <w:r w:rsidRPr="00657F4D">
        <w:rPr>
          <w:rFonts w:ascii="Arial" w:hAnsi="Arial" w:cs="Arial"/>
          <w:bCs/>
          <w:sz w:val="22"/>
          <w:szCs w:val="22"/>
          <w:lang w:val="es-CL"/>
        </w:rPr>
        <w:t xml:space="preserve"> pero es mucho más sencilla de implementar (tecnología conocida, menos capital). El análisis multicriterio hará explícitas estas compensaciones para que los tomadores de decisión puedan juzgar.</w:t>
      </w:r>
    </w:p>
    <w:p w14:paraId="27835850"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Para facilitar esto, a menudo se recurre a una representación gráfica de las rutas en un plano bidimensional Atractivo vs Ejecutabilidad. Cada ruta se coloca según su puntaje en ambos ejes, y así se ve claramente, por ejemplo, cuál está en el cuadrante de “alta atractividad &amp; alta ejecutabilidad” (donde quisiéramos estar) versus las que están en “alta </w:t>
      </w:r>
      <w:proofErr w:type="gramStart"/>
      <w:r w:rsidRPr="00657F4D">
        <w:rPr>
          <w:rFonts w:ascii="Arial" w:hAnsi="Arial" w:cs="Arial"/>
          <w:bCs/>
          <w:sz w:val="22"/>
          <w:szCs w:val="22"/>
          <w:lang w:val="es-CL"/>
        </w:rPr>
        <w:t>atractividad</w:t>
      </w:r>
      <w:proofErr w:type="gramEnd"/>
      <w:r w:rsidRPr="00657F4D">
        <w:rPr>
          <w:rFonts w:ascii="Arial" w:hAnsi="Arial" w:cs="Arial"/>
          <w:bCs/>
          <w:sz w:val="22"/>
          <w:szCs w:val="22"/>
          <w:lang w:val="es-CL"/>
        </w:rPr>
        <w:t xml:space="preserve"> pero baja ejecutabilidad”, etc. Esta visualización ayuda a descartar rutas dominadas (por ejemplo, una ruta que es inferior en ambos ejes respecto a otra sería dominada y no óptima).</w:t>
      </w:r>
    </w:p>
    <w:p w14:paraId="74DFAADC" w14:textId="77777777" w:rsidR="00657F4D" w:rsidRPr="002C1314"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En resumen, el análisis multicriterio permite incorporar de manera sistemática y transparente todos los aspectos relevantes en la comparación de opciones. Ya no se decide únicamente en base a NPV o intuición, sino considerando un amplio abanico de criterios alineados con los objetivos estratégicos del proyecto (maximizar valor y asegurar viabilidad). Este enfoque aumenta la robustez de la decisión final, pues la ruta elegida </w:t>
      </w:r>
      <w:r w:rsidRPr="00657F4D">
        <w:rPr>
          <w:rFonts w:ascii="Arial" w:hAnsi="Arial" w:cs="Arial"/>
          <w:bCs/>
          <w:sz w:val="22"/>
          <w:szCs w:val="22"/>
          <w:lang w:val="es-CL"/>
        </w:rPr>
        <w:t>habrá sido examinada desde múltiples perspectivas.</w:t>
      </w:r>
    </w:p>
    <w:p w14:paraId="07987A33" w14:textId="77777777" w:rsidR="002C1314" w:rsidRPr="00657F4D" w:rsidRDefault="002C1314" w:rsidP="00657F4D">
      <w:pPr>
        <w:jc w:val="both"/>
        <w:rPr>
          <w:rFonts w:ascii="Arial" w:hAnsi="Arial" w:cs="Arial"/>
          <w:bCs/>
          <w:sz w:val="22"/>
          <w:szCs w:val="22"/>
          <w:lang w:val="es-CL"/>
        </w:rPr>
      </w:pPr>
    </w:p>
    <w:p w14:paraId="43AABACC" w14:textId="77777777" w:rsidR="00657F4D" w:rsidRDefault="00657F4D" w:rsidP="00657F4D">
      <w:pPr>
        <w:jc w:val="both"/>
        <w:rPr>
          <w:rFonts w:ascii="Arial" w:hAnsi="Arial" w:cs="Arial"/>
          <w:b/>
          <w:bCs/>
          <w:sz w:val="22"/>
          <w:szCs w:val="22"/>
          <w:lang w:val="es-CL"/>
        </w:rPr>
      </w:pPr>
      <w:r w:rsidRPr="00657F4D">
        <w:rPr>
          <w:rFonts w:ascii="Arial" w:hAnsi="Arial" w:cs="Arial"/>
          <w:b/>
          <w:bCs/>
          <w:sz w:val="22"/>
          <w:szCs w:val="22"/>
          <w:lang w:val="es-CL"/>
        </w:rPr>
        <w:t>Matriz de decisión y priorización de rutas</w:t>
      </w:r>
    </w:p>
    <w:p w14:paraId="07BD5DD9" w14:textId="77777777" w:rsidR="002C1314" w:rsidRPr="00657F4D" w:rsidRDefault="002C1314" w:rsidP="00657F4D">
      <w:pPr>
        <w:jc w:val="both"/>
        <w:rPr>
          <w:rFonts w:ascii="Arial" w:hAnsi="Arial" w:cs="Arial"/>
          <w:b/>
          <w:bCs/>
          <w:sz w:val="22"/>
          <w:szCs w:val="22"/>
          <w:lang w:val="es-CL"/>
        </w:rPr>
      </w:pPr>
    </w:p>
    <w:p w14:paraId="07CD0E23" w14:textId="7777777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Finalmente, con las evaluaciones cuantitativas (simulación) y cualitativas (multicriterio) realizadas, se elabora una matriz de decisión que sintetiza los resultados de todas las rutas analizadas. En esta matriz se listan las rutas consideradas (R0, R1, R2, ... Rn) y se tabulan las principales métricas de atractivo y ejecutabilidad para cada una, lo que facilita su comparación lado a lado. La </w:t>
      </w:r>
      <w:r w:rsidRPr="00657F4D">
        <w:rPr>
          <w:rFonts w:ascii="Arial" w:hAnsi="Arial" w:cs="Arial"/>
          <w:b/>
          <w:bCs/>
          <w:sz w:val="22"/>
          <w:szCs w:val="22"/>
          <w:lang w:val="es-CL"/>
        </w:rPr>
        <w:t>Tabla 1</w:t>
      </w:r>
      <w:r w:rsidRPr="00657F4D">
        <w:rPr>
          <w:rFonts w:ascii="Arial" w:hAnsi="Arial" w:cs="Arial"/>
          <w:bCs/>
          <w:sz w:val="22"/>
          <w:szCs w:val="22"/>
          <w:lang w:val="es-CL"/>
        </w:rPr>
        <w:t xml:space="preserve"> a continuación muestra un ejemplo simplificado de dicha matriz de decisión, con algunos indicadores ilustrativos para tres rutas hipotéticas:</w:t>
      </w:r>
    </w:p>
    <w:p w14:paraId="24791B53" w14:textId="77777777" w:rsidR="00657F4D" w:rsidRPr="00657F4D" w:rsidRDefault="00657F4D" w:rsidP="00657F4D">
      <w:pPr>
        <w:jc w:val="both"/>
        <w:rPr>
          <w:rFonts w:ascii="Arial" w:hAnsi="Arial" w:cs="Arial"/>
          <w:bCs/>
          <w:sz w:val="22"/>
          <w:szCs w:val="22"/>
          <w:lang w:val="es-CL"/>
        </w:rPr>
      </w:pPr>
    </w:p>
    <w:tbl>
      <w:tblPr>
        <w:tblStyle w:val="Tablaconcuadrculaclara"/>
        <w:tblW w:w="0" w:type="auto"/>
        <w:tblLook w:val="04A0" w:firstRow="1" w:lastRow="0" w:firstColumn="1" w:lastColumn="0" w:noHBand="0" w:noVBand="1"/>
      </w:tblPr>
      <w:tblGrid>
        <w:gridCol w:w="1252"/>
        <w:gridCol w:w="687"/>
        <w:gridCol w:w="686"/>
        <w:gridCol w:w="686"/>
        <w:gridCol w:w="499"/>
        <w:gridCol w:w="1166"/>
      </w:tblGrid>
      <w:tr w:rsidR="00657F4D" w:rsidRPr="00657F4D" w14:paraId="79D8E6BA" w14:textId="77777777" w:rsidTr="00657F4D">
        <w:tc>
          <w:tcPr>
            <w:tcW w:w="0" w:type="auto"/>
            <w:hideMark/>
          </w:tcPr>
          <w:p w14:paraId="60A40903"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Ruta</w:t>
            </w:r>
          </w:p>
        </w:tc>
        <w:tc>
          <w:tcPr>
            <w:tcW w:w="0" w:type="auto"/>
            <w:hideMark/>
          </w:tcPr>
          <w:p w14:paraId="0FFAB00E"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NPV P50 (MM US$)</w:t>
            </w:r>
          </w:p>
        </w:tc>
        <w:tc>
          <w:tcPr>
            <w:tcW w:w="0" w:type="auto"/>
            <w:hideMark/>
          </w:tcPr>
          <w:p w14:paraId="1F40B525"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NPV P10 (MM US$)</w:t>
            </w:r>
          </w:p>
        </w:tc>
        <w:tc>
          <w:tcPr>
            <w:tcW w:w="0" w:type="auto"/>
            <w:hideMark/>
          </w:tcPr>
          <w:p w14:paraId="10721ECA"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NPV P90 (MM US$)</w:t>
            </w:r>
          </w:p>
        </w:tc>
        <w:tc>
          <w:tcPr>
            <w:tcW w:w="0" w:type="auto"/>
            <w:hideMark/>
          </w:tcPr>
          <w:p w14:paraId="0513F6C4"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IRR (%)</w:t>
            </w:r>
          </w:p>
        </w:tc>
        <w:tc>
          <w:tcPr>
            <w:tcW w:w="649" w:type="dxa"/>
            <w:hideMark/>
          </w:tcPr>
          <w:p w14:paraId="69EE6656" w14:textId="77777777" w:rsidR="00657F4D" w:rsidRPr="00657F4D" w:rsidRDefault="00657F4D" w:rsidP="00657F4D">
            <w:pPr>
              <w:jc w:val="both"/>
              <w:rPr>
                <w:rFonts w:ascii="Arial" w:hAnsi="Arial" w:cs="Arial"/>
                <w:b/>
                <w:bCs/>
                <w:sz w:val="14"/>
                <w:szCs w:val="14"/>
                <w:lang w:val="es-CL"/>
              </w:rPr>
            </w:pPr>
            <w:r w:rsidRPr="00657F4D">
              <w:rPr>
                <w:rFonts w:ascii="Arial" w:hAnsi="Arial" w:cs="Arial"/>
                <w:b/>
                <w:bCs/>
                <w:sz w:val="14"/>
                <w:szCs w:val="14"/>
                <w:lang w:val="es-CL"/>
              </w:rPr>
              <w:t>Evaluación Ejecutabilidad</w:t>
            </w:r>
          </w:p>
        </w:tc>
      </w:tr>
      <w:tr w:rsidR="00657F4D" w:rsidRPr="00657F4D" w14:paraId="277B7511" w14:textId="77777777" w:rsidTr="00657F4D">
        <w:tc>
          <w:tcPr>
            <w:tcW w:w="0" w:type="auto"/>
            <w:hideMark/>
          </w:tcPr>
          <w:p w14:paraId="11186695"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R0: Caso Base Tradicional</w:t>
            </w:r>
            <w:r w:rsidRPr="00657F4D">
              <w:rPr>
                <w:rFonts w:ascii="Arial" w:hAnsi="Arial" w:cs="Arial"/>
                <w:bCs/>
                <w:sz w:val="14"/>
                <w:szCs w:val="14"/>
                <w:lang w:val="es-CL"/>
              </w:rPr>
              <w:t xml:space="preserve"> </w:t>
            </w:r>
            <w:r w:rsidRPr="00657F4D">
              <w:rPr>
                <w:rFonts w:ascii="Arial" w:hAnsi="Arial" w:cs="Arial"/>
                <w:bCs/>
                <w:sz w:val="14"/>
                <w:szCs w:val="14"/>
                <w:lang w:val="es-CL"/>
              </w:rPr>
              <w:br/>
            </w:r>
            <w:r w:rsidRPr="00657F4D">
              <w:rPr>
                <w:rFonts w:ascii="Arial" w:hAnsi="Arial" w:cs="Arial"/>
                <w:bCs/>
                <w:i/>
                <w:iCs/>
                <w:sz w:val="14"/>
                <w:szCs w:val="14"/>
                <w:lang w:val="es-CL"/>
              </w:rPr>
              <w:t>(Agotar rajo, luego UG tardío)</w:t>
            </w:r>
          </w:p>
        </w:tc>
        <w:tc>
          <w:tcPr>
            <w:tcW w:w="0" w:type="auto"/>
            <w:hideMark/>
          </w:tcPr>
          <w:p w14:paraId="70242317"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900</w:t>
            </w:r>
          </w:p>
        </w:tc>
        <w:tc>
          <w:tcPr>
            <w:tcW w:w="0" w:type="auto"/>
            <w:hideMark/>
          </w:tcPr>
          <w:p w14:paraId="356315B4"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850</w:t>
            </w:r>
          </w:p>
        </w:tc>
        <w:tc>
          <w:tcPr>
            <w:tcW w:w="0" w:type="auto"/>
            <w:hideMark/>
          </w:tcPr>
          <w:p w14:paraId="3544670B"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950</w:t>
            </w:r>
          </w:p>
        </w:tc>
        <w:tc>
          <w:tcPr>
            <w:tcW w:w="0" w:type="auto"/>
            <w:hideMark/>
          </w:tcPr>
          <w:p w14:paraId="1C31E3DF"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22</w:t>
            </w:r>
          </w:p>
        </w:tc>
        <w:tc>
          <w:tcPr>
            <w:tcW w:w="649" w:type="dxa"/>
            <w:hideMark/>
          </w:tcPr>
          <w:p w14:paraId="40FF9171"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Alta</w:t>
            </w:r>
            <w:r w:rsidRPr="00657F4D">
              <w:rPr>
                <w:rFonts w:ascii="Arial" w:hAnsi="Arial" w:cs="Arial"/>
                <w:bCs/>
                <w:sz w:val="14"/>
                <w:szCs w:val="14"/>
                <w:lang w:val="es-CL"/>
              </w:rPr>
              <w:t xml:space="preserve"> (plan convencional, menor complejidad)</w:t>
            </w:r>
          </w:p>
        </w:tc>
      </w:tr>
      <w:tr w:rsidR="00657F4D" w:rsidRPr="00657F4D" w14:paraId="6CC5C71A" w14:textId="77777777" w:rsidTr="00657F4D">
        <w:tc>
          <w:tcPr>
            <w:tcW w:w="0" w:type="auto"/>
            <w:hideMark/>
          </w:tcPr>
          <w:p w14:paraId="4646DEEC"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R1: Ruta Modular Escalonada</w:t>
            </w:r>
            <w:r w:rsidRPr="00657F4D">
              <w:rPr>
                <w:rFonts w:ascii="Arial" w:hAnsi="Arial" w:cs="Arial"/>
                <w:bCs/>
                <w:sz w:val="14"/>
                <w:szCs w:val="14"/>
                <w:lang w:val="es-CL"/>
              </w:rPr>
              <w:t xml:space="preserve"> </w:t>
            </w:r>
            <w:r w:rsidRPr="00657F4D">
              <w:rPr>
                <w:rFonts w:ascii="Arial" w:hAnsi="Arial" w:cs="Arial"/>
                <w:bCs/>
                <w:sz w:val="14"/>
                <w:szCs w:val="14"/>
                <w:lang w:val="es-CL"/>
              </w:rPr>
              <w:br/>
            </w:r>
            <w:r w:rsidRPr="00657F4D">
              <w:rPr>
                <w:rFonts w:ascii="Arial" w:hAnsi="Arial" w:cs="Arial"/>
                <w:bCs/>
                <w:i/>
                <w:iCs/>
                <w:sz w:val="14"/>
                <w:szCs w:val="14"/>
                <w:lang w:val="es-CL"/>
              </w:rPr>
              <w:t>(UG piloto temprana + Block Caving)</w:t>
            </w:r>
          </w:p>
        </w:tc>
        <w:tc>
          <w:tcPr>
            <w:tcW w:w="0" w:type="auto"/>
            <w:hideMark/>
          </w:tcPr>
          <w:p w14:paraId="27E2E418"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950</w:t>
            </w:r>
          </w:p>
        </w:tc>
        <w:tc>
          <w:tcPr>
            <w:tcW w:w="0" w:type="auto"/>
            <w:hideMark/>
          </w:tcPr>
          <w:p w14:paraId="465536D3"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880</w:t>
            </w:r>
          </w:p>
        </w:tc>
        <w:tc>
          <w:tcPr>
            <w:tcW w:w="0" w:type="auto"/>
            <w:hideMark/>
          </w:tcPr>
          <w:p w14:paraId="4E2508C7"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1050</w:t>
            </w:r>
          </w:p>
        </w:tc>
        <w:tc>
          <w:tcPr>
            <w:tcW w:w="0" w:type="auto"/>
            <w:hideMark/>
          </w:tcPr>
          <w:p w14:paraId="7DCEA91C"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20</w:t>
            </w:r>
          </w:p>
        </w:tc>
        <w:tc>
          <w:tcPr>
            <w:tcW w:w="649" w:type="dxa"/>
            <w:hideMark/>
          </w:tcPr>
          <w:p w14:paraId="7C3A89CF"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Media</w:t>
            </w:r>
            <w:r w:rsidRPr="00657F4D">
              <w:rPr>
                <w:rFonts w:ascii="Arial" w:hAnsi="Arial" w:cs="Arial"/>
                <w:bCs/>
                <w:sz w:val="14"/>
                <w:szCs w:val="14"/>
                <w:lang w:val="es-CL"/>
              </w:rPr>
              <w:t xml:space="preserve"> (nueva fase UG, requiere </w:t>
            </w:r>
            <w:proofErr w:type="spellStart"/>
            <w:r w:rsidRPr="00657F4D">
              <w:rPr>
                <w:rFonts w:ascii="Arial" w:hAnsi="Arial" w:cs="Arial"/>
                <w:bCs/>
                <w:sz w:val="14"/>
                <w:szCs w:val="14"/>
                <w:lang w:val="es-CL"/>
              </w:rPr>
              <w:t>ramp</w:t>
            </w:r>
            <w:proofErr w:type="spellEnd"/>
            <w:r w:rsidRPr="00657F4D">
              <w:rPr>
                <w:rFonts w:ascii="Arial" w:hAnsi="Arial" w:cs="Arial"/>
                <w:bCs/>
                <w:sz w:val="14"/>
                <w:szCs w:val="14"/>
                <w:lang w:val="es-CL"/>
              </w:rPr>
              <w:t>-up)</w:t>
            </w:r>
          </w:p>
        </w:tc>
      </w:tr>
      <w:tr w:rsidR="00657F4D" w:rsidRPr="00657F4D" w14:paraId="67B479B5" w14:textId="77777777" w:rsidTr="00657F4D">
        <w:tc>
          <w:tcPr>
            <w:tcW w:w="0" w:type="auto"/>
            <w:hideMark/>
          </w:tcPr>
          <w:p w14:paraId="7A7428DA"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R2: Ruta Maximalista UG</w:t>
            </w:r>
            <w:r w:rsidRPr="00657F4D">
              <w:rPr>
                <w:rFonts w:ascii="Arial" w:hAnsi="Arial" w:cs="Arial"/>
                <w:bCs/>
                <w:sz w:val="14"/>
                <w:szCs w:val="14"/>
                <w:lang w:val="es-CL"/>
              </w:rPr>
              <w:t xml:space="preserve"> </w:t>
            </w:r>
            <w:r w:rsidRPr="00657F4D">
              <w:rPr>
                <w:rFonts w:ascii="Arial" w:hAnsi="Arial" w:cs="Arial"/>
                <w:bCs/>
                <w:sz w:val="14"/>
                <w:szCs w:val="14"/>
                <w:lang w:val="es-CL"/>
              </w:rPr>
              <w:br/>
            </w:r>
            <w:r w:rsidRPr="00657F4D">
              <w:rPr>
                <w:rFonts w:ascii="Arial" w:hAnsi="Arial" w:cs="Arial"/>
                <w:bCs/>
                <w:i/>
                <w:iCs/>
                <w:sz w:val="14"/>
                <w:szCs w:val="14"/>
                <w:lang w:val="es-CL"/>
              </w:rPr>
              <w:t>(Transición anticipada a UG masivo)</w:t>
            </w:r>
          </w:p>
        </w:tc>
        <w:tc>
          <w:tcPr>
            <w:tcW w:w="0" w:type="auto"/>
            <w:hideMark/>
          </w:tcPr>
          <w:p w14:paraId="55502F80"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1000</w:t>
            </w:r>
          </w:p>
        </w:tc>
        <w:tc>
          <w:tcPr>
            <w:tcW w:w="0" w:type="auto"/>
            <w:hideMark/>
          </w:tcPr>
          <w:p w14:paraId="003B2888"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800</w:t>
            </w:r>
          </w:p>
        </w:tc>
        <w:tc>
          <w:tcPr>
            <w:tcW w:w="0" w:type="auto"/>
            <w:hideMark/>
          </w:tcPr>
          <w:p w14:paraId="788E9383"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1200</w:t>
            </w:r>
          </w:p>
        </w:tc>
        <w:tc>
          <w:tcPr>
            <w:tcW w:w="0" w:type="auto"/>
            <w:hideMark/>
          </w:tcPr>
          <w:p w14:paraId="10BE0BF2" w14:textId="77777777" w:rsidR="00657F4D" w:rsidRPr="00657F4D" w:rsidRDefault="00657F4D" w:rsidP="00657F4D">
            <w:pPr>
              <w:jc w:val="both"/>
              <w:rPr>
                <w:rFonts w:ascii="Arial" w:hAnsi="Arial" w:cs="Arial"/>
                <w:bCs/>
                <w:sz w:val="14"/>
                <w:szCs w:val="14"/>
                <w:lang w:val="es-CL"/>
              </w:rPr>
            </w:pPr>
            <w:r w:rsidRPr="00657F4D">
              <w:rPr>
                <w:rFonts w:ascii="Arial" w:hAnsi="Arial" w:cs="Arial"/>
                <w:bCs/>
                <w:sz w:val="14"/>
                <w:szCs w:val="14"/>
                <w:lang w:val="es-CL"/>
              </w:rPr>
              <w:t>25</w:t>
            </w:r>
          </w:p>
        </w:tc>
        <w:tc>
          <w:tcPr>
            <w:tcW w:w="649" w:type="dxa"/>
            <w:hideMark/>
          </w:tcPr>
          <w:p w14:paraId="65DCEE72" w14:textId="77777777" w:rsidR="00657F4D" w:rsidRPr="00657F4D" w:rsidRDefault="00657F4D" w:rsidP="00657F4D">
            <w:pPr>
              <w:jc w:val="both"/>
              <w:rPr>
                <w:rFonts w:ascii="Arial" w:hAnsi="Arial" w:cs="Arial"/>
                <w:bCs/>
                <w:sz w:val="14"/>
                <w:szCs w:val="14"/>
                <w:lang w:val="es-CL"/>
              </w:rPr>
            </w:pPr>
            <w:r w:rsidRPr="00657F4D">
              <w:rPr>
                <w:rFonts w:ascii="Arial" w:hAnsi="Arial" w:cs="Arial"/>
                <w:b/>
                <w:bCs/>
                <w:sz w:val="14"/>
                <w:szCs w:val="14"/>
                <w:lang w:val="es-CL"/>
              </w:rPr>
              <w:t>Baja</w:t>
            </w:r>
            <w:r w:rsidRPr="00657F4D">
              <w:rPr>
                <w:rFonts w:ascii="Arial" w:hAnsi="Arial" w:cs="Arial"/>
                <w:bCs/>
                <w:sz w:val="14"/>
                <w:szCs w:val="14"/>
                <w:lang w:val="es-CL"/>
              </w:rPr>
              <w:t xml:space="preserve"> (alta inversión, alto desafío técnico)</w:t>
            </w:r>
          </w:p>
        </w:tc>
      </w:tr>
    </w:tbl>
    <w:p w14:paraId="11ADFCFB" w14:textId="77777777" w:rsidR="00657F4D" w:rsidRPr="00657F4D" w:rsidRDefault="00657F4D" w:rsidP="00657F4D">
      <w:pPr>
        <w:jc w:val="both"/>
        <w:rPr>
          <w:rFonts w:ascii="Arial" w:hAnsi="Arial" w:cs="Arial"/>
          <w:bCs/>
          <w:sz w:val="18"/>
          <w:szCs w:val="18"/>
          <w:lang w:val="es-CL"/>
        </w:rPr>
      </w:pPr>
      <w:r w:rsidRPr="00657F4D">
        <w:rPr>
          <w:rFonts w:ascii="Arial" w:hAnsi="Arial" w:cs="Arial"/>
          <w:bCs/>
          <w:i/>
          <w:iCs/>
          <w:sz w:val="18"/>
          <w:szCs w:val="18"/>
          <w:lang w:val="es-CL"/>
        </w:rPr>
        <w:t>Tabla 1.</w:t>
      </w:r>
      <w:r w:rsidRPr="00657F4D">
        <w:rPr>
          <w:rFonts w:ascii="Arial" w:hAnsi="Arial" w:cs="Arial"/>
          <w:bCs/>
          <w:sz w:val="18"/>
          <w:szCs w:val="18"/>
          <w:lang w:val="es-CL"/>
        </w:rPr>
        <w:t xml:space="preserve"> Ejemplo de matriz comparativa de rutas, mostrando indicadores financieros (NPV medio, escenario pesimista P10, optimista P90, IRR) y una apreciación de ejecutabilidad cualitativa en cada caso. (Valores hipotéticos solo para ilustración.)</w:t>
      </w:r>
    </w:p>
    <w:p w14:paraId="647A22BD" w14:textId="77777777" w:rsidR="00657F4D" w:rsidRPr="00657F4D" w:rsidRDefault="00657F4D" w:rsidP="00657F4D">
      <w:pPr>
        <w:jc w:val="both"/>
        <w:rPr>
          <w:rFonts w:ascii="Arial" w:hAnsi="Arial" w:cs="Arial"/>
          <w:bCs/>
          <w:sz w:val="22"/>
          <w:szCs w:val="22"/>
          <w:lang w:val="es-CL"/>
        </w:rPr>
      </w:pPr>
    </w:p>
    <w:p w14:paraId="5ACEF60F"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En este ejemplo, la Ruta R2 ofrece el mayor NPV medio (1000 MUSD) pero conlleva el mayor riesgo (amplio rango P10–P90) y se considera de baja ejecutabilidad dado su perfil agresivo. La Ruta R0, más conservadora, tiene el NPV más </w:t>
      </w:r>
      <w:proofErr w:type="gramStart"/>
      <w:r w:rsidRPr="00657F4D">
        <w:rPr>
          <w:rFonts w:ascii="Arial" w:hAnsi="Arial" w:cs="Arial"/>
          <w:bCs/>
          <w:sz w:val="22"/>
          <w:szCs w:val="22"/>
          <w:lang w:val="es-CL"/>
        </w:rPr>
        <w:t>bajo</w:t>
      </w:r>
      <w:proofErr w:type="gramEnd"/>
      <w:r w:rsidRPr="00657F4D">
        <w:rPr>
          <w:rFonts w:ascii="Arial" w:hAnsi="Arial" w:cs="Arial"/>
          <w:bCs/>
          <w:sz w:val="22"/>
          <w:szCs w:val="22"/>
          <w:lang w:val="es-CL"/>
        </w:rPr>
        <w:t xml:space="preserve"> pero es fácil de ejecutar. La Ruta R1 intermedia muestra un NPV mejor que R0 y riesgo acotado, con una ejecutabilidad moderada. Si evaluamos el </w:t>
      </w:r>
      <w:proofErr w:type="spellStart"/>
      <w:r w:rsidRPr="00657F4D">
        <w:rPr>
          <w:rFonts w:ascii="Arial" w:hAnsi="Arial" w:cs="Arial"/>
          <w:bCs/>
          <w:i/>
          <w:iCs/>
          <w:sz w:val="22"/>
          <w:szCs w:val="22"/>
          <w:lang w:val="es-CL"/>
        </w:rPr>
        <w:t>attractiveness</w:t>
      </w:r>
      <w:proofErr w:type="spellEnd"/>
      <w:r w:rsidRPr="00657F4D">
        <w:rPr>
          <w:rFonts w:ascii="Arial" w:hAnsi="Arial" w:cs="Arial"/>
          <w:bCs/>
          <w:sz w:val="22"/>
          <w:szCs w:val="22"/>
          <w:lang w:val="es-CL"/>
        </w:rPr>
        <w:t xml:space="preserve"> y </w:t>
      </w:r>
      <w:r w:rsidRPr="00657F4D">
        <w:rPr>
          <w:rFonts w:ascii="Arial" w:hAnsi="Arial" w:cs="Arial"/>
          <w:bCs/>
          <w:i/>
          <w:iCs/>
          <w:sz w:val="22"/>
          <w:szCs w:val="22"/>
          <w:lang w:val="es-CL"/>
        </w:rPr>
        <w:t>doability</w:t>
      </w:r>
      <w:r w:rsidRPr="00657F4D">
        <w:rPr>
          <w:rFonts w:ascii="Arial" w:hAnsi="Arial" w:cs="Arial"/>
          <w:bCs/>
          <w:sz w:val="22"/>
          <w:szCs w:val="22"/>
          <w:lang w:val="es-CL"/>
        </w:rPr>
        <w:t xml:space="preserve"> de forma integrada, R1 podría emerger como la opción óptima equilibrada, dependiendo del apetito de riesgo de la empresa.</w:t>
      </w:r>
    </w:p>
    <w:p w14:paraId="50C28539"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Para la priorización formal, se pueden aplicar distintos métodos según las preferencias de decisión de la compañía: algunos optan por un </w:t>
      </w:r>
      <w:r w:rsidRPr="00657F4D">
        <w:rPr>
          <w:rFonts w:ascii="Arial" w:hAnsi="Arial" w:cs="Arial"/>
          <w:b/>
          <w:bCs/>
          <w:sz w:val="22"/>
          <w:szCs w:val="22"/>
          <w:lang w:val="es-CL"/>
        </w:rPr>
        <w:t>score</w:t>
      </w:r>
      <w:r w:rsidRPr="00657F4D">
        <w:rPr>
          <w:rFonts w:ascii="Arial" w:hAnsi="Arial" w:cs="Arial"/>
          <w:bCs/>
          <w:sz w:val="22"/>
          <w:szCs w:val="22"/>
          <w:lang w:val="es-CL"/>
        </w:rPr>
        <w:t xml:space="preserve"> ponderado (asignando un peso a la dimensión atractividad y otro a ejecutabilidad, y calculando un puntaje compuesto para cada ruta). Otros prefieren reglas de decisión más simples, como eliminar rutas que no cumplan un criterio mínimo en alguno de los ejes (</w:t>
      </w:r>
      <w:proofErr w:type="gramStart"/>
      <w:r w:rsidRPr="00657F4D">
        <w:rPr>
          <w:rFonts w:ascii="Arial" w:hAnsi="Arial" w:cs="Arial"/>
          <w:bCs/>
          <w:i/>
          <w:iCs/>
          <w:sz w:val="22"/>
          <w:szCs w:val="22"/>
          <w:lang w:val="es-CL"/>
        </w:rPr>
        <w:t>knock-out</w:t>
      </w:r>
      <w:proofErr w:type="gramEnd"/>
      <w:r w:rsidRPr="00657F4D">
        <w:rPr>
          <w:rFonts w:ascii="Arial" w:hAnsi="Arial" w:cs="Arial"/>
          <w:bCs/>
          <w:i/>
          <w:iCs/>
          <w:sz w:val="22"/>
          <w:szCs w:val="22"/>
          <w:lang w:val="es-CL"/>
        </w:rPr>
        <w:t xml:space="preserve"> </w:t>
      </w:r>
      <w:proofErr w:type="spellStart"/>
      <w:r w:rsidRPr="00657F4D">
        <w:rPr>
          <w:rFonts w:ascii="Arial" w:hAnsi="Arial" w:cs="Arial"/>
          <w:bCs/>
          <w:i/>
          <w:iCs/>
          <w:sz w:val="22"/>
          <w:szCs w:val="22"/>
          <w:lang w:val="es-CL"/>
        </w:rPr>
        <w:t>criteria</w:t>
      </w:r>
      <w:proofErr w:type="spellEnd"/>
      <w:r w:rsidRPr="00657F4D">
        <w:rPr>
          <w:rFonts w:ascii="Arial" w:hAnsi="Arial" w:cs="Arial"/>
          <w:bCs/>
          <w:sz w:val="22"/>
          <w:szCs w:val="22"/>
          <w:lang w:val="es-CL"/>
        </w:rPr>
        <w:t xml:space="preserve">). Por ejemplo, se podría descartar cualquier ruta con ejecutabilidad “Baja” sin importar su NPV, si la </w:t>
      </w:r>
      <w:r w:rsidRPr="00657F4D">
        <w:rPr>
          <w:rFonts w:ascii="Arial" w:hAnsi="Arial" w:cs="Arial"/>
          <w:bCs/>
          <w:sz w:val="22"/>
          <w:szCs w:val="22"/>
          <w:lang w:val="es-CL"/>
        </w:rPr>
        <w:lastRenderedPageBreak/>
        <w:t>política corporativa es evitar proyectos de riesgo operacional alto.</w:t>
      </w:r>
    </w:p>
    <w:p w14:paraId="517DCB80" w14:textId="77777777" w:rsid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Una vez seleccionada la ruta óptima o un ranking de rutas (a veces se deja una segunda opción de contingencia), es importante documentar la racionalidad de la elección. La matriz de decisión provee esa trazabilidad: muestra cómo se comportaron las alternativas en cada aspecto evaluado. Esto es valioso tanto para comunicar la decisión a stakeholders (directorio, inversionistas, autoridades, comunidades) como para base de futuras revisiones. Por ejemplo, si con el tiempo cambian condiciones (digamos, suben fuertemente los precios del metal), la matriz permite </w:t>
      </w:r>
      <w:proofErr w:type="spellStart"/>
      <w:r w:rsidRPr="00657F4D">
        <w:rPr>
          <w:rFonts w:ascii="Arial" w:hAnsi="Arial" w:cs="Arial"/>
          <w:bCs/>
          <w:sz w:val="22"/>
          <w:szCs w:val="22"/>
          <w:lang w:val="es-CL"/>
        </w:rPr>
        <w:t>re-evaluar</w:t>
      </w:r>
      <w:proofErr w:type="spellEnd"/>
      <w:r w:rsidRPr="00657F4D">
        <w:rPr>
          <w:rFonts w:ascii="Arial" w:hAnsi="Arial" w:cs="Arial"/>
          <w:bCs/>
          <w:sz w:val="22"/>
          <w:szCs w:val="22"/>
          <w:lang w:val="es-CL"/>
        </w:rPr>
        <w:t xml:space="preserve"> rápidamente si otra ruta pasaría a ser preferible bajo las nuevas premisas.</w:t>
      </w:r>
    </w:p>
    <w:p w14:paraId="36529BFA" w14:textId="77777777" w:rsidR="005472E7" w:rsidRDefault="005472E7" w:rsidP="00657F4D">
      <w:pPr>
        <w:jc w:val="both"/>
        <w:rPr>
          <w:rFonts w:ascii="Arial" w:hAnsi="Arial" w:cs="Arial"/>
          <w:bCs/>
          <w:sz w:val="22"/>
          <w:szCs w:val="22"/>
          <w:lang w:val="es-CL"/>
        </w:rPr>
      </w:pPr>
    </w:p>
    <w:p w14:paraId="38AF9513" w14:textId="03E36A8E" w:rsidR="005472E7" w:rsidRPr="00657F4D" w:rsidRDefault="00142F3A" w:rsidP="00657F4D">
      <w:pPr>
        <w:jc w:val="both"/>
        <w:rPr>
          <w:rFonts w:ascii="Arial" w:hAnsi="Arial" w:cs="Arial"/>
          <w:bCs/>
          <w:sz w:val="22"/>
          <w:szCs w:val="22"/>
          <w:lang w:val="es-CL"/>
        </w:rPr>
      </w:pPr>
      <w:r>
        <w:rPr>
          <w:rFonts w:ascii="Arial" w:hAnsi="Arial" w:cs="Arial"/>
          <w:bCs/>
          <w:noProof/>
          <w:sz w:val="22"/>
          <w:szCs w:val="22"/>
          <w:lang w:val="es-CL"/>
        </w:rPr>
        <w:drawing>
          <wp:inline distT="0" distB="0" distL="0" distR="0" wp14:anchorId="7832CA1F" wp14:editId="0ECD77AA">
            <wp:extent cx="3147214" cy="1409700"/>
            <wp:effectExtent l="0" t="0" r="0" b="0"/>
            <wp:docPr id="1461875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56283" cy="1413762"/>
                    </a:xfrm>
                    <a:prstGeom prst="rect">
                      <a:avLst/>
                    </a:prstGeom>
                    <a:noFill/>
                  </pic:spPr>
                </pic:pic>
              </a:graphicData>
            </a:graphic>
          </wp:inline>
        </w:drawing>
      </w:r>
    </w:p>
    <w:p w14:paraId="61F4C7A3" w14:textId="5B9D1300" w:rsidR="00657F4D" w:rsidRDefault="00657F4D" w:rsidP="00657F4D">
      <w:pPr>
        <w:jc w:val="both"/>
        <w:rPr>
          <w:rFonts w:ascii="Arial" w:hAnsi="Arial" w:cs="Arial"/>
          <w:bCs/>
          <w:sz w:val="22"/>
          <w:szCs w:val="22"/>
          <w:lang w:val="es-CL"/>
        </w:rPr>
      </w:pPr>
      <w:r w:rsidRPr="00657F4D">
        <w:rPr>
          <w:rFonts w:ascii="Arial" w:hAnsi="Arial" w:cs="Arial"/>
          <w:bCs/>
          <w:i/>
          <w:iCs/>
          <w:sz w:val="22"/>
          <w:szCs w:val="22"/>
          <w:lang w:val="es-CL"/>
        </w:rPr>
        <w:t xml:space="preserve">Figura </w:t>
      </w:r>
      <w:r w:rsidR="00142F3A">
        <w:rPr>
          <w:rFonts w:ascii="Arial" w:hAnsi="Arial" w:cs="Arial"/>
          <w:bCs/>
          <w:i/>
          <w:iCs/>
          <w:sz w:val="22"/>
          <w:szCs w:val="22"/>
          <w:lang w:val="es-CL"/>
        </w:rPr>
        <w:t>3</w:t>
      </w:r>
      <w:r w:rsidRPr="00657F4D">
        <w:rPr>
          <w:rFonts w:ascii="Arial" w:hAnsi="Arial" w:cs="Arial"/>
          <w:bCs/>
          <w:i/>
          <w:iCs/>
          <w:sz w:val="22"/>
          <w:szCs w:val="22"/>
          <w:lang w:val="es-CL"/>
        </w:rPr>
        <w:t>.</w:t>
      </w:r>
      <w:r w:rsidRPr="00657F4D">
        <w:rPr>
          <w:rFonts w:ascii="Arial" w:hAnsi="Arial" w:cs="Arial"/>
          <w:bCs/>
          <w:sz w:val="22"/>
          <w:szCs w:val="22"/>
          <w:lang w:val="es-CL"/>
        </w:rPr>
        <w:t xml:space="preserve"> Comparación de los resultados </w:t>
      </w:r>
      <w:r w:rsidR="005472E7">
        <w:rPr>
          <w:rFonts w:ascii="Arial" w:hAnsi="Arial" w:cs="Arial"/>
          <w:bCs/>
          <w:sz w:val="22"/>
          <w:szCs w:val="22"/>
          <w:lang w:val="es-CL"/>
        </w:rPr>
        <w:t>de diferentes rutas, evaluados con la metodología (teórico).</w:t>
      </w:r>
    </w:p>
    <w:p w14:paraId="776012D8" w14:textId="77777777" w:rsidR="005472E7" w:rsidRPr="00657F4D" w:rsidRDefault="005472E7" w:rsidP="00657F4D">
      <w:pPr>
        <w:jc w:val="both"/>
        <w:rPr>
          <w:rFonts w:ascii="Arial" w:hAnsi="Arial" w:cs="Arial"/>
          <w:bCs/>
          <w:sz w:val="22"/>
          <w:szCs w:val="22"/>
          <w:lang w:val="es-CL"/>
        </w:rPr>
      </w:pPr>
    </w:p>
    <w:p w14:paraId="069BA5C4"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Tras discutir la matriz de decisión con las gerencias y expertos clave, la organización puede priorizar la ruta considerada óptima. Es frecuente también identificar acciones mitigatorias para reforzar puntos débiles de la ruta elegida. Por ejemplo, si la mejor ruta es </w:t>
      </w:r>
      <w:proofErr w:type="gramStart"/>
      <w:r w:rsidRPr="00657F4D">
        <w:rPr>
          <w:rFonts w:ascii="Arial" w:hAnsi="Arial" w:cs="Arial"/>
          <w:bCs/>
          <w:sz w:val="22"/>
          <w:szCs w:val="22"/>
          <w:lang w:val="es-CL"/>
        </w:rPr>
        <w:t>atractiva</w:t>
      </w:r>
      <w:proofErr w:type="gramEnd"/>
      <w:r w:rsidRPr="00657F4D">
        <w:rPr>
          <w:rFonts w:ascii="Arial" w:hAnsi="Arial" w:cs="Arial"/>
          <w:bCs/>
          <w:sz w:val="22"/>
          <w:szCs w:val="22"/>
          <w:lang w:val="es-CL"/>
        </w:rPr>
        <w:t xml:space="preserve"> pero tiene alguna incertidumbre geotécnica, se puede planificar más campañas de sondaje o estudios específicos durante la fase piloto para asegurar la ejecutabilidad en fases posteriores. De esta forma, el proceso de planificación estratégica no termina con la selección de la ruta, sino que informa un plan de acción para materializarla con el menor riesgo posible.</w:t>
      </w:r>
    </w:p>
    <w:p w14:paraId="1C32F2BF" w14:textId="77777777" w:rsidR="00657F4D" w:rsidRPr="00657F4D" w:rsidRDefault="00657F4D" w:rsidP="00657F4D">
      <w:pPr>
        <w:jc w:val="both"/>
        <w:rPr>
          <w:rFonts w:ascii="Arial" w:hAnsi="Arial" w:cs="Arial"/>
          <w:bCs/>
          <w:sz w:val="22"/>
          <w:szCs w:val="22"/>
          <w:lang w:val="es-CL"/>
        </w:rPr>
      </w:pPr>
      <w:r w:rsidRPr="00657F4D">
        <w:rPr>
          <w:rFonts w:ascii="Arial" w:hAnsi="Arial" w:cs="Arial"/>
          <w:bCs/>
          <w:sz w:val="22"/>
          <w:szCs w:val="22"/>
          <w:lang w:val="es-CL"/>
        </w:rPr>
        <w:t xml:space="preserve">En conclusión, la matriz de decisión sirve como herramienta de síntesis y comunicación en la metodología, permitiendo priorizar rutas de manera objetiva y alineada con los objetivos multifactoriales del proyecto. Este enfoque estructurado proporciona confianza en que la opción elegida para la transición de rajo abierto a subterránea es aquella que mejor equilibra beneficios y riesgos, y es </w:t>
      </w:r>
      <w:r w:rsidRPr="00657F4D">
        <w:rPr>
          <w:rFonts w:ascii="Arial" w:hAnsi="Arial" w:cs="Arial"/>
          <w:bCs/>
          <w:i/>
          <w:iCs/>
          <w:sz w:val="22"/>
          <w:szCs w:val="22"/>
          <w:lang w:val="es-CL"/>
        </w:rPr>
        <w:t>realistamente ejecutable</w:t>
      </w:r>
      <w:r w:rsidRPr="00657F4D">
        <w:rPr>
          <w:rFonts w:ascii="Arial" w:hAnsi="Arial" w:cs="Arial"/>
          <w:bCs/>
          <w:sz w:val="22"/>
          <w:szCs w:val="22"/>
          <w:lang w:val="es-CL"/>
        </w:rPr>
        <w:t xml:space="preserve"> dadas las condiciones particulares de la mina.</w:t>
      </w:r>
    </w:p>
    <w:p w14:paraId="6E5EC68A" w14:textId="09DD021E" w:rsidR="00445BC3" w:rsidRPr="002C1314" w:rsidRDefault="00445BC3" w:rsidP="002D1C36">
      <w:pPr>
        <w:jc w:val="both"/>
        <w:rPr>
          <w:rFonts w:ascii="Arial" w:hAnsi="Arial" w:cs="Arial"/>
          <w:bCs/>
          <w:sz w:val="22"/>
          <w:szCs w:val="22"/>
          <w:lang w:val="es-CL"/>
        </w:rPr>
      </w:pPr>
    </w:p>
    <w:p w14:paraId="656F1500" w14:textId="77777777" w:rsidR="007D2A73" w:rsidRPr="000270E6" w:rsidRDefault="007D2A73" w:rsidP="007D2A73">
      <w:pPr>
        <w:ind w:firstLine="142"/>
        <w:jc w:val="both"/>
        <w:rPr>
          <w:rFonts w:ascii="Arial" w:hAnsi="Arial" w:cs="Arial"/>
          <w:bCs/>
          <w:sz w:val="22"/>
          <w:szCs w:val="22"/>
          <w:lang w:val="es-PE"/>
        </w:rPr>
      </w:pPr>
    </w:p>
    <w:p w14:paraId="292AF741" w14:textId="77777777" w:rsidR="00E77D13" w:rsidRPr="000270E6" w:rsidRDefault="00E77D13" w:rsidP="00E77D13">
      <w:pPr>
        <w:jc w:val="both"/>
        <w:rPr>
          <w:rFonts w:ascii="Arial" w:hAnsi="Arial" w:cs="Arial"/>
          <w:b/>
          <w:bCs/>
          <w:sz w:val="22"/>
          <w:szCs w:val="22"/>
          <w:lang w:val="es-PE"/>
        </w:rPr>
      </w:pPr>
    </w:p>
    <w:p w14:paraId="12FB03B0" w14:textId="77777777" w:rsidR="00142F3A"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La metodología descrita ha sido aplicada en estudios conceptuales y de prefactibilidad para distintos proyectos (manteniendo confidencialidad, no se mencionan nombres reales de empresas o minas). </w:t>
      </w:r>
    </w:p>
    <w:p w14:paraId="411284EE" w14:textId="77777777" w:rsidR="00142F3A" w:rsidRDefault="00142F3A" w:rsidP="00AD047E">
      <w:pPr>
        <w:jc w:val="both"/>
        <w:rPr>
          <w:rFonts w:ascii="Arial" w:hAnsi="Arial" w:cs="Arial"/>
          <w:bCs/>
          <w:sz w:val="22"/>
          <w:szCs w:val="22"/>
          <w:lang w:val="es-CL"/>
        </w:rPr>
      </w:pPr>
    </w:p>
    <w:p w14:paraId="0C04C1EE" w14:textId="77777777" w:rsidR="00142F3A" w:rsidRPr="000270E6" w:rsidRDefault="00142F3A" w:rsidP="00142F3A">
      <w:pPr>
        <w:jc w:val="both"/>
        <w:rPr>
          <w:rFonts w:ascii="Arial" w:hAnsi="Arial" w:cs="Arial"/>
          <w:b/>
          <w:bCs/>
          <w:sz w:val="22"/>
          <w:szCs w:val="22"/>
          <w:lang w:val="es-PE"/>
        </w:rPr>
      </w:pPr>
      <w:r w:rsidRPr="000270E6">
        <w:rPr>
          <w:rFonts w:ascii="Arial" w:hAnsi="Arial" w:cs="Arial"/>
          <w:b/>
          <w:bCs/>
          <w:sz w:val="22"/>
          <w:szCs w:val="22"/>
          <w:lang w:val="es-PE"/>
        </w:rPr>
        <w:t xml:space="preserve">4. </w:t>
      </w:r>
      <w:r>
        <w:rPr>
          <w:rFonts w:ascii="Arial" w:hAnsi="Arial" w:cs="Arial"/>
          <w:b/>
          <w:bCs/>
          <w:sz w:val="22"/>
          <w:szCs w:val="22"/>
          <w:lang w:val="es-PE"/>
        </w:rPr>
        <w:t>Resultados industriales (referenciales)</w:t>
      </w:r>
    </w:p>
    <w:p w14:paraId="7033BDC9" w14:textId="77777777" w:rsidR="00142F3A" w:rsidRDefault="00142F3A" w:rsidP="00AD047E">
      <w:pPr>
        <w:jc w:val="both"/>
        <w:rPr>
          <w:rFonts w:ascii="Arial" w:hAnsi="Arial" w:cs="Arial"/>
          <w:bCs/>
          <w:sz w:val="22"/>
          <w:szCs w:val="22"/>
          <w:lang w:val="es-CL"/>
        </w:rPr>
      </w:pPr>
    </w:p>
    <w:p w14:paraId="3CD9DA3F" w14:textId="77777777" w:rsidR="00142F3A" w:rsidRDefault="00142F3A" w:rsidP="00AD047E">
      <w:pPr>
        <w:jc w:val="both"/>
        <w:rPr>
          <w:rFonts w:ascii="Arial" w:hAnsi="Arial" w:cs="Arial"/>
          <w:bCs/>
          <w:sz w:val="22"/>
          <w:szCs w:val="22"/>
          <w:lang w:val="es-CL"/>
        </w:rPr>
      </w:pPr>
    </w:p>
    <w:p w14:paraId="3294E9C1" w14:textId="42C93A99" w:rsid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A </w:t>
      </w:r>
      <w:r w:rsidR="00142F3A" w:rsidRPr="00AD047E">
        <w:rPr>
          <w:rFonts w:ascii="Arial" w:hAnsi="Arial" w:cs="Arial"/>
          <w:bCs/>
          <w:sz w:val="22"/>
          <w:szCs w:val="22"/>
          <w:lang w:val="es-CL"/>
        </w:rPr>
        <w:t>continuación,</w:t>
      </w:r>
      <w:r w:rsidRPr="00AD047E">
        <w:rPr>
          <w:rFonts w:ascii="Arial" w:hAnsi="Arial" w:cs="Arial"/>
          <w:bCs/>
          <w:sz w:val="22"/>
          <w:szCs w:val="22"/>
          <w:lang w:val="es-CL"/>
        </w:rPr>
        <w:t xml:space="preserve"> se presentan resultados referenciales y lecciones aprendidas de dichas aplicaciones, ilustrando cómo el enfoque propuesto guía la planificación de la transición.</w:t>
      </w:r>
    </w:p>
    <w:p w14:paraId="2F00FE31" w14:textId="77777777" w:rsidR="00142F3A" w:rsidRPr="00AD047E" w:rsidRDefault="00142F3A" w:rsidP="00AD047E">
      <w:pPr>
        <w:jc w:val="both"/>
        <w:rPr>
          <w:rFonts w:ascii="Arial" w:hAnsi="Arial" w:cs="Arial"/>
          <w:bCs/>
          <w:sz w:val="22"/>
          <w:szCs w:val="22"/>
          <w:lang w:val="es-CL"/>
        </w:rPr>
      </w:pPr>
    </w:p>
    <w:p w14:paraId="15D86B68" w14:textId="164A6E09" w:rsid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En un caso de estudio </w:t>
      </w:r>
      <w:r w:rsidR="00142F3A">
        <w:rPr>
          <w:rFonts w:ascii="Arial" w:hAnsi="Arial" w:cs="Arial"/>
          <w:bCs/>
          <w:sz w:val="22"/>
          <w:szCs w:val="22"/>
          <w:lang w:val="es-CL"/>
        </w:rPr>
        <w:t>para una mina de fosfatos en Brasil</w:t>
      </w:r>
      <w:r w:rsidRPr="00AD047E">
        <w:rPr>
          <w:rFonts w:ascii="Arial" w:hAnsi="Arial" w:cs="Arial"/>
          <w:bCs/>
          <w:sz w:val="22"/>
          <w:szCs w:val="22"/>
          <w:lang w:val="es-CL"/>
        </w:rPr>
        <w:t xml:space="preserve">, se evaluaron tres rutas de transición para un depósito de cobre que contaba con una operación a cielo abierto madura: (A) Continuar la explotación a rajo abierto hasta su límite económico y luego desarrollar un block caving tradicional (estrategia “convencional”); (B) Implementar una mina subterránea de escala moderada en etapas tempranas mientras aún opera el rajo (estrategia “modular” con </w:t>
      </w:r>
      <w:proofErr w:type="spellStart"/>
      <w:r w:rsidRPr="00AD047E">
        <w:rPr>
          <w:rFonts w:ascii="Arial" w:hAnsi="Arial" w:cs="Arial"/>
          <w:bCs/>
          <w:sz w:val="22"/>
          <w:szCs w:val="22"/>
          <w:lang w:val="es-CL"/>
        </w:rPr>
        <w:t>sublevel</w:t>
      </w:r>
      <w:proofErr w:type="spellEnd"/>
      <w:r w:rsidRPr="00AD047E">
        <w:rPr>
          <w:rFonts w:ascii="Arial" w:hAnsi="Arial" w:cs="Arial"/>
          <w:bCs/>
          <w:sz w:val="22"/>
          <w:szCs w:val="22"/>
          <w:lang w:val="es-CL"/>
        </w:rPr>
        <w:t xml:space="preserve"> stoping inicial seguido de block caving); (C) Interrumpir el </w:t>
      </w:r>
      <w:proofErr w:type="spellStart"/>
      <w:r w:rsidRPr="00AD047E">
        <w:rPr>
          <w:rFonts w:ascii="Arial" w:hAnsi="Arial" w:cs="Arial"/>
          <w:bCs/>
          <w:sz w:val="22"/>
          <w:szCs w:val="22"/>
          <w:lang w:val="es-CL"/>
        </w:rPr>
        <w:t>pit</w:t>
      </w:r>
      <w:proofErr w:type="spellEnd"/>
      <w:r w:rsidRPr="00AD047E">
        <w:rPr>
          <w:rFonts w:ascii="Arial" w:hAnsi="Arial" w:cs="Arial"/>
          <w:bCs/>
          <w:sz w:val="22"/>
          <w:szCs w:val="22"/>
          <w:lang w:val="es-CL"/>
        </w:rPr>
        <w:t xml:space="preserve"> antes de agotarlo y pasar directamente a un block caving de gran escala (estrategia “agresiva” orientada a alta producción). </w:t>
      </w:r>
    </w:p>
    <w:p w14:paraId="0A8FAC9D" w14:textId="77777777" w:rsidR="00142F3A" w:rsidRDefault="00142F3A" w:rsidP="00AD047E">
      <w:pPr>
        <w:jc w:val="both"/>
        <w:rPr>
          <w:rFonts w:ascii="Arial" w:hAnsi="Arial" w:cs="Arial"/>
          <w:bCs/>
          <w:sz w:val="22"/>
          <w:szCs w:val="22"/>
          <w:lang w:val="es-CL"/>
        </w:rPr>
      </w:pPr>
    </w:p>
    <w:p w14:paraId="696EFCBC" w14:textId="4837FB3C" w:rsidR="00142F3A" w:rsidRDefault="00142F3A" w:rsidP="00AD047E">
      <w:pPr>
        <w:jc w:val="both"/>
        <w:rPr>
          <w:rFonts w:ascii="Arial" w:hAnsi="Arial" w:cs="Arial"/>
          <w:bCs/>
          <w:sz w:val="22"/>
          <w:szCs w:val="22"/>
          <w:lang w:val="es-CL"/>
        </w:rPr>
      </w:pPr>
      <w:r>
        <w:rPr>
          <w:rFonts w:ascii="Arial" w:hAnsi="Arial" w:cs="Arial"/>
          <w:bCs/>
          <w:noProof/>
          <w:sz w:val="22"/>
          <w:szCs w:val="22"/>
          <w:lang w:val="es-CL"/>
        </w:rPr>
        <w:drawing>
          <wp:inline distT="0" distB="0" distL="0" distR="0" wp14:anchorId="706AFDF7" wp14:editId="1A28157F">
            <wp:extent cx="3291459" cy="2098287"/>
            <wp:effectExtent l="0" t="0" r="4445" b="0"/>
            <wp:docPr id="13773897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06433" cy="2107833"/>
                    </a:xfrm>
                    <a:prstGeom prst="rect">
                      <a:avLst/>
                    </a:prstGeom>
                    <a:noFill/>
                  </pic:spPr>
                </pic:pic>
              </a:graphicData>
            </a:graphic>
          </wp:inline>
        </w:drawing>
      </w:r>
    </w:p>
    <w:p w14:paraId="0A47BEE7" w14:textId="77777777" w:rsidR="00142F3A" w:rsidRDefault="00142F3A" w:rsidP="00AD047E">
      <w:pPr>
        <w:jc w:val="both"/>
        <w:rPr>
          <w:rFonts w:ascii="Arial" w:hAnsi="Arial" w:cs="Arial"/>
          <w:bCs/>
          <w:sz w:val="22"/>
          <w:szCs w:val="22"/>
          <w:lang w:val="es-CL"/>
        </w:rPr>
      </w:pPr>
    </w:p>
    <w:p w14:paraId="4B65A0F4" w14:textId="77777777" w:rsidR="00142F3A" w:rsidRPr="00AD047E" w:rsidRDefault="00142F3A" w:rsidP="00AD047E">
      <w:pPr>
        <w:jc w:val="both"/>
        <w:rPr>
          <w:rFonts w:ascii="Arial" w:hAnsi="Arial" w:cs="Arial"/>
          <w:bCs/>
          <w:sz w:val="22"/>
          <w:szCs w:val="22"/>
          <w:lang w:val="es-CL"/>
        </w:rPr>
      </w:pPr>
    </w:p>
    <w:p w14:paraId="2A9D238A" w14:textId="6BCA2E5C"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Los resultados de la simulación mostraron diferencias importantes en el perfil riesgo-retorno de cada ruta. La Ruta C (agresiva) efectivamente arrojó el mayor NPV medio en los cálculos, aprovechando antes las ventajas de costos del block caving; sin embargo, presentaba una cola de riesgo significativa: ~20% de probabilidad de obtener un NPV inferior al de la Ruta B, debido principalmente a la incertidumbre en alcanzar las </w:t>
      </w:r>
      <w:proofErr w:type="spellStart"/>
      <w:r w:rsidRPr="00AD047E">
        <w:rPr>
          <w:rFonts w:ascii="Arial" w:hAnsi="Arial" w:cs="Arial"/>
          <w:bCs/>
          <w:sz w:val="22"/>
          <w:szCs w:val="22"/>
          <w:lang w:val="es-CL"/>
        </w:rPr>
        <w:t>ramp</w:t>
      </w:r>
      <w:proofErr w:type="spellEnd"/>
      <w:r w:rsidRPr="00AD047E">
        <w:rPr>
          <w:rFonts w:ascii="Arial" w:hAnsi="Arial" w:cs="Arial"/>
          <w:bCs/>
          <w:sz w:val="22"/>
          <w:szCs w:val="22"/>
          <w:lang w:val="es-CL"/>
        </w:rPr>
        <w:t xml:space="preserve">-up targets del block caving a tiempo. Esta ruta también implicaba el </w:t>
      </w:r>
      <w:proofErr w:type="spellStart"/>
      <w:r w:rsidRPr="00AD047E">
        <w:rPr>
          <w:rFonts w:ascii="Arial" w:hAnsi="Arial" w:cs="Arial"/>
          <w:bCs/>
          <w:i/>
          <w:iCs/>
          <w:sz w:val="22"/>
          <w:szCs w:val="22"/>
          <w:lang w:val="es-CL"/>
        </w:rPr>
        <w:t>capex</w:t>
      </w:r>
      <w:proofErr w:type="spellEnd"/>
      <w:r w:rsidRPr="00AD047E">
        <w:rPr>
          <w:rFonts w:ascii="Arial" w:hAnsi="Arial" w:cs="Arial"/>
          <w:bCs/>
          <w:sz w:val="22"/>
          <w:szCs w:val="22"/>
          <w:lang w:val="es-CL"/>
        </w:rPr>
        <w:t xml:space="preserve"> más alto anticipado, lo que se reflejaba en una TIR menor a la de las otras rutas pese al mayor NPV. Por otro lado, la Ruta B (modular) entregó un NPV sólo ligeramente menor </w:t>
      </w:r>
      <w:r w:rsidRPr="00AD047E">
        <w:rPr>
          <w:rFonts w:ascii="Arial" w:hAnsi="Arial" w:cs="Arial"/>
          <w:bCs/>
          <w:sz w:val="22"/>
          <w:szCs w:val="22"/>
          <w:lang w:val="es-CL"/>
        </w:rPr>
        <w:lastRenderedPageBreak/>
        <w:t xml:space="preserve">(~5% inferior a C) pero con variabilidad mucho menor en los </w:t>
      </w:r>
      <w:proofErr w:type="spellStart"/>
      <w:r w:rsidRPr="00AD047E">
        <w:rPr>
          <w:rFonts w:ascii="Arial" w:hAnsi="Arial" w:cs="Arial"/>
          <w:bCs/>
          <w:sz w:val="22"/>
          <w:szCs w:val="22"/>
          <w:lang w:val="es-CL"/>
        </w:rPr>
        <w:t>outcomes</w:t>
      </w:r>
      <w:proofErr w:type="spellEnd"/>
      <w:r w:rsidRPr="00AD047E">
        <w:rPr>
          <w:rFonts w:ascii="Arial" w:hAnsi="Arial" w:cs="Arial"/>
          <w:bCs/>
          <w:sz w:val="22"/>
          <w:szCs w:val="22"/>
          <w:lang w:val="es-CL"/>
        </w:rPr>
        <w:t xml:space="preserve"> simulados. Además, al evaluar su ejecutabilidad, expertos calificaron a la Ruta B como significativamente más factible: la mina piloto propuesta utilizaba equipos y métodos bien conocidos, y el desarrollo inicial podía realizarse desde rampas conectadas al rajo (simplificando ventilación y transporte). La Ruta A (convencional) resultó ser la menos atractiva en valor –NPV ~10% menor que B– aunque con riesgo bajo; su principal ventaja era la facilidad (básicamente continuar con el mismo método conocido).</w:t>
      </w:r>
    </w:p>
    <w:p w14:paraId="696925CB" w14:textId="77777777"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El análisis multicriterio ponderado indicó que la Ruta B ofrecía el mejor equilibrio: fue calificada como “Alta” en atractivo (no la máxima, pero muy sólida) y “Media-Alta” en ejecutabilidad, superando a la Ruta C que, pese a su atractivo cuantitativo algo mayor, se calificó “Baja” en ejecutabilidad por los retos técnicos y la fuerte inversión inicial. En la matriz de decisión, la Ruta B emergió como la opción prioritaria.</w:t>
      </w:r>
    </w:p>
    <w:p w14:paraId="01DBD396" w14:textId="77777777"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Un resultado clave de la metodología fue cuantificar el beneficio de la estrategia modular en términos de reducción de riesgo. La probabilidad de lograr una producción sostenida subterránea por encima de X toneladas/año para cierto año objetivo fue un 25% mayor en la Ruta B comparada con la C, según las simulaciones. Esto porque la ruta modular permitía ajustes tras la fase piloto, mientras que la ruta agresiva apostaba todo a una sola puesta en marcha. Asimismo, se estimó que la exposición de capital (</w:t>
      </w:r>
      <w:proofErr w:type="spellStart"/>
      <w:r w:rsidRPr="00AD047E">
        <w:rPr>
          <w:rFonts w:ascii="Arial" w:hAnsi="Arial" w:cs="Arial"/>
          <w:bCs/>
          <w:sz w:val="22"/>
          <w:szCs w:val="22"/>
          <w:lang w:val="es-CL"/>
        </w:rPr>
        <w:t>Capex</w:t>
      </w:r>
      <w:proofErr w:type="spellEnd"/>
      <w:r w:rsidRPr="00AD047E">
        <w:rPr>
          <w:rFonts w:ascii="Arial" w:hAnsi="Arial" w:cs="Arial"/>
          <w:bCs/>
          <w:sz w:val="22"/>
          <w:szCs w:val="22"/>
          <w:lang w:val="es-CL"/>
        </w:rPr>
        <w:t xml:space="preserve"> en riesgo) se reducía en aproximadamente 40% en la fase inicial, mejorando significativamente los indicadores de VaR financiero del proyecto. En términos prácticos, para los directivos esto significó que el proyecto podría avanzar por etapas sin comprometer sumas enormes hasta validar supuestos, lo que facilitó su aprobación interna.</w:t>
      </w:r>
    </w:p>
    <w:p w14:paraId="6950D81D" w14:textId="77777777"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También surgieron </w:t>
      </w:r>
      <w:proofErr w:type="spellStart"/>
      <w:r w:rsidRPr="00AD047E">
        <w:rPr>
          <w:rFonts w:ascii="Arial" w:hAnsi="Arial" w:cs="Arial"/>
          <w:bCs/>
          <w:sz w:val="22"/>
          <w:szCs w:val="22"/>
          <w:lang w:val="es-CL"/>
        </w:rPr>
        <w:t>insights</w:t>
      </w:r>
      <w:proofErr w:type="spellEnd"/>
      <w:r w:rsidRPr="00AD047E">
        <w:rPr>
          <w:rFonts w:ascii="Arial" w:hAnsi="Arial" w:cs="Arial"/>
          <w:bCs/>
          <w:sz w:val="22"/>
          <w:szCs w:val="22"/>
          <w:lang w:val="es-CL"/>
        </w:rPr>
        <w:t xml:space="preserve"> cualitativos importantes. Por ejemplo, al involucrar al equipo de operaciones en la evaluación de ejecutabilidad, se descubrieron preocupaciones logísticas que inicialmente no se habían cuantificado: en la Ruta C agresiva, la simultaneidad de construcción subterránea y operación del </w:t>
      </w:r>
      <w:proofErr w:type="spellStart"/>
      <w:r w:rsidRPr="00AD047E">
        <w:rPr>
          <w:rFonts w:ascii="Arial" w:hAnsi="Arial" w:cs="Arial"/>
          <w:bCs/>
          <w:sz w:val="22"/>
          <w:szCs w:val="22"/>
          <w:lang w:val="es-CL"/>
        </w:rPr>
        <w:t>pit</w:t>
      </w:r>
      <w:proofErr w:type="spellEnd"/>
      <w:r w:rsidRPr="00AD047E">
        <w:rPr>
          <w:rFonts w:ascii="Arial" w:hAnsi="Arial" w:cs="Arial"/>
          <w:bCs/>
          <w:sz w:val="22"/>
          <w:szCs w:val="22"/>
          <w:lang w:val="es-CL"/>
        </w:rPr>
        <w:t xml:space="preserve"> habría tensionado gravemente el camino de acarreo común y la planta concentradora existente, lo cual requeriría inversiones adicionales no consideradas. Estos aspectos fueron integrados en la ponderación de ejecutabilidad, penalizando aún más a la Ruta C. Este hallazgo resaltó el valor de un enfoque holístico: un plan demasiado optimizado en teoría podría fallar por </w:t>
      </w:r>
      <w:r w:rsidRPr="00AD047E">
        <w:rPr>
          <w:rFonts w:ascii="Arial" w:hAnsi="Arial" w:cs="Arial"/>
          <w:bCs/>
          <w:i/>
          <w:iCs/>
          <w:sz w:val="22"/>
          <w:szCs w:val="22"/>
          <w:lang w:val="es-CL"/>
        </w:rPr>
        <w:t>cuellos de botella</w:t>
      </w:r>
      <w:r w:rsidRPr="00AD047E">
        <w:rPr>
          <w:rFonts w:ascii="Arial" w:hAnsi="Arial" w:cs="Arial"/>
          <w:bCs/>
          <w:sz w:val="22"/>
          <w:szCs w:val="22"/>
          <w:lang w:val="es-CL"/>
        </w:rPr>
        <w:t xml:space="preserve"> operacionales no evidentes sin una visión global.</w:t>
      </w:r>
    </w:p>
    <w:p w14:paraId="5D7FBA56" w14:textId="77777777" w:rsidR="00AD047E" w:rsidRPr="002C1314"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Otro resultado destacable provino de la perspectiva social y ambiental. En una de las aplicaciones, una </w:t>
      </w:r>
      <w:r w:rsidRPr="00AD047E">
        <w:rPr>
          <w:rFonts w:ascii="Arial" w:hAnsi="Arial" w:cs="Arial"/>
          <w:bCs/>
          <w:sz w:val="22"/>
          <w:szCs w:val="22"/>
          <w:lang w:val="es-CL"/>
        </w:rPr>
        <w:t>de las rutas implicaba extender el tajo muy cerca de un área comunitaria sensible. Al incluir criterios de impacto comunitario, esa ruta recibió una baja puntuación de ejecutabilidad. Contrariamente, una ruta alternativa que cerraba el rajo antes y enfocaba crecimiento subterráneo fue bien vista por los consultados en el área social, dado que reducía el impacto superficial a futuro. Este tipo de consideraciones, al ser incorporadas tempranamente en la planificación estratégica, pueden ahorrar contratiempos y conflictos más adelante en el desarrollo del proyecto.</w:t>
      </w:r>
    </w:p>
    <w:p w14:paraId="0367E378" w14:textId="77777777" w:rsidR="00AD047E" w:rsidRPr="00AD047E" w:rsidRDefault="00AD047E" w:rsidP="00AD047E">
      <w:pPr>
        <w:jc w:val="both"/>
        <w:rPr>
          <w:rFonts w:ascii="Arial" w:hAnsi="Arial" w:cs="Arial"/>
          <w:bCs/>
          <w:sz w:val="22"/>
          <w:szCs w:val="22"/>
          <w:lang w:val="es-CL"/>
        </w:rPr>
      </w:pPr>
    </w:p>
    <w:p w14:paraId="081C5202" w14:textId="77777777" w:rsidR="00AD047E" w:rsidRPr="002C1314"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En términos de figuras ilustrativas, además de la Figura 2 ya comentada, se generaron gráficos de curvas de distribución acumulada de NPV para cada ruta, mostrando por ejemplo que la Ruta B tenía un perfil estocástico dominado (es decir, su curva de distribución se ubicaba a la derecha de la de la Ruta A en casi todo el rango, indicando mayor NPV en cualquier cuantía de probabilidad). También se elaboraron gráficos de timeline comparativos, donde se veía la producción anual proyectada por cada ruta: allí se evidenció cómo la Ruta A caía a </w:t>
      </w:r>
      <w:proofErr w:type="gramStart"/>
      <w:r w:rsidRPr="00AD047E">
        <w:rPr>
          <w:rFonts w:ascii="Arial" w:hAnsi="Arial" w:cs="Arial"/>
          <w:bCs/>
          <w:sz w:val="22"/>
          <w:szCs w:val="22"/>
          <w:lang w:val="es-CL"/>
        </w:rPr>
        <w:t>cero producción</w:t>
      </w:r>
      <w:proofErr w:type="gramEnd"/>
      <w:r w:rsidRPr="00AD047E">
        <w:rPr>
          <w:rFonts w:ascii="Arial" w:hAnsi="Arial" w:cs="Arial"/>
          <w:bCs/>
          <w:sz w:val="22"/>
          <w:szCs w:val="22"/>
          <w:lang w:val="es-CL"/>
        </w:rPr>
        <w:t xml:space="preserve"> durante 3 años entre el fin del </w:t>
      </w:r>
      <w:proofErr w:type="spellStart"/>
      <w:r w:rsidRPr="00AD047E">
        <w:rPr>
          <w:rFonts w:ascii="Arial" w:hAnsi="Arial" w:cs="Arial"/>
          <w:bCs/>
          <w:sz w:val="22"/>
          <w:szCs w:val="22"/>
          <w:lang w:val="es-CL"/>
        </w:rPr>
        <w:t>pit</w:t>
      </w:r>
      <w:proofErr w:type="spellEnd"/>
      <w:r w:rsidRPr="00AD047E">
        <w:rPr>
          <w:rFonts w:ascii="Arial" w:hAnsi="Arial" w:cs="Arial"/>
          <w:bCs/>
          <w:sz w:val="22"/>
          <w:szCs w:val="22"/>
          <w:lang w:val="es-CL"/>
        </w:rPr>
        <w:t xml:space="preserve"> y el inicio UG, mientras la Ruta B mantenía un nivel de producción más estable gracias a solapar la mina piloto con la recta final del </w:t>
      </w:r>
      <w:proofErr w:type="spellStart"/>
      <w:r w:rsidRPr="00AD047E">
        <w:rPr>
          <w:rFonts w:ascii="Arial" w:hAnsi="Arial" w:cs="Arial"/>
          <w:bCs/>
          <w:sz w:val="22"/>
          <w:szCs w:val="22"/>
          <w:lang w:val="es-CL"/>
        </w:rPr>
        <w:t>pit</w:t>
      </w:r>
      <w:proofErr w:type="spellEnd"/>
      <w:r w:rsidRPr="00AD047E">
        <w:rPr>
          <w:rFonts w:ascii="Arial" w:hAnsi="Arial" w:cs="Arial"/>
          <w:bCs/>
          <w:sz w:val="22"/>
          <w:szCs w:val="22"/>
          <w:lang w:val="es-CL"/>
        </w:rPr>
        <w:t>. Estas visualizaciones facilitaron comunicar los beneficios de la ruta modular a la alta gerencia.</w:t>
      </w:r>
    </w:p>
    <w:p w14:paraId="3F7410EB" w14:textId="77777777" w:rsidR="00AD047E" w:rsidRPr="00AD047E" w:rsidRDefault="00AD047E" w:rsidP="00AD047E">
      <w:pPr>
        <w:jc w:val="both"/>
        <w:rPr>
          <w:rFonts w:ascii="Arial" w:hAnsi="Arial" w:cs="Arial"/>
          <w:bCs/>
          <w:sz w:val="22"/>
          <w:szCs w:val="22"/>
          <w:lang w:val="es-CL"/>
        </w:rPr>
      </w:pPr>
    </w:p>
    <w:p w14:paraId="4182C542" w14:textId="77777777"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 xml:space="preserve">En conclusión, los resultados referenciales de casos analizados con esta metodología confirman su efectividad para mejorar la planificación de la transición. En todos los casos estudiados, la ruta recomendada tras el análisis integrado </w:t>
      </w:r>
      <w:r w:rsidRPr="00AD047E">
        <w:rPr>
          <w:rFonts w:ascii="Arial" w:hAnsi="Arial" w:cs="Arial"/>
          <w:bCs/>
          <w:i/>
          <w:iCs/>
          <w:sz w:val="22"/>
          <w:szCs w:val="22"/>
          <w:lang w:val="es-CL"/>
        </w:rPr>
        <w:t>difería</w:t>
      </w:r>
      <w:r w:rsidRPr="00AD047E">
        <w:rPr>
          <w:rFonts w:ascii="Arial" w:hAnsi="Arial" w:cs="Arial"/>
          <w:bCs/>
          <w:sz w:val="22"/>
          <w:szCs w:val="22"/>
          <w:lang w:val="es-CL"/>
        </w:rPr>
        <w:t xml:space="preserve"> de la que se habría elegido con una aproximación tradicional puramente económica o inercial. Y dicha ruta recomendada mostró consistentemente un NPV final mayor (tras optimizaciones integradas) y una exposición al riesgo sustancialmente menor que las alternativas. Esto refuerza la tesis central: que un enfoque multicriterio con simulación estocástica y modularidad agrega valor tangible en proyectos de transición OP→UG, evitando decisiones miopes que pudieran comprometer la viabilidad de largo plazo de la mina.</w:t>
      </w:r>
    </w:p>
    <w:p w14:paraId="40D68155" w14:textId="776E5C76" w:rsidR="00E77D13" w:rsidRPr="002C1314" w:rsidRDefault="00E77D13" w:rsidP="00AD047E">
      <w:pPr>
        <w:jc w:val="both"/>
        <w:rPr>
          <w:rFonts w:ascii="Arial" w:hAnsi="Arial" w:cs="Arial"/>
          <w:bCs/>
          <w:sz w:val="22"/>
          <w:szCs w:val="22"/>
          <w:lang w:val="es-PE"/>
        </w:rPr>
      </w:pP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1BF700E7" w14:textId="77777777" w:rsidR="00AD047E" w:rsidRPr="00AD047E" w:rsidRDefault="00AD047E" w:rsidP="00AD047E">
      <w:pPr>
        <w:jc w:val="both"/>
        <w:rPr>
          <w:rFonts w:ascii="Arial" w:hAnsi="Arial" w:cs="Arial"/>
          <w:bCs/>
          <w:sz w:val="22"/>
          <w:szCs w:val="22"/>
          <w:lang w:val="es-CL"/>
        </w:rPr>
      </w:pPr>
      <w:r w:rsidRPr="00AD047E">
        <w:rPr>
          <w:rFonts w:ascii="Arial" w:hAnsi="Arial" w:cs="Arial"/>
          <w:bCs/>
          <w:sz w:val="22"/>
          <w:szCs w:val="22"/>
          <w:lang w:val="es-CL"/>
        </w:rPr>
        <w:t>Planificar la transición desde minería a rajo abierto hacia minería subterránea es un desafío complejo que requiere un enfoque integral. A partir de este trabajo, se pueden extraer varias conclusiones estratégicas relevantes para la industria minera:</w:t>
      </w:r>
    </w:p>
    <w:p w14:paraId="6DEA58CF" w14:textId="21D057E0"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Visión Conjunta Optimiza el Valor:</w:t>
      </w:r>
      <w:r w:rsidRPr="00AD047E">
        <w:rPr>
          <w:rFonts w:ascii="Arial" w:hAnsi="Arial" w:cs="Arial"/>
          <w:bCs/>
          <w:sz w:val="22"/>
          <w:szCs w:val="22"/>
          <w:lang w:val="es-CL"/>
        </w:rPr>
        <w:t xml:space="preserve"> Abordar la planificación de rajo y </w:t>
      </w:r>
      <w:r w:rsidRPr="00AD047E">
        <w:rPr>
          <w:rFonts w:ascii="Arial" w:hAnsi="Arial" w:cs="Arial"/>
          <w:bCs/>
          <w:sz w:val="22"/>
          <w:szCs w:val="22"/>
          <w:lang w:val="es-CL"/>
        </w:rPr>
        <w:lastRenderedPageBreak/>
        <w:t>subterráneo de forma conjunta e integrada permite identificar sinergias y definir el punto de transición óptimo que maximiza el valor del negocio. Las metodologías tradicionales que separan ambas etapas pueden llevar a diseños subóptimos o conservadores en exceso. Un análisis global bien estructurado, como el aquí propuesto, puede incrementar el NPV del proyecto de transición de manera significativa</w:t>
      </w:r>
      <w:hyperlink r:id="rId39" w:anchor=":~:text=Leite%20and%20Dimitrakopoulos%20,to%20a%20copper%20deposit%20and" w:tgtFrame="_blank" w:history="1"/>
      <w:r w:rsidRPr="00AD047E">
        <w:rPr>
          <w:rFonts w:ascii="Arial" w:hAnsi="Arial" w:cs="Arial"/>
          <w:bCs/>
          <w:sz w:val="22"/>
          <w:szCs w:val="22"/>
          <w:lang w:val="es-CL"/>
        </w:rPr>
        <w:t>, al aprovechar todo el potencial del yacimiento con la combinación adecuada de métodos mineros en cada fase.</w:t>
      </w:r>
    </w:p>
    <w:p w14:paraId="525DF48F" w14:textId="50C7DE0D"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Reducción de Riesgos mediante Simulación:</w:t>
      </w:r>
      <w:r w:rsidRPr="00AD047E">
        <w:rPr>
          <w:rFonts w:ascii="Arial" w:hAnsi="Arial" w:cs="Arial"/>
          <w:bCs/>
          <w:sz w:val="22"/>
          <w:szCs w:val="22"/>
          <w:lang w:val="es-CL"/>
        </w:rPr>
        <w:t xml:space="preserve"> La incorporación de simulación estocástica (ej. SIMPLAN/SIMVAL) proporciona una apreciación realista de la variabilidad en resultados y de los riesgos. Esto permite elegir estrategias que </w:t>
      </w:r>
      <w:r w:rsidRPr="00AD047E">
        <w:rPr>
          <w:rFonts w:ascii="Arial" w:hAnsi="Arial" w:cs="Arial"/>
          <w:b/>
          <w:bCs/>
          <w:sz w:val="22"/>
          <w:szCs w:val="22"/>
          <w:lang w:val="es-CL"/>
        </w:rPr>
        <w:t>equilibran riesgo y retorno</w:t>
      </w:r>
      <w:r w:rsidRPr="00AD047E">
        <w:rPr>
          <w:rFonts w:ascii="Arial" w:hAnsi="Arial" w:cs="Arial"/>
          <w:bCs/>
          <w:sz w:val="22"/>
          <w:szCs w:val="22"/>
          <w:lang w:val="es-CL"/>
        </w:rPr>
        <w:t xml:space="preserve"> de acuerdo con la tolerancia de la empresa. Hemos visto cómo una ruta ligeramente inferior en NPV puede ser preferible por su perfil de riesgo mucho más bajo. En definitiva, cuantificar el riesgo (geológico, de ejecución, de mercado) y reflejarlo en la decisión es crítico para evitar sorpresas a futuro. Herramientas como las descritas son valiosas para pasar de un enfoque determinista a uno probabilístico en la planificación minera</w:t>
      </w:r>
      <w:hyperlink r:id="rId40" w:anchor=":~:text=1992%29,NPV%20using%20a%20single%20estimated" w:tgtFrame="_blank" w:history="1"/>
      <w:r w:rsidRPr="00AD047E">
        <w:rPr>
          <w:rFonts w:ascii="Arial" w:hAnsi="Arial" w:cs="Arial"/>
          <w:bCs/>
          <w:sz w:val="22"/>
          <w:szCs w:val="22"/>
          <w:lang w:val="es-CL"/>
        </w:rPr>
        <w:t>.</w:t>
      </w:r>
    </w:p>
    <w:p w14:paraId="797BF96C" w14:textId="77777777"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Importancia de Factores No Técnicos:</w:t>
      </w:r>
      <w:r w:rsidRPr="00AD047E">
        <w:rPr>
          <w:rFonts w:ascii="Arial" w:hAnsi="Arial" w:cs="Arial"/>
          <w:bCs/>
          <w:sz w:val="22"/>
          <w:szCs w:val="22"/>
          <w:lang w:val="es-CL"/>
        </w:rPr>
        <w:t xml:space="preserve"> La decisión óptima de transición no depende únicamente de indicadores financieros, sino también de factores geotécnicos, ambientales, comunitarios y organizacionales. La metodología multicriterio demostró ser eficaz para incluir estos aspectos cualitativos en la balanza. En las aplicaciones referenciales, criterios como permisos y aceptación social fueron decisivos para descartar rutas teóricamente atractivas pero impracticables. La lección es que cualquier planificación estratégica debe involucrar desde temprano a todas las áreas (operaciones, geotecnia, comunidad, etc.) para garantizar que la ruta elegida sea viable en la realidad y cuente con apoyo de stakeholders clave.</w:t>
      </w:r>
    </w:p>
    <w:p w14:paraId="241C9E85" w14:textId="321A1468"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Modularidad como Estrategia de Éxito:</w:t>
      </w:r>
      <w:r w:rsidRPr="00AD047E">
        <w:rPr>
          <w:rFonts w:ascii="Arial" w:hAnsi="Arial" w:cs="Arial"/>
          <w:bCs/>
          <w:sz w:val="22"/>
          <w:szCs w:val="22"/>
          <w:lang w:val="es-CL"/>
        </w:rPr>
        <w:t xml:space="preserve"> Implementar la transición de forma </w:t>
      </w:r>
      <w:r w:rsidRPr="00AD047E">
        <w:rPr>
          <w:rFonts w:ascii="Arial" w:hAnsi="Arial" w:cs="Arial"/>
          <w:b/>
          <w:bCs/>
          <w:sz w:val="22"/>
          <w:szCs w:val="22"/>
          <w:lang w:val="es-CL"/>
        </w:rPr>
        <w:t xml:space="preserve">gradual </w:t>
      </w:r>
      <w:r w:rsidRPr="00AD047E">
        <w:rPr>
          <w:rFonts w:ascii="Arial" w:hAnsi="Arial" w:cs="Arial"/>
          <w:sz w:val="22"/>
          <w:szCs w:val="22"/>
          <w:lang w:val="es-CL"/>
        </w:rPr>
        <w:t xml:space="preserve">y modular se perfila como una estrategia altamente beneficiosa en términos de </w:t>
      </w:r>
      <w:proofErr w:type="spellStart"/>
      <w:r w:rsidRPr="00AD047E">
        <w:rPr>
          <w:rFonts w:ascii="Arial" w:hAnsi="Arial" w:cs="Arial"/>
          <w:sz w:val="22"/>
          <w:szCs w:val="22"/>
          <w:lang w:val="es-CL"/>
        </w:rPr>
        <w:t>de-risking</w:t>
      </w:r>
      <w:proofErr w:type="spellEnd"/>
      <w:r w:rsidRPr="00AD047E">
        <w:rPr>
          <w:rFonts w:ascii="Arial" w:hAnsi="Arial" w:cs="Arial"/>
          <w:sz w:val="22"/>
          <w:szCs w:val="22"/>
          <w:lang w:val="es-CL"/>
        </w:rPr>
        <w:t xml:space="preserve">. Si bien puede implicar costos iniciales ligeramente mayores o una ejecución más prolongada, los beneficios en reducción de incertidumbre y flexibilidad son notables. Los casos analizados </w:t>
      </w:r>
      <w:r w:rsidRPr="00AD047E">
        <w:rPr>
          <w:rFonts w:ascii="Arial" w:hAnsi="Arial" w:cs="Arial"/>
          <w:sz w:val="22"/>
          <w:szCs w:val="22"/>
          <w:lang w:val="es-CL"/>
        </w:rPr>
        <w:t xml:space="preserve">evidenciaron que empezar con una mina subterránea piloto y escalar por etapas puede disminuir sustancialmente la probabilidad de un </w:t>
      </w:r>
      <w:proofErr w:type="spellStart"/>
      <w:r w:rsidRPr="00AD047E">
        <w:rPr>
          <w:rFonts w:ascii="Arial" w:hAnsi="Arial" w:cs="Arial"/>
          <w:i/>
          <w:iCs/>
          <w:sz w:val="22"/>
          <w:szCs w:val="22"/>
          <w:lang w:val="es-CL"/>
        </w:rPr>
        <w:t>fail</w:t>
      </w:r>
      <w:proofErr w:type="spellEnd"/>
      <w:r w:rsidRPr="00AD047E">
        <w:rPr>
          <w:rFonts w:ascii="Arial" w:hAnsi="Arial" w:cs="Arial"/>
          <w:sz w:val="22"/>
          <w:szCs w:val="22"/>
          <w:lang w:val="es-CL"/>
        </w:rPr>
        <w:t xml:space="preserve"> del proyecto, al permitir validar supuestos y ajustar el rumbo antes de comprometer grandes inversiones</w:t>
      </w:r>
      <w:hyperlink r:id="rId41" w:tgtFrame="_blank" w:history="1"/>
      <w:r w:rsidRPr="00AD047E">
        <w:rPr>
          <w:rFonts w:ascii="Arial" w:hAnsi="Arial" w:cs="Arial"/>
          <w:sz w:val="22"/>
          <w:szCs w:val="22"/>
          <w:lang w:val="es-CL"/>
        </w:rPr>
        <w:t>. Estratégicamente, esta opción proporciona puntos de decisión intermedios alineados con la filosofía de “invertir al ritmo del conocimiento” adquirido.</w:t>
      </w:r>
    </w:p>
    <w:p w14:paraId="78FA1893" w14:textId="470A9EB7"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Herramientas de Decisión Robustas:</w:t>
      </w:r>
      <w:r w:rsidRPr="00AD047E">
        <w:rPr>
          <w:rFonts w:ascii="Arial" w:hAnsi="Arial" w:cs="Arial"/>
          <w:bCs/>
          <w:sz w:val="22"/>
          <w:szCs w:val="22"/>
          <w:lang w:val="es-CL"/>
        </w:rPr>
        <w:t xml:space="preserve"> La construcción de matrices de decisión y la representación de rutas en ejes de atractivo vs ejecutabilidad resultaron herramientas poderosas para comunicar y justificar la decisión final. Esto es crucial al presentar planes a directorios o inversionistas: un enfoque transparente y cuantitativo</w:t>
      </w:r>
      <w:r w:rsidR="002C1314">
        <w:rPr>
          <w:rFonts w:ascii="Arial" w:hAnsi="Arial" w:cs="Arial"/>
          <w:bCs/>
          <w:sz w:val="22"/>
          <w:szCs w:val="22"/>
          <w:lang w:val="es-CL"/>
        </w:rPr>
        <w:t xml:space="preserve"> </w:t>
      </w:r>
      <w:r w:rsidRPr="00AD047E">
        <w:rPr>
          <w:rFonts w:ascii="Arial" w:hAnsi="Arial" w:cs="Arial"/>
          <w:bCs/>
          <w:sz w:val="22"/>
          <w:szCs w:val="22"/>
          <w:lang w:val="es-CL"/>
        </w:rPr>
        <w:t>/</w:t>
      </w:r>
      <w:r w:rsidR="002C1314">
        <w:rPr>
          <w:rFonts w:ascii="Arial" w:hAnsi="Arial" w:cs="Arial"/>
          <w:bCs/>
          <w:sz w:val="22"/>
          <w:szCs w:val="22"/>
          <w:lang w:val="es-CL"/>
        </w:rPr>
        <w:t xml:space="preserve"> </w:t>
      </w:r>
      <w:proofErr w:type="spellStart"/>
      <w:r w:rsidRPr="00AD047E">
        <w:rPr>
          <w:rFonts w:ascii="Arial" w:hAnsi="Arial" w:cs="Arial"/>
          <w:bCs/>
          <w:sz w:val="22"/>
          <w:szCs w:val="22"/>
          <w:lang w:val="es-CL"/>
        </w:rPr>
        <w:t>multicualitativo</w:t>
      </w:r>
      <w:proofErr w:type="spellEnd"/>
      <w:r w:rsidRPr="00AD047E">
        <w:rPr>
          <w:rFonts w:ascii="Arial" w:hAnsi="Arial" w:cs="Arial"/>
          <w:bCs/>
          <w:sz w:val="22"/>
          <w:szCs w:val="22"/>
          <w:lang w:val="es-CL"/>
        </w:rPr>
        <w:t xml:space="preserve"> brinda confianza de que la recomendación está sólidamente respaldada. Además, estas herramientas facilitan revisitar la decisión si cambian las condiciones, ya que se tiene claro qué factores favorecían u obstaculizaban cada ruta.</w:t>
      </w:r>
    </w:p>
    <w:p w14:paraId="2D8DAB73" w14:textId="2C623847" w:rsidR="00AD047E" w:rsidRPr="00AD047E" w:rsidRDefault="00AD047E" w:rsidP="00AD047E">
      <w:pPr>
        <w:numPr>
          <w:ilvl w:val="0"/>
          <w:numId w:val="6"/>
        </w:numPr>
        <w:jc w:val="both"/>
        <w:rPr>
          <w:rFonts w:ascii="Arial" w:hAnsi="Arial" w:cs="Arial"/>
          <w:bCs/>
          <w:sz w:val="22"/>
          <w:szCs w:val="22"/>
          <w:lang w:val="es-CL"/>
        </w:rPr>
      </w:pPr>
      <w:r w:rsidRPr="00AD047E">
        <w:rPr>
          <w:rFonts w:ascii="Arial" w:hAnsi="Arial" w:cs="Arial"/>
          <w:b/>
          <w:bCs/>
          <w:sz w:val="22"/>
          <w:szCs w:val="22"/>
          <w:lang w:val="es-CL"/>
        </w:rPr>
        <w:t>Adaptabilidad y Monitoreo:</w:t>
      </w:r>
      <w:r w:rsidRPr="00AD047E">
        <w:rPr>
          <w:rFonts w:ascii="Arial" w:hAnsi="Arial" w:cs="Arial"/>
          <w:bCs/>
          <w:sz w:val="22"/>
          <w:szCs w:val="22"/>
          <w:lang w:val="es-CL"/>
        </w:rPr>
        <w:t xml:space="preserve"> Finalmente, una conclusión transversal es que la planificación estratégica de una transición no debe verse como un evento estático, sino como un proceso dinámico que puede actualizarse conforme se desarrollan las etapas. La metodología es adaptable: nuevos datos geológicos, avances tecnológicos o cambios de mercado pueden incorporarse y gatillar un </w:t>
      </w:r>
      <w:proofErr w:type="spellStart"/>
      <w:r w:rsidRPr="00AD047E">
        <w:rPr>
          <w:rFonts w:ascii="Arial" w:hAnsi="Arial" w:cs="Arial"/>
          <w:bCs/>
          <w:sz w:val="22"/>
          <w:szCs w:val="22"/>
          <w:lang w:val="es-CL"/>
        </w:rPr>
        <w:t>re-análisis</w:t>
      </w:r>
      <w:proofErr w:type="spellEnd"/>
      <w:r w:rsidRPr="00AD047E">
        <w:rPr>
          <w:rFonts w:ascii="Arial" w:hAnsi="Arial" w:cs="Arial"/>
          <w:bCs/>
          <w:sz w:val="22"/>
          <w:szCs w:val="22"/>
          <w:lang w:val="es-CL"/>
        </w:rPr>
        <w:t xml:space="preserve"> de rutas. Esto enlaza con la tendencia hacia la “planificación minera adaptable” mencionada por autores como </w:t>
      </w:r>
      <w:proofErr w:type="spellStart"/>
      <w:r w:rsidRPr="00AD047E">
        <w:rPr>
          <w:rFonts w:ascii="Arial" w:hAnsi="Arial" w:cs="Arial"/>
          <w:bCs/>
          <w:sz w:val="22"/>
          <w:szCs w:val="22"/>
          <w:lang w:val="es-CL"/>
        </w:rPr>
        <w:t>Dimitrakopoulos</w:t>
      </w:r>
      <w:proofErr w:type="spellEnd"/>
      <w:r w:rsidRPr="00AD047E">
        <w:rPr>
          <w:rFonts w:ascii="Arial" w:hAnsi="Arial" w:cs="Arial"/>
          <w:bCs/>
          <w:sz w:val="22"/>
          <w:szCs w:val="22"/>
          <w:lang w:val="es-CL"/>
        </w:rPr>
        <w:t>, donde la toma de decisiones se va refinando a medida que se revela nueva información</w:t>
      </w:r>
      <w:hyperlink r:id="rId42" w:tgtFrame="_blank" w:history="1"/>
      <w:hyperlink r:id="rId43" w:tgtFrame="_blank" w:history="1"/>
      <w:r w:rsidRPr="00AD047E">
        <w:rPr>
          <w:rFonts w:ascii="Arial" w:hAnsi="Arial" w:cs="Arial"/>
          <w:bCs/>
          <w:sz w:val="22"/>
          <w:szCs w:val="22"/>
          <w:lang w:val="es-CL"/>
        </w:rPr>
        <w:t>. En esencia, planificar la transición es también planificar la capacidad de aprendizaje y ajuste a lo largo del tiempo.</w:t>
      </w:r>
    </w:p>
    <w:p w14:paraId="606FE6A4" w14:textId="7DA0D8BF" w:rsidR="00A534CB" w:rsidRDefault="00AD047E" w:rsidP="002D1C36">
      <w:pPr>
        <w:jc w:val="both"/>
        <w:rPr>
          <w:rFonts w:ascii="Arial" w:hAnsi="Arial" w:cs="Arial"/>
          <w:bCs/>
          <w:sz w:val="22"/>
          <w:szCs w:val="22"/>
          <w:lang w:val="es-CL"/>
        </w:rPr>
      </w:pPr>
      <w:r w:rsidRPr="00AD047E">
        <w:rPr>
          <w:rFonts w:ascii="Arial" w:hAnsi="Arial" w:cs="Arial"/>
          <w:bCs/>
          <w:sz w:val="22"/>
          <w:szCs w:val="22"/>
          <w:lang w:val="es-CL"/>
        </w:rPr>
        <w:t xml:space="preserve">En suma, este trabajo reafirma que afrontar la transición de rajo abierto a subterráneo con una metodología rigurosa, integradora y centrada en la gestión del riesgo puede traducirse en </w:t>
      </w:r>
      <w:r w:rsidRPr="00AD047E">
        <w:rPr>
          <w:rFonts w:ascii="Arial" w:hAnsi="Arial" w:cs="Arial"/>
          <w:b/>
          <w:bCs/>
          <w:sz w:val="22"/>
          <w:szCs w:val="22"/>
          <w:lang w:val="es-CL"/>
        </w:rPr>
        <w:t>mejores decisiones</w:t>
      </w:r>
      <w:r w:rsidRPr="00AD047E">
        <w:rPr>
          <w:rFonts w:ascii="Arial" w:hAnsi="Arial" w:cs="Arial"/>
          <w:bCs/>
          <w:sz w:val="22"/>
          <w:szCs w:val="22"/>
          <w:lang w:val="es-CL"/>
        </w:rPr>
        <w:t xml:space="preserve"> estratégicas. Esto se traduce no solo en mayor valor económico para los proyectos mineros, sino en transiciones más </w:t>
      </w:r>
      <w:r w:rsidRPr="00AD047E">
        <w:rPr>
          <w:rFonts w:ascii="Arial" w:hAnsi="Arial" w:cs="Arial"/>
          <w:b/>
          <w:bCs/>
          <w:sz w:val="22"/>
          <w:szCs w:val="22"/>
          <w:lang w:val="es-CL"/>
        </w:rPr>
        <w:t>seguras, eficientes y sostenibles</w:t>
      </w:r>
      <w:r w:rsidRPr="00AD047E">
        <w:rPr>
          <w:rFonts w:ascii="Arial" w:hAnsi="Arial" w:cs="Arial"/>
          <w:bCs/>
          <w:sz w:val="22"/>
          <w:szCs w:val="22"/>
          <w:lang w:val="es-CL"/>
        </w:rPr>
        <w:t>, reduciendo la incertidumbre tanto para las compañías mineras como para las partes interesadas en torno a ellas.</w:t>
      </w:r>
    </w:p>
    <w:p w14:paraId="749C2A9E" w14:textId="77777777" w:rsidR="002C1314" w:rsidRDefault="002C1314" w:rsidP="002D1C36">
      <w:pPr>
        <w:jc w:val="both"/>
        <w:rPr>
          <w:rFonts w:ascii="Arial" w:hAnsi="Arial" w:cs="Arial"/>
          <w:bCs/>
          <w:sz w:val="22"/>
          <w:szCs w:val="22"/>
          <w:lang w:val="es-CL"/>
        </w:rPr>
      </w:pPr>
    </w:p>
    <w:p w14:paraId="175F48BB" w14:textId="77777777" w:rsidR="002C1314" w:rsidRPr="00AD047E" w:rsidRDefault="002C1314" w:rsidP="002D1C36">
      <w:pPr>
        <w:jc w:val="both"/>
        <w:rPr>
          <w:rFonts w:ascii="Arial" w:hAnsi="Arial" w:cs="Arial"/>
          <w:bCs/>
          <w:sz w:val="22"/>
          <w:szCs w:val="22"/>
          <w:lang w:val="es-CL"/>
        </w:rPr>
      </w:pPr>
    </w:p>
    <w:p w14:paraId="774A69FC" w14:textId="77777777" w:rsidR="00A534CB" w:rsidRPr="000270E6" w:rsidRDefault="00A534CB" w:rsidP="002D1C36">
      <w:pPr>
        <w:jc w:val="both"/>
        <w:rPr>
          <w:rFonts w:ascii="Arial" w:hAnsi="Arial" w:cs="Arial"/>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65E3FD51" w:rsidR="006178C0" w:rsidRPr="000270E6" w:rsidRDefault="00AD047E" w:rsidP="006178C0">
      <w:pPr>
        <w:jc w:val="both"/>
        <w:rPr>
          <w:rFonts w:ascii="Arial" w:hAnsi="Arial" w:cs="Arial"/>
          <w:b/>
          <w:bCs/>
          <w:sz w:val="22"/>
          <w:szCs w:val="22"/>
          <w:lang w:val="es-PE"/>
        </w:rPr>
      </w:pPr>
      <w:r>
        <w:rPr>
          <w:rFonts w:ascii="Arial" w:hAnsi="Arial" w:cs="Arial"/>
          <w:b/>
          <w:bCs/>
          <w:sz w:val="22"/>
          <w:szCs w:val="22"/>
          <w:lang w:val="es-PE"/>
        </w:rPr>
        <w:lastRenderedPageBreak/>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2C410D5F" w14:textId="70DB52DE"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MacNeil, A., &amp; Dimitrakopoulos, R. (2017). </w:t>
      </w:r>
      <w:r w:rsidRPr="00AD047E">
        <w:rPr>
          <w:rFonts w:ascii="Arial" w:hAnsi="Arial" w:cs="Arial"/>
          <w:bCs/>
          <w:i/>
          <w:iCs/>
          <w:sz w:val="22"/>
          <w:szCs w:val="22"/>
          <w:lang w:val="en-US"/>
        </w:rPr>
        <w:t>A stochastic optimization formulation for the transition from open pit to underground mining</w:t>
      </w:r>
      <w:r w:rsidRPr="00AD047E">
        <w:rPr>
          <w:rFonts w:ascii="Arial" w:hAnsi="Arial" w:cs="Arial"/>
          <w:bCs/>
          <w:sz w:val="22"/>
          <w:szCs w:val="22"/>
          <w:lang w:val="en-US"/>
        </w:rPr>
        <w:t>, Orebody Modelling and Strategic Mine Planning SMP 2014 (</w:t>
      </w:r>
      <w:proofErr w:type="spellStart"/>
      <w:r w:rsidRPr="00AD047E">
        <w:rPr>
          <w:rFonts w:ascii="Arial" w:hAnsi="Arial" w:cs="Arial"/>
          <w:bCs/>
          <w:sz w:val="22"/>
          <w:szCs w:val="22"/>
          <w:lang w:val="en-US"/>
        </w:rPr>
        <w:t>AusIMM</w:t>
      </w:r>
      <w:proofErr w:type="spellEnd"/>
      <w:r w:rsidRPr="00AD047E">
        <w:rPr>
          <w:rFonts w:ascii="Arial" w:hAnsi="Arial" w:cs="Arial"/>
          <w:bCs/>
          <w:sz w:val="22"/>
          <w:szCs w:val="22"/>
          <w:lang w:val="en-US"/>
        </w:rPr>
        <w:t xml:space="preserve">). </w:t>
      </w:r>
    </w:p>
    <w:p w14:paraId="56AAB367" w14:textId="4D3EF142"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Whittle, D. (2017). </w:t>
      </w:r>
      <w:r w:rsidRPr="00AD047E">
        <w:rPr>
          <w:rFonts w:ascii="Arial" w:hAnsi="Arial" w:cs="Arial"/>
          <w:bCs/>
          <w:i/>
          <w:iCs/>
          <w:sz w:val="22"/>
          <w:szCs w:val="22"/>
          <w:lang w:val="en-US"/>
        </w:rPr>
        <w:t>Determining the open pit to underground transition: A new method</w:t>
      </w:r>
      <w:r w:rsidRPr="00AD047E">
        <w:rPr>
          <w:rFonts w:ascii="Arial" w:hAnsi="Arial" w:cs="Arial"/>
          <w:bCs/>
          <w:sz w:val="22"/>
          <w:szCs w:val="22"/>
          <w:lang w:val="en-US"/>
        </w:rPr>
        <w:t xml:space="preserve">. </w:t>
      </w:r>
      <w:r w:rsidRPr="00AD047E">
        <w:rPr>
          <w:rFonts w:ascii="Arial" w:hAnsi="Arial" w:cs="Arial"/>
          <w:bCs/>
          <w:sz w:val="22"/>
          <w:szCs w:val="22"/>
          <w:lang w:val="es-CL"/>
        </w:rPr>
        <w:t xml:space="preserve">Publicación técnica (Whittle </w:t>
      </w:r>
      <w:proofErr w:type="spellStart"/>
      <w:r w:rsidRPr="00AD047E">
        <w:rPr>
          <w:rFonts w:ascii="Arial" w:hAnsi="Arial" w:cs="Arial"/>
          <w:bCs/>
          <w:sz w:val="22"/>
          <w:szCs w:val="22"/>
          <w:lang w:val="es-CL"/>
        </w:rPr>
        <w:t>Consulting</w:t>
      </w:r>
      <w:proofErr w:type="spellEnd"/>
      <w:r w:rsidRPr="00AD047E">
        <w:rPr>
          <w:rFonts w:ascii="Arial" w:hAnsi="Arial" w:cs="Arial"/>
          <w:bCs/>
          <w:sz w:val="22"/>
          <w:szCs w:val="22"/>
          <w:lang w:val="es-CL"/>
        </w:rPr>
        <w:t xml:space="preserve">). </w:t>
      </w:r>
    </w:p>
    <w:p w14:paraId="6DB1519A" w14:textId="40FDA275"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s-CL"/>
        </w:rPr>
        <w:t xml:space="preserve">Newman, A., Rubio, E., et al. </w:t>
      </w:r>
      <w:r w:rsidRPr="00AD047E">
        <w:rPr>
          <w:rFonts w:ascii="Arial" w:hAnsi="Arial" w:cs="Arial"/>
          <w:bCs/>
          <w:sz w:val="22"/>
          <w:szCs w:val="22"/>
          <w:lang w:val="en-US"/>
        </w:rPr>
        <w:t xml:space="preserve">(2010). </w:t>
      </w:r>
      <w:r w:rsidRPr="00AD047E">
        <w:rPr>
          <w:rFonts w:ascii="Arial" w:hAnsi="Arial" w:cs="Arial"/>
          <w:bCs/>
          <w:i/>
          <w:iCs/>
          <w:sz w:val="22"/>
          <w:szCs w:val="22"/>
          <w:lang w:val="en-US"/>
        </w:rPr>
        <w:t>Mining above and below ground: timing the transition</w:t>
      </w:r>
      <w:r w:rsidRPr="00AD047E">
        <w:rPr>
          <w:rFonts w:ascii="Arial" w:hAnsi="Arial" w:cs="Arial"/>
          <w:bCs/>
          <w:sz w:val="22"/>
          <w:szCs w:val="22"/>
          <w:lang w:val="en-US"/>
        </w:rPr>
        <w:t xml:space="preserve">. </w:t>
      </w:r>
      <w:r w:rsidRPr="00AD047E">
        <w:rPr>
          <w:rFonts w:ascii="Arial" w:hAnsi="Arial" w:cs="Arial"/>
          <w:bCs/>
          <w:sz w:val="22"/>
          <w:szCs w:val="22"/>
          <w:lang w:val="es-CL"/>
        </w:rPr>
        <w:t xml:space="preserve">IIE </w:t>
      </w:r>
      <w:proofErr w:type="spellStart"/>
      <w:r w:rsidRPr="00AD047E">
        <w:rPr>
          <w:rFonts w:ascii="Arial" w:hAnsi="Arial" w:cs="Arial"/>
          <w:bCs/>
          <w:sz w:val="22"/>
          <w:szCs w:val="22"/>
          <w:lang w:val="es-CL"/>
        </w:rPr>
        <w:t>Transactions</w:t>
      </w:r>
      <w:proofErr w:type="spellEnd"/>
      <w:r w:rsidRPr="00AD047E">
        <w:rPr>
          <w:rFonts w:ascii="Arial" w:hAnsi="Arial" w:cs="Arial"/>
          <w:bCs/>
          <w:sz w:val="22"/>
          <w:szCs w:val="22"/>
          <w:lang w:val="es-CL"/>
        </w:rPr>
        <w:t xml:space="preserve">, 44(12). </w:t>
      </w:r>
    </w:p>
    <w:p w14:paraId="46948352" w14:textId="43E2F9C3" w:rsidR="00AD047E" w:rsidRPr="00AD047E" w:rsidRDefault="00AD047E" w:rsidP="00AD047E">
      <w:pPr>
        <w:ind w:left="142" w:hanging="142"/>
        <w:jc w:val="both"/>
        <w:rPr>
          <w:rFonts w:ascii="Arial" w:hAnsi="Arial" w:cs="Arial"/>
          <w:bCs/>
          <w:sz w:val="22"/>
          <w:szCs w:val="22"/>
          <w:lang w:val="es-CL"/>
        </w:rPr>
      </w:pPr>
      <w:proofErr w:type="spellStart"/>
      <w:r w:rsidRPr="00AD047E">
        <w:rPr>
          <w:rFonts w:ascii="Arial" w:hAnsi="Arial" w:cs="Arial"/>
          <w:bCs/>
          <w:sz w:val="22"/>
          <w:szCs w:val="22"/>
          <w:lang w:val="es-CL"/>
        </w:rPr>
        <w:t>Dimitrakopoulos</w:t>
      </w:r>
      <w:proofErr w:type="spellEnd"/>
      <w:r w:rsidRPr="00AD047E">
        <w:rPr>
          <w:rFonts w:ascii="Arial" w:hAnsi="Arial" w:cs="Arial"/>
          <w:bCs/>
          <w:sz w:val="22"/>
          <w:szCs w:val="22"/>
          <w:lang w:val="es-CL"/>
        </w:rPr>
        <w:t xml:space="preserve">, R., </w:t>
      </w:r>
      <w:proofErr w:type="spellStart"/>
      <w:r w:rsidRPr="00AD047E">
        <w:rPr>
          <w:rFonts w:ascii="Arial" w:hAnsi="Arial" w:cs="Arial"/>
          <w:bCs/>
          <w:sz w:val="22"/>
          <w:szCs w:val="22"/>
          <w:lang w:val="es-CL"/>
        </w:rPr>
        <w:t>Farrelly</w:t>
      </w:r>
      <w:proofErr w:type="spellEnd"/>
      <w:r w:rsidRPr="00AD047E">
        <w:rPr>
          <w:rFonts w:ascii="Arial" w:hAnsi="Arial" w:cs="Arial"/>
          <w:bCs/>
          <w:sz w:val="22"/>
          <w:szCs w:val="22"/>
          <w:lang w:val="es-CL"/>
        </w:rPr>
        <w:t xml:space="preserve">, C., &amp; Godoy, M. (2002). </w:t>
      </w:r>
      <w:r w:rsidRPr="00AD047E">
        <w:rPr>
          <w:rFonts w:ascii="Arial" w:hAnsi="Arial" w:cs="Arial"/>
          <w:bCs/>
          <w:i/>
          <w:iCs/>
          <w:sz w:val="22"/>
          <w:szCs w:val="22"/>
          <w:lang w:val="en-US"/>
        </w:rPr>
        <w:t>Evaluating Mining Projects under Uncertainty: An Application of Conditional Simulation</w:t>
      </w:r>
      <w:r w:rsidRPr="00AD047E">
        <w:rPr>
          <w:rFonts w:ascii="Arial" w:hAnsi="Arial" w:cs="Arial"/>
          <w:bCs/>
          <w:sz w:val="22"/>
          <w:szCs w:val="22"/>
          <w:lang w:val="en-US"/>
        </w:rPr>
        <w:t xml:space="preserve">, Economic Geology, 97(6). </w:t>
      </w:r>
    </w:p>
    <w:p w14:paraId="4A7EBCBA" w14:textId="11BE9896"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Leite, A., &amp; Dimitrakopoulos, R. (2007). </w:t>
      </w:r>
      <w:r w:rsidRPr="00AD047E">
        <w:rPr>
          <w:rFonts w:ascii="Arial" w:hAnsi="Arial" w:cs="Arial"/>
          <w:bCs/>
          <w:i/>
          <w:iCs/>
          <w:sz w:val="22"/>
          <w:szCs w:val="22"/>
          <w:lang w:val="en-US"/>
        </w:rPr>
        <w:t>Stochastic optimization model for open pit mine planning</w:t>
      </w:r>
      <w:r w:rsidRPr="00AD047E">
        <w:rPr>
          <w:rFonts w:ascii="Arial" w:hAnsi="Arial" w:cs="Arial"/>
          <w:bCs/>
          <w:sz w:val="22"/>
          <w:szCs w:val="22"/>
          <w:lang w:val="en-US"/>
        </w:rPr>
        <w:t xml:space="preserve">, SME Transactions. </w:t>
      </w:r>
    </w:p>
    <w:p w14:paraId="55F08739" w14:textId="3D1E04E4"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Nilsson, D. (1981). </w:t>
      </w:r>
      <w:r w:rsidRPr="00AD047E">
        <w:rPr>
          <w:rFonts w:ascii="Arial" w:hAnsi="Arial" w:cs="Arial"/>
          <w:bCs/>
          <w:i/>
          <w:iCs/>
          <w:sz w:val="22"/>
          <w:szCs w:val="22"/>
          <w:lang w:val="en-US"/>
        </w:rPr>
        <w:t>Factors Considered in the Transition from Open Pit to Underground Mining</w:t>
      </w:r>
      <w:r w:rsidRPr="00AD047E">
        <w:rPr>
          <w:rFonts w:ascii="Arial" w:hAnsi="Arial" w:cs="Arial"/>
          <w:bCs/>
          <w:sz w:val="22"/>
          <w:szCs w:val="22"/>
          <w:lang w:val="en-US"/>
        </w:rPr>
        <w:t xml:space="preserve">. </w:t>
      </w:r>
      <w:r w:rsidRPr="00AD047E">
        <w:rPr>
          <w:rFonts w:ascii="Arial" w:hAnsi="Arial" w:cs="Arial"/>
          <w:bCs/>
          <w:sz w:val="22"/>
          <w:szCs w:val="22"/>
          <w:lang w:val="es-CL"/>
        </w:rPr>
        <w:t xml:space="preserve">Reporte técnico, </w:t>
      </w:r>
      <w:proofErr w:type="spellStart"/>
      <w:r w:rsidRPr="00AD047E">
        <w:rPr>
          <w:rFonts w:ascii="Arial" w:hAnsi="Arial" w:cs="Arial"/>
          <w:bCs/>
          <w:sz w:val="22"/>
          <w:szCs w:val="22"/>
          <w:lang w:val="es-CL"/>
        </w:rPr>
        <w:t>University</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of</w:t>
      </w:r>
      <w:proofErr w:type="spellEnd"/>
      <w:r w:rsidRPr="00AD047E">
        <w:rPr>
          <w:rFonts w:ascii="Arial" w:hAnsi="Arial" w:cs="Arial"/>
          <w:bCs/>
          <w:sz w:val="22"/>
          <w:szCs w:val="22"/>
          <w:lang w:val="es-CL"/>
        </w:rPr>
        <w:t xml:space="preserve"> Arizona. </w:t>
      </w:r>
    </w:p>
    <w:p w14:paraId="07806E80" w14:textId="27F8FE91" w:rsidR="00AD047E" w:rsidRPr="00AD047E" w:rsidRDefault="00AD047E" w:rsidP="00AD047E">
      <w:pPr>
        <w:ind w:left="142" w:hanging="142"/>
        <w:jc w:val="both"/>
        <w:rPr>
          <w:rFonts w:ascii="Arial" w:hAnsi="Arial" w:cs="Arial"/>
          <w:bCs/>
          <w:sz w:val="22"/>
          <w:szCs w:val="22"/>
          <w:lang w:val="es-CL"/>
        </w:rPr>
      </w:pPr>
      <w:proofErr w:type="spellStart"/>
      <w:r w:rsidRPr="00AD047E">
        <w:rPr>
          <w:rFonts w:ascii="Arial" w:hAnsi="Arial" w:cs="Arial"/>
          <w:bCs/>
          <w:sz w:val="22"/>
          <w:szCs w:val="22"/>
          <w:lang w:val="en-US"/>
        </w:rPr>
        <w:t>Bakhtavar</w:t>
      </w:r>
      <w:proofErr w:type="spellEnd"/>
      <w:r w:rsidRPr="00AD047E">
        <w:rPr>
          <w:rFonts w:ascii="Arial" w:hAnsi="Arial" w:cs="Arial"/>
          <w:bCs/>
          <w:sz w:val="22"/>
          <w:szCs w:val="22"/>
          <w:lang w:val="en-US"/>
        </w:rPr>
        <w:t xml:space="preserve">, E., Shahriar, K., &amp; </w:t>
      </w:r>
      <w:proofErr w:type="spellStart"/>
      <w:r w:rsidRPr="00AD047E">
        <w:rPr>
          <w:rFonts w:ascii="Arial" w:hAnsi="Arial" w:cs="Arial"/>
          <w:bCs/>
          <w:sz w:val="22"/>
          <w:szCs w:val="22"/>
          <w:lang w:val="en-US"/>
        </w:rPr>
        <w:t>Oraee</w:t>
      </w:r>
      <w:proofErr w:type="spellEnd"/>
      <w:r w:rsidRPr="00AD047E">
        <w:rPr>
          <w:rFonts w:ascii="Arial" w:hAnsi="Arial" w:cs="Arial"/>
          <w:bCs/>
          <w:sz w:val="22"/>
          <w:szCs w:val="22"/>
          <w:lang w:val="en-US"/>
        </w:rPr>
        <w:t xml:space="preserve">, K. (2008). </w:t>
      </w:r>
      <w:r w:rsidRPr="00AD047E">
        <w:rPr>
          <w:rFonts w:ascii="Arial" w:hAnsi="Arial" w:cs="Arial"/>
          <w:bCs/>
          <w:i/>
          <w:iCs/>
          <w:sz w:val="22"/>
          <w:szCs w:val="22"/>
          <w:lang w:val="en-US"/>
        </w:rPr>
        <w:t xml:space="preserve">Optimizing transition from </w:t>
      </w:r>
      <w:proofErr w:type="gramStart"/>
      <w:r w:rsidRPr="00AD047E">
        <w:rPr>
          <w:rFonts w:ascii="Arial" w:hAnsi="Arial" w:cs="Arial"/>
          <w:bCs/>
          <w:i/>
          <w:iCs/>
          <w:sz w:val="22"/>
          <w:szCs w:val="22"/>
          <w:lang w:val="en-US"/>
        </w:rPr>
        <w:t>open-pit</w:t>
      </w:r>
      <w:proofErr w:type="gramEnd"/>
      <w:r w:rsidRPr="00AD047E">
        <w:rPr>
          <w:rFonts w:ascii="Arial" w:hAnsi="Arial" w:cs="Arial"/>
          <w:bCs/>
          <w:i/>
          <w:iCs/>
          <w:sz w:val="22"/>
          <w:szCs w:val="22"/>
          <w:lang w:val="en-US"/>
        </w:rPr>
        <w:t xml:space="preserve"> to underground mining at a gold mine</w:t>
      </w:r>
      <w:r w:rsidRPr="00AD047E">
        <w:rPr>
          <w:rFonts w:ascii="Arial" w:hAnsi="Arial" w:cs="Arial"/>
          <w:bCs/>
          <w:sz w:val="22"/>
          <w:szCs w:val="22"/>
          <w:lang w:val="en-US"/>
        </w:rPr>
        <w:t xml:space="preserve">. </w:t>
      </w:r>
      <w:proofErr w:type="spellStart"/>
      <w:r w:rsidRPr="00AD047E">
        <w:rPr>
          <w:rFonts w:ascii="Arial" w:hAnsi="Arial" w:cs="Arial"/>
          <w:bCs/>
          <w:sz w:val="22"/>
          <w:szCs w:val="22"/>
          <w:lang w:val="es-CL"/>
        </w:rPr>
        <w:t>Journal</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of</w:t>
      </w:r>
      <w:proofErr w:type="spellEnd"/>
      <w:r w:rsidRPr="00AD047E">
        <w:rPr>
          <w:rFonts w:ascii="Arial" w:hAnsi="Arial" w:cs="Arial"/>
          <w:bCs/>
          <w:sz w:val="22"/>
          <w:szCs w:val="22"/>
          <w:lang w:val="es-CL"/>
        </w:rPr>
        <w:t xml:space="preserve"> Mining </w:t>
      </w:r>
      <w:proofErr w:type="spellStart"/>
      <w:r w:rsidRPr="00AD047E">
        <w:rPr>
          <w:rFonts w:ascii="Arial" w:hAnsi="Arial" w:cs="Arial"/>
          <w:bCs/>
          <w:sz w:val="22"/>
          <w:szCs w:val="22"/>
          <w:lang w:val="es-CL"/>
        </w:rPr>
        <w:t>Science</w:t>
      </w:r>
      <w:proofErr w:type="spellEnd"/>
      <w:r w:rsidRPr="00AD047E">
        <w:rPr>
          <w:rFonts w:ascii="Arial" w:hAnsi="Arial" w:cs="Arial"/>
          <w:bCs/>
          <w:sz w:val="22"/>
          <w:szCs w:val="22"/>
          <w:lang w:val="es-CL"/>
        </w:rPr>
        <w:t xml:space="preserve">, 44(5). </w:t>
      </w:r>
    </w:p>
    <w:p w14:paraId="651BE157" w14:textId="0DDD4BA4"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Paty, S., &amp; Samanta, B. (2025). </w:t>
      </w:r>
      <w:r w:rsidRPr="00AD047E">
        <w:rPr>
          <w:rFonts w:ascii="Arial" w:hAnsi="Arial" w:cs="Arial"/>
          <w:bCs/>
          <w:i/>
          <w:iCs/>
          <w:sz w:val="22"/>
          <w:szCs w:val="22"/>
          <w:lang w:val="en-US"/>
        </w:rPr>
        <w:t>A Sustainable Multi-Criteria Decision Framework for Optimizing Open-Pit to Underground Transition Depth in Copper Mines</w:t>
      </w:r>
      <w:r w:rsidRPr="00AD047E">
        <w:rPr>
          <w:rFonts w:ascii="Arial" w:hAnsi="Arial" w:cs="Arial"/>
          <w:bCs/>
          <w:sz w:val="22"/>
          <w:szCs w:val="22"/>
          <w:lang w:val="en-US"/>
        </w:rPr>
        <w:t xml:space="preserve">. </w:t>
      </w:r>
      <w:proofErr w:type="spellStart"/>
      <w:r w:rsidRPr="00AD047E">
        <w:rPr>
          <w:rFonts w:ascii="Arial" w:hAnsi="Arial" w:cs="Arial"/>
          <w:bCs/>
          <w:sz w:val="22"/>
          <w:szCs w:val="22"/>
          <w:lang w:val="es-CL"/>
        </w:rPr>
        <w:t>Journal</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of</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The</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Institution</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of</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Engineers</w:t>
      </w:r>
      <w:proofErr w:type="spellEnd"/>
      <w:r w:rsidRPr="00AD047E">
        <w:rPr>
          <w:rFonts w:ascii="Arial" w:hAnsi="Arial" w:cs="Arial"/>
          <w:bCs/>
          <w:sz w:val="22"/>
          <w:szCs w:val="22"/>
          <w:lang w:val="es-CL"/>
        </w:rPr>
        <w:t xml:space="preserve"> (India), Series D, 106(2). </w:t>
      </w:r>
    </w:p>
    <w:p w14:paraId="79A0B353" w14:textId="1EAE8C89"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Cs/>
          <w:sz w:val="22"/>
          <w:szCs w:val="22"/>
          <w:lang w:val="en-US"/>
        </w:rPr>
        <w:t xml:space="preserve">Oppong, B., &amp; Ben-Awuah, E. (2021). </w:t>
      </w:r>
      <w:r w:rsidRPr="00AD047E">
        <w:rPr>
          <w:rFonts w:ascii="Arial" w:hAnsi="Arial" w:cs="Arial"/>
          <w:bCs/>
          <w:i/>
          <w:iCs/>
          <w:sz w:val="22"/>
          <w:szCs w:val="22"/>
          <w:lang w:val="en-US"/>
        </w:rPr>
        <w:t>A Review of Models and Algorithms for Surface-Underground Mining Options and Transitions Optimization: Some Lessons Learnt and the Way Forward</w:t>
      </w:r>
      <w:r w:rsidRPr="00AD047E">
        <w:rPr>
          <w:rFonts w:ascii="Arial" w:hAnsi="Arial" w:cs="Arial"/>
          <w:bCs/>
          <w:sz w:val="22"/>
          <w:szCs w:val="22"/>
          <w:lang w:val="en-US"/>
        </w:rPr>
        <w:t xml:space="preserve">. </w:t>
      </w:r>
      <w:r w:rsidRPr="00AD047E">
        <w:rPr>
          <w:rFonts w:ascii="Arial" w:hAnsi="Arial" w:cs="Arial"/>
          <w:bCs/>
          <w:sz w:val="22"/>
          <w:szCs w:val="22"/>
          <w:lang w:val="es-CL"/>
        </w:rPr>
        <w:t xml:space="preserve">Mining, </w:t>
      </w:r>
      <w:proofErr w:type="spellStart"/>
      <w:r w:rsidRPr="00AD047E">
        <w:rPr>
          <w:rFonts w:ascii="Arial" w:hAnsi="Arial" w:cs="Arial"/>
          <w:bCs/>
          <w:sz w:val="22"/>
          <w:szCs w:val="22"/>
          <w:lang w:val="es-CL"/>
        </w:rPr>
        <w:t>Metallurgy</w:t>
      </w:r>
      <w:proofErr w:type="spellEnd"/>
      <w:r w:rsidRPr="00AD047E">
        <w:rPr>
          <w:rFonts w:ascii="Arial" w:hAnsi="Arial" w:cs="Arial"/>
          <w:bCs/>
          <w:sz w:val="22"/>
          <w:szCs w:val="22"/>
          <w:lang w:val="es-CL"/>
        </w:rPr>
        <w:t xml:space="preserve"> &amp; </w:t>
      </w:r>
      <w:proofErr w:type="spellStart"/>
      <w:r w:rsidRPr="00AD047E">
        <w:rPr>
          <w:rFonts w:ascii="Arial" w:hAnsi="Arial" w:cs="Arial"/>
          <w:bCs/>
          <w:sz w:val="22"/>
          <w:szCs w:val="22"/>
          <w:lang w:val="es-CL"/>
        </w:rPr>
        <w:t>Exploration</w:t>
      </w:r>
      <w:proofErr w:type="spellEnd"/>
      <w:r w:rsidRPr="00AD047E">
        <w:rPr>
          <w:rFonts w:ascii="Arial" w:hAnsi="Arial" w:cs="Arial"/>
          <w:bCs/>
          <w:sz w:val="22"/>
          <w:szCs w:val="22"/>
          <w:lang w:val="es-CL"/>
        </w:rPr>
        <w:t xml:space="preserve">, 38(5). </w:t>
      </w:r>
    </w:p>
    <w:p w14:paraId="0E9D7108" w14:textId="77777777" w:rsidR="008B48C8" w:rsidRPr="000270E6" w:rsidRDefault="008B48C8" w:rsidP="00837CF7">
      <w:pPr>
        <w:ind w:left="142" w:hanging="142"/>
        <w:jc w:val="both"/>
        <w:rPr>
          <w:rFonts w:ascii="Arial" w:hAnsi="Arial" w:cs="Arial"/>
          <w:b/>
          <w:bCs/>
          <w:sz w:val="22"/>
          <w:szCs w:val="22"/>
          <w:lang w:val="es-PE"/>
        </w:rPr>
      </w:pPr>
    </w:p>
    <w:p w14:paraId="2A007C82" w14:textId="4118871F" w:rsidR="008B48C8" w:rsidRPr="000270E6" w:rsidRDefault="00AD047E" w:rsidP="008B48C8">
      <w:pPr>
        <w:jc w:val="both"/>
        <w:rPr>
          <w:rFonts w:ascii="Arial" w:hAnsi="Arial" w:cs="Arial"/>
          <w:b/>
          <w:bCs/>
          <w:sz w:val="22"/>
          <w:szCs w:val="22"/>
          <w:lang w:val="es-PE"/>
        </w:rPr>
      </w:pPr>
      <w:r>
        <w:rPr>
          <w:rFonts w:ascii="Arial" w:hAnsi="Arial" w:cs="Arial"/>
          <w:b/>
          <w:bCs/>
          <w:sz w:val="22"/>
          <w:szCs w:val="22"/>
          <w:lang w:val="es-PE"/>
        </w:rPr>
        <w:t>7</w:t>
      </w:r>
      <w:r w:rsidR="00F025B2" w:rsidRPr="000270E6">
        <w:rPr>
          <w:rFonts w:ascii="Arial" w:hAnsi="Arial" w:cs="Arial"/>
          <w:b/>
          <w:bCs/>
          <w:sz w:val="22"/>
          <w:szCs w:val="22"/>
          <w:lang w:val="es-PE"/>
        </w:rPr>
        <w:t xml:space="preserve">. </w:t>
      </w:r>
      <w:r>
        <w:rPr>
          <w:rFonts w:ascii="Arial" w:hAnsi="Arial" w:cs="Arial"/>
          <w:b/>
          <w:bCs/>
          <w:sz w:val="22"/>
          <w:szCs w:val="22"/>
          <w:lang w:val="es-PE"/>
        </w:rPr>
        <w:t>Reseñas profesionales de Autores</w:t>
      </w:r>
    </w:p>
    <w:p w14:paraId="593CF034" w14:textId="77777777" w:rsidR="00180629" w:rsidRPr="000270E6" w:rsidRDefault="00180629" w:rsidP="00975533">
      <w:pPr>
        <w:widowControl w:val="0"/>
        <w:autoSpaceDE w:val="0"/>
        <w:autoSpaceDN w:val="0"/>
        <w:adjustRightInd w:val="0"/>
        <w:rPr>
          <w:rFonts w:ascii="Arial" w:hAnsi="Arial" w:cs="Arial"/>
          <w:bCs/>
          <w:sz w:val="22"/>
          <w:szCs w:val="22"/>
          <w:lang w:val="es-PE"/>
        </w:rPr>
      </w:pPr>
    </w:p>
    <w:p w14:paraId="4773EF7B" w14:textId="12CB3DA7" w:rsidR="00AD047E" w:rsidRDefault="00AD047E" w:rsidP="00AD047E">
      <w:pPr>
        <w:ind w:left="142" w:hanging="142"/>
        <w:jc w:val="both"/>
        <w:rPr>
          <w:rFonts w:ascii="Arial" w:hAnsi="Arial" w:cs="Arial"/>
          <w:bCs/>
          <w:sz w:val="22"/>
          <w:szCs w:val="22"/>
          <w:lang w:val="es-CL"/>
        </w:rPr>
      </w:pPr>
      <w:r w:rsidRPr="00AD047E">
        <w:rPr>
          <w:rFonts w:ascii="Arial" w:hAnsi="Arial" w:cs="Arial"/>
          <w:b/>
          <w:bCs/>
          <w:sz w:val="22"/>
          <w:szCs w:val="22"/>
          <w:lang w:val="es-CL"/>
        </w:rPr>
        <w:t>Matías Fuentes Bustamante</w:t>
      </w:r>
      <w:r w:rsidRPr="00AD047E">
        <w:rPr>
          <w:rFonts w:ascii="Arial" w:hAnsi="Arial" w:cs="Arial"/>
          <w:bCs/>
          <w:sz w:val="22"/>
          <w:szCs w:val="22"/>
          <w:lang w:val="es-CL"/>
        </w:rPr>
        <w:t xml:space="preserve"> – Ingeniero Civil de Minas titulado de la Universidad de Chile (2014), con más de 10 años de experiencia en ingeniería y consultoría minera a nivel nacional e internacional. Actualmente es </w:t>
      </w:r>
      <w:r w:rsidRPr="00AD047E">
        <w:rPr>
          <w:rFonts w:ascii="Arial" w:hAnsi="Arial" w:cs="Arial"/>
          <w:b/>
          <w:sz w:val="22"/>
          <w:szCs w:val="22"/>
          <w:lang w:val="es-CL"/>
        </w:rPr>
        <w:t xml:space="preserve">Gerente de Servicios Técnicos en REDCO Mining </w:t>
      </w:r>
      <w:proofErr w:type="spellStart"/>
      <w:r w:rsidRPr="00AD047E">
        <w:rPr>
          <w:rFonts w:ascii="Arial" w:hAnsi="Arial" w:cs="Arial"/>
          <w:b/>
          <w:sz w:val="22"/>
          <w:szCs w:val="22"/>
          <w:lang w:val="es-CL"/>
        </w:rPr>
        <w:t>Consultants</w:t>
      </w:r>
      <w:proofErr w:type="spellEnd"/>
      <w:r w:rsidRPr="00AD047E">
        <w:rPr>
          <w:rFonts w:ascii="Arial" w:hAnsi="Arial" w:cs="Arial"/>
          <w:bCs/>
          <w:sz w:val="22"/>
          <w:szCs w:val="22"/>
          <w:lang w:val="es-CL"/>
        </w:rPr>
        <w:t xml:space="preserve">, liderando el desarrollo y ejecución de estudios para proyectos de minería masiva y selectiva, tanto subterránea como a cielo abierto, en todas sus etapas: conceptual, prefactibilidad, factibilidad y operación. Posee una sólida </w:t>
      </w:r>
      <w:r w:rsidRPr="00AD047E">
        <w:rPr>
          <w:rFonts w:ascii="Arial" w:hAnsi="Arial" w:cs="Arial"/>
          <w:bCs/>
          <w:sz w:val="22"/>
          <w:szCs w:val="22"/>
          <w:lang w:val="es-CL"/>
        </w:rPr>
        <w:t xml:space="preserve">trayectoria en evaluaciones técnico-económicas, planificación minera, diseño de infraestructura y análisis estratégico de proyectos, con enfoque integral en productividad, geotecnia, operación y sustentabilidad. En los últimos años ha liderado la implementación de </w:t>
      </w:r>
      <w:r w:rsidRPr="00AD047E">
        <w:rPr>
          <w:rFonts w:ascii="Arial" w:hAnsi="Arial" w:cs="Arial"/>
          <w:b/>
          <w:bCs/>
          <w:sz w:val="22"/>
          <w:szCs w:val="22"/>
          <w:lang w:val="es-CL"/>
        </w:rPr>
        <w:t>plataformas digitales basadas en inteligencia artificial</w:t>
      </w:r>
      <w:r w:rsidRPr="00AD047E">
        <w:rPr>
          <w:rFonts w:ascii="Arial" w:hAnsi="Arial" w:cs="Arial"/>
          <w:bCs/>
          <w:sz w:val="22"/>
          <w:szCs w:val="22"/>
          <w:lang w:val="es-CL"/>
        </w:rPr>
        <w:t xml:space="preserve"> aplicadas a la minería, orientadas a mejorar la eficiencia de los procesos técnicos, fortalecer la toma de decisiones y elevar el estándar de la consultoría minera hacia una gestión más digital, integrada y predictiva. Matías se destaca por su enfoque metódico, visión sistémica de la cadena de valor minera, rigurosidad técnica y capacidad de liderazgo en contextos de alta complejidad y exigencia operativa.</w:t>
      </w:r>
    </w:p>
    <w:p w14:paraId="789AAB7A" w14:textId="77777777" w:rsidR="00AD047E" w:rsidRPr="00AD047E" w:rsidRDefault="00AD047E" w:rsidP="00AD047E">
      <w:pPr>
        <w:ind w:left="142" w:hanging="142"/>
        <w:jc w:val="both"/>
        <w:rPr>
          <w:rFonts w:ascii="Arial" w:hAnsi="Arial" w:cs="Arial"/>
          <w:bCs/>
          <w:sz w:val="22"/>
          <w:szCs w:val="22"/>
          <w:lang w:val="es-CL"/>
        </w:rPr>
      </w:pPr>
    </w:p>
    <w:p w14:paraId="45B7135B" w14:textId="77DDCB40" w:rsidR="00AD047E" w:rsidRPr="00AD047E" w:rsidRDefault="00AD047E" w:rsidP="00AD047E">
      <w:pPr>
        <w:ind w:left="142" w:hanging="142"/>
        <w:jc w:val="both"/>
        <w:rPr>
          <w:rFonts w:ascii="Arial" w:hAnsi="Arial" w:cs="Arial"/>
          <w:bCs/>
          <w:sz w:val="22"/>
          <w:szCs w:val="22"/>
          <w:lang w:val="es-CL"/>
        </w:rPr>
      </w:pPr>
      <w:r w:rsidRPr="00AD047E">
        <w:rPr>
          <w:rFonts w:ascii="Arial" w:hAnsi="Arial" w:cs="Arial"/>
          <w:b/>
          <w:bCs/>
          <w:sz w:val="22"/>
          <w:szCs w:val="22"/>
          <w:lang w:val="es-CL"/>
        </w:rPr>
        <w:t>Enrique Rubio Esquivel</w:t>
      </w:r>
      <w:r w:rsidRPr="00AD047E">
        <w:rPr>
          <w:rFonts w:ascii="Arial" w:hAnsi="Arial" w:cs="Arial"/>
          <w:bCs/>
          <w:sz w:val="22"/>
          <w:szCs w:val="22"/>
          <w:lang w:val="es-CL"/>
        </w:rPr>
        <w:t xml:space="preserve"> – Ingeniero Civil de Minas de la Universidad de Chile, con Magíster en Ciencias Aplicadas (</w:t>
      </w:r>
      <w:proofErr w:type="spellStart"/>
      <w:r w:rsidRPr="00AD047E">
        <w:rPr>
          <w:rFonts w:ascii="Arial" w:hAnsi="Arial" w:cs="Arial"/>
          <w:bCs/>
          <w:sz w:val="22"/>
          <w:szCs w:val="22"/>
          <w:lang w:val="es-CL"/>
        </w:rPr>
        <w:t>M.A.Sc</w:t>
      </w:r>
      <w:proofErr w:type="spellEnd"/>
      <w:r w:rsidRPr="00AD047E">
        <w:rPr>
          <w:rFonts w:ascii="Arial" w:hAnsi="Arial" w:cs="Arial"/>
          <w:bCs/>
          <w:sz w:val="22"/>
          <w:szCs w:val="22"/>
          <w:lang w:val="es-CL"/>
        </w:rPr>
        <w:t>.) y Doctorado (</w:t>
      </w:r>
      <w:proofErr w:type="spellStart"/>
      <w:r w:rsidRPr="00AD047E">
        <w:rPr>
          <w:rFonts w:ascii="Arial" w:hAnsi="Arial" w:cs="Arial"/>
          <w:bCs/>
          <w:sz w:val="22"/>
          <w:szCs w:val="22"/>
          <w:lang w:val="es-CL"/>
        </w:rPr>
        <w:t>Ph.D</w:t>
      </w:r>
      <w:proofErr w:type="spellEnd"/>
      <w:r w:rsidRPr="00AD047E">
        <w:rPr>
          <w:rFonts w:ascii="Arial" w:hAnsi="Arial" w:cs="Arial"/>
          <w:bCs/>
          <w:sz w:val="22"/>
          <w:szCs w:val="22"/>
          <w:lang w:val="es-CL"/>
        </w:rPr>
        <w:t xml:space="preserve">.) en Ingeniería de Minas por la </w:t>
      </w:r>
      <w:proofErr w:type="spellStart"/>
      <w:r w:rsidRPr="00AD047E">
        <w:rPr>
          <w:rFonts w:ascii="Arial" w:hAnsi="Arial" w:cs="Arial"/>
          <w:bCs/>
          <w:sz w:val="22"/>
          <w:szCs w:val="22"/>
          <w:lang w:val="es-CL"/>
        </w:rPr>
        <w:t>University</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of</w:t>
      </w:r>
      <w:proofErr w:type="spellEnd"/>
      <w:r w:rsidRPr="00AD047E">
        <w:rPr>
          <w:rFonts w:ascii="Arial" w:hAnsi="Arial" w:cs="Arial"/>
          <w:bCs/>
          <w:sz w:val="22"/>
          <w:szCs w:val="22"/>
          <w:lang w:val="es-CL"/>
        </w:rPr>
        <w:t xml:space="preserve"> British Columbia (UBC), Canadá. Cuenta con más de 25 años de experiencia profesional, habiendo liderado proyectos de consultoría en planificación minera, diseño de minas y desarrollo tecnológico para compañías de clase mundial como BHP, Escondida, Anglo American, CMP, Glencore, Freeport Indonesia, Minsur, Buenaventura, </w:t>
      </w:r>
      <w:proofErr w:type="spellStart"/>
      <w:r w:rsidRPr="00AD047E">
        <w:rPr>
          <w:rFonts w:ascii="Arial" w:hAnsi="Arial" w:cs="Arial"/>
          <w:bCs/>
          <w:sz w:val="22"/>
          <w:szCs w:val="22"/>
          <w:lang w:val="es-CL"/>
        </w:rPr>
        <w:t>Volcan</w:t>
      </w:r>
      <w:proofErr w:type="spellEnd"/>
      <w:r w:rsidRPr="00AD047E">
        <w:rPr>
          <w:rFonts w:ascii="Arial" w:hAnsi="Arial" w:cs="Arial"/>
          <w:bCs/>
          <w:sz w:val="22"/>
          <w:szCs w:val="22"/>
          <w:lang w:val="es-CL"/>
        </w:rPr>
        <w:t xml:space="preserve">, Rio Tinto y De </w:t>
      </w:r>
      <w:proofErr w:type="spellStart"/>
      <w:r w:rsidRPr="00AD047E">
        <w:rPr>
          <w:rFonts w:ascii="Arial" w:hAnsi="Arial" w:cs="Arial"/>
          <w:bCs/>
          <w:sz w:val="22"/>
          <w:szCs w:val="22"/>
          <w:lang w:val="es-CL"/>
        </w:rPr>
        <w:t>Beers</w:t>
      </w:r>
      <w:proofErr w:type="spellEnd"/>
      <w:r w:rsidRPr="00AD047E">
        <w:rPr>
          <w:rFonts w:ascii="Arial" w:hAnsi="Arial" w:cs="Arial"/>
          <w:bCs/>
          <w:sz w:val="22"/>
          <w:szCs w:val="22"/>
          <w:lang w:val="es-CL"/>
        </w:rPr>
        <w:t xml:space="preserve">, entre muchas otras. Actualmente es </w:t>
      </w:r>
      <w:proofErr w:type="gramStart"/>
      <w:r w:rsidRPr="00AD047E">
        <w:rPr>
          <w:rFonts w:ascii="Arial" w:hAnsi="Arial" w:cs="Arial"/>
          <w:b/>
          <w:sz w:val="22"/>
          <w:szCs w:val="22"/>
          <w:lang w:val="es-CL"/>
        </w:rPr>
        <w:t>Director Ejecutivo</w:t>
      </w:r>
      <w:proofErr w:type="gramEnd"/>
      <w:r w:rsidRPr="00AD047E">
        <w:rPr>
          <w:rFonts w:ascii="Arial" w:hAnsi="Arial" w:cs="Arial"/>
          <w:b/>
          <w:sz w:val="22"/>
          <w:szCs w:val="22"/>
          <w:lang w:val="es-CL"/>
        </w:rPr>
        <w:t xml:space="preserve"> de REDCO Mining </w:t>
      </w:r>
      <w:proofErr w:type="spellStart"/>
      <w:r w:rsidRPr="00AD047E">
        <w:rPr>
          <w:rFonts w:ascii="Arial" w:hAnsi="Arial" w:cs="Arial"/>
          <w:b/>
          <w:sz w:val="22"/>
          <w:szCs w:val="22"/>
          <w:lang w:val="es-CL"/>
        </w:rPr>
        <w:t>Consultants</w:t>
      </w:r>
      <w:proofErr w:type="spellEnd"/>
      <w:r w:rsidRPr="00AD047E">
        <w:rPr>
          <w:rFonts w:ascii="Arial" w:hAnsi="Arial" w:cs="Arial"/>
          <w:bCs/>
          <w:sz w:val="22"/>
          <w:szCs w:val="22"/>
          <w:lang w:val="es-CL"/>
        </w:rPr>
        <w:t xml:space="preserve">, empresa reconocida por su </w:t>
      </w:r>
      <w:proofErr w:type="spellStart"/>
      <w:r w:rsidRPr="00AD047E">
        <w:rPr>
          <w:rFonts w:ascii="Arial" w:hAnsi="Arial" w:cs="Arial"/>
          <w:bCs/>
          <w:sz w:val="22"/>
          <w:szCs w:val="22"/>
          <w:lang w:val="es-CL"/>
        </w:rPr>
        <w:t>expertise</w:t>
      </w:r>
      <w:proofErr w:type="spellEnd"/>
      <w:r w:rsidRPr="00AD047E">
        <w:rPr>
          <w:rFonts w:ascii="Arial" w:hAnsi="Arial" w:cs="Arial"/>
          <w:bCs/>
          <w:sz w:val="22"/>
          <w:szCs w:val="22"/>
          <w:lang w:val="es-CL"/>
        </w:rPr>
        <w:t xml:space="preserve"> técnico en minería subterránea y a cielo abierto. Es autor de más de 50 publicaciones técnicas en conferencias y revistas internacionales, y ha sido académico universitario y profesor guía de tesis. Enrique está certificado como </w:t>
      </w:r>
      <w:r w:rsidRPr="00AD047E">
        <w:rPr>
          <w:rFonts w:ascii="Arial" w:hAnsi="Arial" w:cs="Arial"/>
          <w:b/>
          <w:bCs/>
          <w:sz w:val="22"/>
          <w:szCs w:val="22"/>
          <w:lang w:val="es-CL"/>
        </w:rPr>
        <w:t>Persona Competente</w:t>
      </w:r>
      <w:r w:rsidRPr="00AD047E">
        <w:rPr>
          <w:rFonts w:ascii="Arial" w:hAnsi="Arial" w:cs="Arial"/>
          <w:bCs/>
          <w:sz w:val="22"/>
          <w:szCs w:val="22"/>
          <w:lang w:val="es-CL"/>
        </w:rPr>
        <w:t xml:space="preserve"> en Chile (Registro </w:t>
      </w:r>
      <w:proofErr w:type="spellStart"/>
      <w:r w:rsidRPr="00AD047E">
        <w:rPr>
          <w:rFonts w:ascii="Arial" w:hAnsi="Arial" w:cs="Arial"/>
          <w:bCs/>
          <w:sz w:val="22"/>
          <w:szCs w:val="22"/>
          <w:lang w:val="es-CL"/>
        </w:rPr>
        <w:t>N°</w:t>
      </w:r>
      <w:proofErr w:type="spellEnd"/>
      <w:r w:rsidRPr="00AD047E">
        <w:rPr>
          <w:rFonts w:ascii="Arial" w:hAnsi="Arial" w:cs="Arial"/>
          <w:bCs/>
          <w:sz w:val="22"/>
          <w:szCs w:val="22"/>
          <w:lang w:val="es-CL"/>
        </w:rPr>
        <w:t xml:space="preserve"> 255) y como </w:t>
      </w:r>
      <w:proofErr w:type="spellStart"/>
      <w:r w:rsidRPr="00AD047E">
        <w:rPr>
          <w:rFonts w:ascii="Arial" w:hAnsi="Arial" w:cs="Arial"/>
          <w:b/>
          <w:bCs/>
          <w:sz w:val="22"/>
          <w:szCs w:val="22"/>
          <w:lang w:val="es-CL"/>
        </w:rPr>
        <w:t>Qualified</w:t>
      </w:r>
      <w:proofErr w:type="spellEnd"/>
      <w:r w:rsidRPr="00AD047E">
        <w:rPr>
          <w:rFonts w:ascii="Arial" w:hAnsi="Arial" w:cs="Arial"/>
          <w:b/>
          <w:bCs/>
          <w:sz w:val="22"/>
          <w:szCs w:val="22"/>
          <w:lang w:val="es-CL"/>
        </w:rPr>
        <w:t xml:space="preserve"> </w:t>
      </w:r>
      <w:proofErr w:type="spellStart"/>
      <w:r w:rsidRPr="00AD047E">
        <w:rPr>
          <w:rFonts w:ascii="Arial" w:hAnsi="Arial" w:cs="Arial"/>
          <w:b/>
          <w:bCs/>
          <w:sz w:val="22"/>
          <w:szCs w:val="22"/>
          <w:lang w:val="es-CL"/>
        </w:rPr>
        <w:t>Person</w:t>
      </w:r>
      <w:proofErr w:type="spellEnd"/>
      <w:r w:rsidRPr="00AD047E">
        <w:rPr>
          <w:rFonts w:ascii="Arial" w:hAnsi="Arial" w:cs="Arial"/>
          <w:b/>
          <w:bCs/>
          <w:sz w:val="22"/>
          <w:szCs w:val="22"/>
          <w:lang w:val="es-CL"/>
        </w:rPr>
        <w:t xml:space="preserve"> (QP)</w:t>
      </w:r>
      <w:r w:rsidRPr="00AD047E">
        <w:rPr>
          <w:rFonts w:ascii="Arial" w:hAnsi="Arial" w:cs="Arial"/>
          <w:bCs/>
          <w:sz w:val="22"/>
          <w:szCs w:val="22"/>
          <w:lang w:val="es-CL"/>
        </w:rPr>
        <w:t xml:space="preserve"> por </w:t>
      </w:r>
      <w:proofErr w:type="spellStart"/>
      <w:r w:rsidRPr="00AD047E">
        <w:rPr>
          <w:rFonts w:ascii="Arial" w:hAnsi="Arial" w:cs="Arial"/>
          <w:bCs/>
          <w:sz w:val="22"/>
          <w:szCs w:val="22"/>
          <w:lang w:val="es-CL"/>
        </w:rPr>
        <w:t>AusIMM</w:t>
      </w:r>
      <w:proofErr w:type="spellEnd"/>
      <w:r w:rsidRPr="00AD047E">
        <w:rPr>
          <w:rFonts w:ascii="Arial" w:hAnsi="Arial" w:cs="Arial"/>
          <w:bCs/>
          <w:sz w:val="22"/>
          <w:szCs w:val="22"/>
          <w:lang w:val="es-CL"/>
        </w:rPr>
        <w:t xml:space="preserve"> (</w:t>
      </w:r>
      <w:proofErr w:type="spellStart"/>
      <w:r w:rsidRPr="00AD047E">
        <w:rPr>
          <w:rFonts w:ascii="Arial" w:hAnsi="Arial" w:cs="Arial"/>
          <w:bCs/>
          <w:sz w:val="22"/>
          <w:szCs w:val="22"/>
          <w:lang w:val="es-CL"/>
        </w:rPr>
        <w:t>N°</w:t>
      </w:r>
      <w:proofErr w:type="spellEnd"/>
      <w:r w:rsidRPr="00AD047E">
        <w:rPr>
          <w:rFonts w:ascii="Arial" w:hAnsi="Arial" w:cs="Arial"/>
          <w:bCs/>
          <w:sz w:val="22"/>
          <w:szCs w:val="22"/>
          <w:lang w:val="es-CL"/>
        </w:rPr>
        <w:t xml:space="preserve"> 308955), lo que respalda su experiencia en la estimación y reporte público de recursos y reservas bajo estándares internacionales como JORC, NI 43-101 y el Código Chileno. Su enfoque profesional combina rigurosidad científica con una visión práctica de la industria, aportando innovación y alto rigor técnico a los proyectos que lidera.</w:t>
      </w:r>
    </w:p>
    <w:p w14:paraId="7C7F6B3F" w14:textId="159973D7" w:rsidR="00E84004" w:rsidRPr="00AD047E" w:rsidRDefault="00E84004" w:rsidP="00E84004">
      <w:pPr>
        <w:ind w:left="142" w:hanging="142"/>
        <w:jc w:val="both"/>
        <w:rPr>
          <w:rFonts w:ascii="Arial" w:hAnsi="Arial" w:cs="Arial"/>
          <w:bCs/>
          <w:sz w:val="22"/>
          <w:szCs w:val="22"/>
          <w:lang w:val="es-CL"/>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29521C91" w:rsidR="001F29ED" w:rsidRPr="000270E6" w:rsidRDefault="00AD047E" w:rsidP="001F29ED">
      <w:pPr>
        <w:ind w:left="142" w:hanging="142"/>
        <w:jc w:val="center"/>
        <w:rPr>
          <w:rFonts w:ascii="Arial" w:hAnsi="Arial" w:cs="Arial"/>
          <w:b/>
          <w:sz w:val="22"/>
          <w:szCs w:val="22"/>
          <w:lang w:val="es-PE"/>
        </w:rPr>
      </w:pPr>
      <w:r>
        <w:rPr>
          <w:rFonts w:ascii="Arial" w:hAnsi="Arial" w:cs="Arial"/>
          <w:b/>
          <w:sz w:val="22"/>
          <w:szCs w:val="22"/>
          <w:lang w:val="es-PE"/>
        </w:rPr>
        <w:br w:type="column"/>
      </w:r>
      <w:r w:rsidR="001F29ED" w:rsidRPr="000270E6">
        <w:rPr>
          <w:rFonts w:ascii="Arial" w:hAnsi="Arial" w:cs="Arial"/>
          <w:b/>
          <w:sz w:val="22"/>
          <w:szCs w:val="22"/>
          <w:lang w:val="es-PE"/>
        </w:rPr>
        <w:lastRenderedPageBreak/>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3D568B5B" w14:textId="0E466365" w:rsidR="001F29ED" w:rsidRPr="000270E6" w:rsidRDefault="001F29ED" w:rsidP="004C7727">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Yo</w:t>
      </w:r>
      <w:r w:rsidR="004C7727">
        <w:rPr>
          <w:rFonts w:ascii="Arial" w:hAnsi="Arial" w:cs="Arial"/>
          <w:bCs/>
          <w:sz w:val="22"/>
          <w:szCs w:val="22"/>
          <w:lang w:val="es-PE"/>
        </w:rPr>
        <w:t xml:space="preserve"> Matías Ignacio Fuentes </w:t>
      </w:r>
      <w:r w:rsidR="004C7727" w:rsidRPr="004C7727">
        <w:rPr>
          <w:rFonts w:ascii="Arial" w:hAnsi="Arial" w:cs="Arial"/>
          <w:bCs/>
          <w:sz w:val="22"/>
          <w:szCs w:val="22"/>
          <w:lang w:val="es-PE"/>
        </w:rPr>
        <w:t>Bustam</w:t>
      </w:r>
      <w:r w:rsidR="004C7727">
        <w:rPr>
          <w:rFonts w:ascii="Arial" w:hAnsi="Arial" w:cs="Arial"/>
          <w:bCs/>
          <w:sz w:val="22"/>
          <w:szCs w:val="22"/>
          <w:lang w:val="es-PE"/>
        </w:rPr>
        <w:t>a</w:t>
      </w:r>
      <w:r w:rsidR="004C7727" w:rsidRPr="004C7727">
        <w:rPr>
          <w:rFonts w:ascii="Arial" w:hAnsi="Arial" w:cs="Arial"/>
          <w:bCs/>
          <w:sz w:val="22"/>
          <w:szCs w:val="22"/>
          <w:lang w:val="es-PE"/>
        </w:rPr>
        <w:t>nte</w:t>
      </w:r>
      <w:r w:rsidRPr="004C7727">
        <w:rPr>
          <w:rFonts w:ascii="Arial" w:hAnsi="Arial" w:cs="Arial"/>
          <w:bCs/>
          <w:sz w:val="22"/>
          <w:szCs w:val="22"/>
          <w:lang w:val="es-PE"/>
        </w:rPr>
        <w:t>,</w:t>
      </w:r>
      <w:r w:rsidR="004C7727" w:rsidRPr="004C7727">
        <w:rPr>
          <w:rFonts w:ascii="Arial" w:hAnsi="Arial" w:cs="Arial"/>
          <w:bCs/>
          <w:sz w:val="22"/>
          <w:szCs w:val="22"/>
          <w:lang w:val="es-PE"/>
        </w:rPr>
        <w:t xml:space="preserve"> Gerente de Servicios Técnicos</w:t>
      </w:r>
      <w:r w:rsidRPr="004C7727">
        <w:rPr>
          <w:rFonts w:ascii="Arial" w:hAnsi="Arial" w:cs="Arial"/>
          <w:bCs/>
          <w:sz w:val="22"/>
          <w:szCs w:val="22"/>
          <w:lang w:val="es-PE"/>
        </w:rPr>
        <w:t>,</w:t>
      </w:r>
      <w:r w:rsidR="004C7727" w:rsidRPr="004C7727">
        <w:rPr>
          <w:rFonts w:ascii="Arial" w:hAnsi="Arial" w:cs="Arial"/>
          <w:bCs/>
          <w:sz w:val="22"/>
          <w:szCs w:val="22"/>
          <w:lang w:val="es-PE"/>
        </w:rPr>
        <w:t xml:space="preserve"> REDCO Mining </w:t>
      </w:r>
      <w:proofErr w:type="spellStart"/>
      <w:r w:rsidR="004C7727" w:rsidRPr="004C7727">
        <w:rPr>
          <w:rFonts w:ascii="Arial" w:hAnsi="Arial" w:cs="Arial"/>
          <w:bCs/>
          <w:sz w:val="22"/>
          <w:szCs w:val="22"/>
          <w:lang w:val="es-PE"/>
        </w:rPr>
        <w:t>Consultants</w:t>
      </w:r>
      <w:proofErr w:type="spellEnd"/>
      <w:r w:rsidRPr="004C7727">
        <w:rPr>
          <w:rFonts w:ascii="Arial" w:hAnsi="Arial" w:cs="Arial"/>
          <w:bCs/>
          <w:sz w:val="22"/>
          <w:szCs w:val="22"/>
          <w:lang w:val="es-PE"/>
        </w:rPr>
        <w:t>;</w:t>
      </w:r>
      <w:r w:rsidR="004C7727">
        <w:rPr>
          <w:rFonts w:ascii="Arial" w:hAnsi="Arial" w:cs="Arial"/>
          <w:bCs/>
          <w:sz w:val="22"/>
          <w:szCs w:val="22"/>
          <w:lang w:val="es-PE"/>
        </w:rPr>
        <w:t xml:space="preserve"> </w:t>
      </w:r>
      <w:r w:rsidRPr="000270E6">
        <w:rPr>
          <w:rFonts w:ascii="Arial" w:hAnsi="Arial" w:cs="Arial"/>
          <w:bCs/>
          <w:sz w:val="22"/>
          <w:szCs w:val="22"/>
          <w:lang w:val="es-PE"/>
        </w:rPr>
        <w:t>autorizo que el trabajo</w:t>
      </w:r>
      <w:r w:rsidR="004C7727">
        <w:rPr>
          <w:rFonts w:ascii="Arial" w:hAnsi="Arial" w:cs="Arial"/>
          <w:bCs/>
          <w:sz w:val="22"/>
          <w:szCs w:val="22"/>
          <w:lang w:val="es-PE"/>
        </w:rPr>
        <w:t xml:space="preserve"> </w:t>
      </w:r>
      <w:r w:rsidRPr="000270E6">
        <w:rPr>
          <w:rFonts w:ascii="Arial" w:hAnsi="Arial" w:cs="Arial"/>
          <w:bCs/>
          <w:sz w:val="22"/>
          <w:szCs w:val="22"/>
          <w:lang w:val="es-PE"/>
        </w:rPr>
        <w:t>titulado “</w:t>
      </w:r>
      <w:r w:rsidR="004C7727" w:rsidRPr="004C7727">
        <w:rPr>
          <w:rFonts w:ascii="Arial" w:hAnsi="Arial" w:cs="Arial"/>
          <w:bCs/>
          <w:sz w:val="22"/>
          <w:szCs w:val="22"/>
          <w:lang w:val="es-PE"/>
        </w:rPr>
        <w:t>Enfoque Multicriterio y Modular para la Transición de Rajo Abierto a Minería Subterránea: Concepto de De-</w:t>
      </w:r>
      <w:proofErr w:type="spellStart"/>
      <w:r w:rsidR="004C7727" w:rsidRPr="004C7727">
        <w:rPr>
          <w:rFonts w:ascii="Arial" w:hAnsi="Arial" w:cs="Arial"/>
          <w:bCs/>
          <w:sz w:val="22"/>
          <w:szCs w:val="22"/>
          <w:lang w:val="es-PE"/>
        </w:rPr>
        <w:t>Risking</w:t>
      </w:r>
      <w:proofErr w:type="spellEnd"/>
      <w:r w:rsidRPr="000270E6">
        <w:rPr>
          <w:rFonts w:ascii="Arial" w:hAnsi="Arial" w:cs="Arial"/>
          <w:bCs/>
          <w:sz w:val="22"/>
          <w:szCs w:val="22"/>
          <w:lang w:val="es-PE"/>
        </w:rPr>
        <w:t xml:space="preserve">” presentado por el </w:t>
      </w:r>
      <w:r w:rsidRPr="004C7727">
        <w:rPr>
          <w:rFonts w:ascii="Arial" w:hAnsi="Arial" w:cs="Arial"/>
          <w:bCs/>
          <w:sz w:val="22"/>
          <w:szCs w:val="22"/>
          <w:lang w:val="es-PE"/>
        </w:rPr>
        <w:t>autor (</w:t>
      </w:r>
      <w:r w:rsidR="004C7727" w:rsidRPr="004C7727">
        <w:rPr>
          <w:rFonts w:ascii="Arial" w:hAnsi="Arial" w:cs="Arial"/>
          <w:bCs/>
          <w:sz w:val="22"/>
          <w:szCs w:val="22"/>
          <w:lang w:val="es-PE"/>
        </w:rPr>
        <w:t>Matías Ignacio Fuentes Bustamante</w:t>
      </w:r>
      <w:r w:rsidRPr="004C7727">
        <w:rPr>
          <w:rFonts w:ascii="Arial" w:hAnsi="Arial" w:cs="Arial"/>
          <w:bCs/>
          <w:sz w:val="22"/>
          <w:szCs w:val="22"/>
          <w:lang w:val="es-PE"/>
        </w:rPr>
        <w:t>) y coautor (</w:t>
      </w:r>
      <w:r w:rsidR="004C7727" w:rsidRPr="004C7727">
        <w:rPr>
          <w:rFonts w:ascii="Arial" w:hAnsi="Arial" w:cs="Arial"/>
          <w:bCs/>
          <w:sz w:val="22"/>
          <w:szCs w:val="22"/>
          <w:lang w:val="es-PE"/>
        </w:rPr>
        <w:t>Enrique Alfonso Rubio Esquivel</w:t>
      </w:r>
      <w:r w:rsidRPr="004C7727">
        <w:rPr>
          <w:rFonts w:ascii="Arial" w:hAnsi="Arial" w:cs="Arial"/>
          <w:bCs/>
          <w:sz w:val="22"/>
          <w:szCs w:val="22"/>
          <w:lang w:val="es-PE"/>
        </w:rPr>
        <w:t>) sea</w:t>
      </w:r>
      <w:r w:rsidRPr="000270E6">
        <w:rPr>
          <w:rFonts w:ascii="Arial" w:hAnsi="Arial" w:cs="Arial"/>
          <w:bCs/>
          <w:sz w:val="22"/>
          <w:szCs w:val="22"/>
          <w:lang w:val="es-PE"/>
        </w:rPr>
        <w:t xml:space="preserve">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bCs/>
          <w:sz w:val="22"/>
          <w:szCs w:val="22"/>
          <w:lang w:val="es-PE"/>
        </w:rPr>
      </w:pPr>
    </w:p>
    <w:p w14:paraId="2688E40E" w14:textId="72407C00" w:rsidR="001F29ED" w:rsidRPr="000270E6" w:rsidRDefault="00D32B8D" w:rsidP="001F29ED">
      <w:pPr>
        <w:spacing w:line="480" w:lineRule="auto"/>
        <w:ind w:left="142" w:hanging="142"/>
        <w:jc w:val="both"/>
        <w:rPr>
          <w:rFonts w:ascii="Arial" w:hAnsi="Arial" w:cs="Arial"/>
          <w:bCs/>
          <w:sz w:val="22"/>
          <w:szCs w:val="22"/>
          <w:lang w:val="es-PE"/>
        </w:rPr>
      </w:pPr>
      <w:r>
        <w:rPr>
          <w:noProof/>
        </w:rPr>
        <w:drawing>
          <wp:inline distT="0" distB="0" distL="0" distR="0" wp14:anchorId="2EE209E2" wp14:editId="06240849">
            <wp:extent cx="1651695" cy="792480"/>
            <wp:effectExtent l="0" t="0" r="5715" b="7620"/>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agrama&#10;&#10;Descripción generada automáticament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53899" cy="793538"/>
                    </a:xfrm>
                    <a:prstGeom prst="rect">
                      <a:avLst/>
                    </a:prstGeom>
                    <a:noFill/>
                    <a:ln>
                      <a:noFill/>
                    </a:ln>
                  </pic:spPr>
                </pic:pic>
              </a:graphicData>
            </a:graphic>
          </wp:inline>
        </w:drawing>
      </w: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2E8FFC95"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Pasaport</w:t>
      </w:r>
      <w:r w:rsidR="00D32B8D">
        <w:rPr>
          <w:rFonts w:ascii="Arial" w:hAnsi="Arial" w:cs="Arial"/>
          <w:bCs/>
          <w:sz w:val="22"/>
          <w:szCs w:val="22"/>
          <w:lang w:val="es-PE"/>
        </w:rPr>
        <w:t>e: F61423441</w:t>
      </w:r>
    </w:p>
    <w:p w14:paraId="56A2D657" w14:textId="7D531424"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D32B8D">
        <w:rPr>
          <w:rFonts w:ascii="Arial" w:hAnsi="Arial" w:cs="Arial"/>
          <w:bCs/>
          <w:sz w:val="22"/>
          <w:szCs w:val="22"/>
          <w:lang w:val="es-PE"/>
        </w:rPr>
        <w:t>: 18-07-2025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E26C" w14:textId="77777777" w:rsidR="00837D20" w:rsidRDefault="00837D20" w:rsidP="004D469A">
      <w:r>
        <w:separator/>
      </w:r>
    </w:p>
  </w:endnote>
  <w:endnote w:type="continuationSeparator" w:id="0">
    <w:p w14:paraId="2E3B9A89" w14:textId="77777777" w:rsidR="00837D20" w:rsidRDefault="00837D2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D134" w14:textId="77777777" w:rsidR="00837D20" w:rsidRDefault="00837D20" w:rsidP="004D469A">
      <w:r>
        <w:separator/>
      </w:r>
    </w:p>
  </w:footnote>
  <w:footnote w:type="continuationSeparator" w:id="0">
    <w:p w14:paraId="5EDB7F9E" w14:textId="77777777" w:rsidR="00837D20" w:rsidRDefault="00837D2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C9B"/>
    <w:multiLevelType w:val="multilevel"/>
    <w:tmpl w:val="A68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E3A19"/>
    <w:multiLevelType w:val="multilevel"/>
    <w:tmpl w:val="3FE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A0533"/>
    <w:multiLevelType w:val="multilevel"/>
    <w:tmpl w:val="3B8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B00A0"/>
    <w:multiLevelType w:val="multilevel"/>
    <w:tmpl w:val="62E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8B3D4A"/>
    <w:multiLevelType w:val="multilevel"/>
    <w:tmpl w:val="01B4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4"/>
  </w:num>
  <w:num w:numId="2" w16cid:durableId="1584800055">
    <w:abstractNumId w:val="1"/>
  </w:num>
  <w:num w:numId="3" w16cid:durableId="68423992">
    <w:abstractNumId w:val="2"/>
  </w:num>
  <w:num w:numId="4" w16cid:durableId="1822118773">
    <w:abstractNumId w:val="3"/>
  </w:num>
  <w:num w:numId="5" w16cid:durableId="1764719507">
    <w:abstractNumId w:val="5"/>
  </w:num>
  <w:num w:numId="6" w16cid:durableId="91435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476"/>
    <w:rsid w:val="00140898"/>
    <w:rsid w:val="00142F3A"/>
    <w:rsid w:val="00156239"/>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1314"/>
    <w:rsid w:val="002C3EBB"/>
    <w:rsid w:val="002D1C36"/>
    <w:rsid w:val="002D240B"/>
    <w:rsid w:val="00307578"/>
    <w:rsid w:val="003118C0"/>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C7727"/>
    <w:rsid w:val="004D0689"/>
    <w:rsid w:val="004D469A"/>
    <w:rsid w:val="004D59AC"/>
    <w:rsid w:val="004E233B"/>
    <w:rsid w:val="005218B6"/>
    <w:rsid w:val="00522C8C"/>
    <w:rsid w:val="005472E7"/>
    <w:rsid w:val="005505E2"/>
    <w:rsid w:val="005631EB"/>
    <w:rsid w:val="005A352B"/>
    <w:rsid w:val="005B08EB"/>
    <w:rsid w:val="005D673A"/>
    <w:rsid w:val="005E3684"/>
    <w:rsid w:val="006050E9"/>
    <w:rsid w:val="006178C0"/>
    <w:rsid w:val="00622FDA"/>
    <w:rsid w:val="00631DC1"/>
    <w:rsid w:val="006423FA"/>
    <w:rsid w:val="00645FA1"/>
    <w:rsid w:val="00650F70"/>
    <w:rsid w:val="006535A5"/>
    <w:rsid w:val="00657F4D"/>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37D20"/>
    <w:rsid w:val="008401EB"/>
    <w:rsid w:val="00846114"/>
    <w:rsid w:val="0085424E"/>
    <w:rsid w:val="00854AC0"/>
    <w:rsid w:val="008621F2"/>
    <w:rsid w:val="00862C5C"/>
    <w:rsid w:val="0087565A"/>
    <w:rsid w:val="008764A7"/>
    <w:rsid w:val="008804AB"/>
    <w:rsid w:val="00892562"/>
    <w:rsid w:val="008A5435"/>
    <w:rsid w:val="008B48C8"/>
    <w:rsid w:val="008C3927"/>
    <w:rsid w:val="00904E24"/>
    <w:rsid w:val="009148C8"/>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D047E"/>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2B8D"/>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657F4D"/>
    <w:rPr>
      <w:color w:val="605E5C"/>
      <w:shd w:val="clear" w:color="auto" w:fill="E1DFDD"/>
    </w:rPr>
  </w:style>
  <w:style w:type="table" w:styleId="Tablaconcuadrculaclara">
    <w:name w:val="Grid Table Light"/>
    <w:basedOn w:val="Tablanormal"/>
    <w:uiPriority w:val="40"/>
    <w:rsid w:val="00657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2810">
      <w:bodyDiv w:val="1"/>
      <w:marLeft w:val="0"/>
      <w:marRight w:val="0"/>
      <w:marTop w:val="0"/>
      <w:marBottom w:val="0"/>
      <w:divBdr>
        <w:top w:val="none" w:sz="0" w:space="0" w:color="auto"/>
        <w:left w:val="none" w:sz="0" w:space="0" w:color="auto"/>
        <w:bottom w:val="none" w:sz="0" w:space="0" w:color="auto"/>
        <w:right w:val="none" w:sz="0" w:space="0" w:color="auto"/>
      </w:divBdr>
      <w:divsChild>
        <w:div w:id="618875409">
          <w:marLeft w:val="0"/>
          <w:marRight w:val="0"/>
          <w:marTop w:val="0"/>
          <w:marBottom w:val="0"/>
          <w:divBdr>
            <w:top w:val="none" w:sz="0" w:space="0" w:color="auto"/>
            <w:left w:val="none" w:sz="0" w:space="0" w:color="auto"/>
            <w:bottom w:val="none" w:sz="0" w:space="0" w:color="auto"/>
            <w:right w:val="none" w:sz="0" w:space="0" w:color="auto"/>
          </w:divBdr>
          <w:divsChild>
            <w:div w:id="19129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4435">
      <w:bodyDiv w:val="1"/>
      <w:marLeft w:val="0"/>
      <w:marRight w:val="0"/>
      <w:marTop w:val="0"/>
      <w:marBottom w:val="0"/>
      <w:divBdr>
        <w:top w:val="none" w:sz="0" w:space="0" w:color="auto"/>
        <w:left w:val="none" w:sz="0" w:space="0" w:color="auto"/>
        <w:bottom w:val="none" w:sz="0" w:space="0" w:color="auto"/>
        <w:right w:val="none" w:sz="0" w:space="0" w:color="auto"/>
      </w:divBdr>
    </w:div>
    <w:div w:id="454636653">
      <w:bodyDiv w:val="1"/>
      <w:marLeft w:val="0"/>
      <w:marRight w:val="0"/>
      <w:marTop w:val="0"/>
      <w:marBottom w:val="0"/>
      <w:divBdr>
        <w:top w:val="none" w:sz="0" w:space="0" w:color="auto"/>
        <w:left w:val="none" w:sz="0" w:space="0" w:color="auto"/>
        <w:bottom w:val="none" w:sz="0" w:space="0" w:color="auto"/>
        <w:right w:val="none" w:sz="0" w:space="0" w:color="auto"/>
      </w:divBdr>
    </w:div>
    <w:div w:id="480076873">
      <w:bodyDiv w:val="1"/>
      <w:marLeft w:val="0"/>
      <w:marRight w:val="0"/>
      <w:marTop w:val="0"/>
      <w:marBottom w:val="0"/>
      <w:divBdr>
        <w:top w:val="none" w:sz="0" w:space="0" w:color="auto"/>
        <w:left w:val="none" w:sz="0" w:space="0" w:color="auto"/>
        <w:bottom w:val="none" w:sz="0" w:space="0" w:color="auto"/>
        <w:right w:val="none" w:sz="0" w:space="0" w:color="auto"/>
      </w:divBdr>
      <w:divsChild>
        <w:div w:id="1149321805">
          <w:marLeft w:val="0"/>
          <w:marRight w:val="0"/>
          <w:marTop w:val="0"/>
          <w:marBottom w:val="0"/>
          <w:divBdr>
            <w:top w:val="none" w:sz="0" w:space="0" w:color="auto"/>
            <w:left w:val="none" w:sz="0" w:space="0" w:color="auto"/>
            <w:bottom w:val="none" w:sz="0" w:space="0" w:color="auto"/>
            <w:right w:val="none" w:sz="0" w:space="0" w:color="auto"/>
          </w:divBdr>
          <w:divsChild>
            <w:div w:id="105639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5033">
      <w:bodyDiv w:val="1"/>
      <w:marLeft w:val="0"/>
      <w:marRight w:val="0"/>
      <w:marTop w:val="0"/>
      <w:marBottom w:val="0"/>
      <w:divBdr>
        <w:top w:val="none" w:sz="0" w:space="0" w:color="auto"/>
        <w:left w:val="none" w:sz="0" w:space="0" w:color="auto"/>
        <w:bottom w:val="none" w:sz="0" w:space="0" w:color="auto"/>
        <w:right w:val="none" w:sz="0" w:space="0" w:color="auto"/>
      </w:divBdr>
    </w:div>
    <w:div w:id="1575312891">
      <w:bodyDiv w:val="1"/>
      <w:marLeft w:val="0"/>
      <w:marRight w:val="0"/>
      <w:marTop w:val="0"/>
      <w:marBottom w:val="0"/>
      <w:divBdr>
        <w:top w:val="none" w:sz="0" w:space="0" w:color="auto"/>
        <w:left w:val="none" w:sz="0" w:space="0" w:color="auto"/>
        <w:bottom w:val="none" w:sz="0" w:space="0" w:color="auto"/>
        <w:right w:val="none" w:sz="0" w:space="0" w:color="auto"/>
      </w:divBdr>
    </w:div>
    <w:div w:id="1600797683">
      <w:bodyDiv w:val="1"/>
      <w:marLeft w:val="0"/>
      <w:marRight w:val="0"/>
      <w:marTop w:val="0"/>
      <w:marBottom w:val="0"/>
      <w:divBdr>
        <w:top w:val="none" w:sz="0" w:space="0" w:color="auto"/>
        <w:left w:val="none" w:sz="0" w:space="0" w:color="auto"/>
        <w:bottom w:val="none" w:sz="0" w:space="0" w:color="auto"/>
        <w:right w:val="none" w:sz="0" w:space="0" w:color="auto"/>
      </w:divBdr>
    </w:div>
    <w:div w:id="1625429875">
      <w:bodyDiv w:val="1"/>
      <w:marLeft w:val="0"/>
      <w:marRight w:val="0"/>
      <w:marTop w:val="0"/>
      <w:marBottom w:val="0"/>
      <w:divBdr>
        <w:top w:val="none" w:sz="0" w:space="0" w:color="auto"/>
        <w:left w:val="none" w:sz="0" w:space="0" w:color="auto"/>
        <w:bottom w:val="none" w:sz="0" w:space="0" w:color="auto"/>
        <w:right w:val="none" w:sz="0" w:space="0" w:color="auto"/>
      </w:divBdr>
    </w:div>
    <w:div w:id="1676614590">
      <w:bodyDiv w:val="1"/>
      <w:marLeft w:val="0"/>
      <w:marRight w:val="0"/>
      <w:marTop w:val="0"/>
      <w:marBottom w:val="0"/>
      <w:divBdr>
        <w:top w:val="none" w:sz="0" w:space="0" w:color="auto"/>
        <w:left w:val="none" w:sz="0" w:space="0" w:color="auto"/>
        <w:bottom w:val="none" w:sz="0" w:space="0" w:color="auto"/>
        <w:right w:val="none" w:sz="0" w:space="0" w:color="auto"/>
      </w:divBdr>
    </w:div>
    <w:div w:id="1758670086">
      <w:bodyDiv w:val="1"/>
      <w:marLeft w:val="0"/>
      <w:marRight w:val="0"/>
      <w:marTop w:val="0"/>
      <w:marBottom w:val="0"/>
      <w:divBdr>
        <w:top w:val="none" w:sz="0" w:space="0" w:color="auto"/>
        <w:left w:val="none" w:sz="0" w:space="0" w:color="auto"/>
        <w:bottom w:val="none" w:sz="0" w:space="0" w:color="auto"/>
        <w:right w:val="none" w:sz="0" w:space="0" w:color="auto"/>
      </w:divBdr>
    </w:div>
    <w:div w:id="1759403777">
      <w:bodyDiv w:val="1"/>
      <w:marLeft w:val="0"/>
      <w:marRight w:val="0"/>
      <w:marTop w:val="0"/>
      <w:marBottom w:val="0"/>
      <w:divBdr>
        <w:top w:val="none" w:sz="0" w:space="0" w:color="auto"/>
        <w:left w:val="none" w:sz="0" w:space="0" w:color="auto"/>
        <w:bottom w:val="none" w:sz="0" w:space="0" w:color="auto"/>
        <w:right w:val="none" w:sz="0" w:space="0" w:color="auto"/>
      </w:divBdr>
    </w:div>
    <w:div w:id="1813789224">
      <w:bodyDiv w:val="1"/>
      <w:marLeft w:val="0"/>
      <w:marRight w:val="0"/>
      <w:marTop w:val="0"/>
      <w:marBottom w:val="0"/>
      <w:divBdr>
        <w:top w:val="none" w:sz="0" w:space="0" w:color="auto"/>
        <w:left w:val="none" w:sz="0" w:space="0" w:color="auto"/>
        <w:bottom w:val="none" w:sz="0" w:space="0" w:color="auto"/>
        <w:right w:val="none" w:sz="0" w:space="0" w:color="auto"/>
      </w:divBdr>
    </w:div>
    <w:div w:id="1859387624">
      <w:bodyDiv w:val="1"/>
      <w:marLeft w:val="0"/>
      <w:marRight w:val="0"/>
      <w:marTop w:val="0"/>
      <w:marBottom w:val="0"/>
      <w:divBdr>
        <w:top w:val="none" w:sz="0" w:space="0" w:color="auto"/>
        <w:left w:val="none" w:sz="0" w:space="0" w:color="auto"/>
        <w:bottom w:val="none" w:sz="0" w:space="0" w:color="auto"/>
        <w:right w:val="none" w:sz="0" w:space="0" w:color="auto"/>
      </w:divBdr>
    </w:div>
    <w:div w:id="1994526625">
      <w:bodyDiv w:val="1"/>
      <w:marLeft w:val="0"/>
      <w:marRight w:val="0"/>
      <w:marTop w:val="0"/>
      <w:marBottom w:val="0"/>
      <w:divBdr>
        <w:top w:val="none" w:sz="0" w:space="0" w:color="auto"/>
        <w:left w:val="none" w:sz="0" w:space="0" w:color="auto"/>
        <w:bottom w:val="none" w:sz="0" w:space="0" w:color="auto"/>
        <w:right w:val="none" w:sz="0" w:space="0" w:color="auto"/>
      </w:divBdr>
    </w:div>
    <w:div w:id="21075744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David-Whittle/publication/281895765_Determining_the_open_pit_to_underground_transition_A_new_method/links/5603304808ae460e2704c7a3/Determining-the-open-pit-to-underground-transition-A-new-method.pdf" TargetMode="External"/><Relationship Id="rId18" Type="http://schemas.openxmlformats.org/officeDocument/2006/relationships/hyperlink" Target="https://www.researchgate.net/profile/David-Whittle/publication/281895765_Determining_the_open_pit_to_underground_transition_A_new_method/links/5603304808ae460e2704c7a3/Determining-the-open-pit-to-underground-transition-A-new-method.pdf" TargetMode="External"/><Relationship Id="rId26" Type="http://schemas.openxmlformats.org/officeDocument/2006/relationships/hyperlink" Target="https://www.dropbox.com/preview/redco/2024/39.%20massmin/27082024_ppt%20massmin.pptx" TargetMode="External"/><Relationship Id="rId39" Type="http://schemas.openxmlformats.org/officeDocument/2006/relationships/hyperlink" Target="https://escholarship.mcgill.ca/downloads/pn89d929z.pdf" TargetMode="External"/><Relationship Id="rId21" Type="http://schemas.openxmlformats.org/officeDocument/2006/relationships/hyperlink" Target="https://www.dropbox.com/preview/redco/2025/papers%20perumin/op_ug_derisiking_matiasfuentes.docx" TargetMode="External"/><Relationship Id="rId34" Type="http://schemas.openxmlformats.org/officeDocument/2006/relationships/hyperlink" Target="https://www.dropbox.com/preview/redco/2025/papers%20perumin/op_ug_derisiking_matiasfuentes.docx" TargetMode="External"/><Relationship Id="rId42" Type="http://schemas.openxmlformats.org/officeDocument/2006/relationships/hyperlink" Target="https://www.dropbox.com/preview/redco/2024/39.%20massmin/27082024_ppt%20massmin.pptx" TargetMode="External"/><Relationship Id="rId7" Type="http://schemas.openxmlformats.org/officeDocument/2006/relationships/hyperlink" Target="mailto:mfuentes@redcoglobal.com" TargetMode="External"/><Relationship Id="rId2" Type="http://schemas.openxmlformats.org/officeDocument/2006/relationships/styles" Target="styles.xml"/><Relationship Id="rId16" Type="http://schemas.openxmlformats.org/officeDocument/2006/relationships/hyperlink" Target="https://www.dropbox.com/preview/redco/2024/39.%20massmin/27082024_ppt%20massmin.pptx" TargetMode="External"/><Relationship Id="rId29" Type="http://schemas.openxmlformats.org/officeDocument/2006/relationships/hyperlink" Target="https://www.dropbox.com/preview/redco/2024/39.%20massmin/27082024_ppt%20massmin.ppt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png"/><Relationship Id="rId32" Type="http://schemas.openxmlformats.org/officeDocument/2006/relationships/image" Target="media/image2.png"/><Relationship Id="rId37" Type="http://schemas.openxmlformats.org/officeDocument/2006/relationships/image" Target="media/image3.png"/><Relationship Id="rId40" Type="http://schemas.openxmlformats.org/officeDocument/2006/relationships/hyperlink" Target="https://escholarship.mcgill.ca/downloads/pn89d929z.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researchgate.net/figure/A-general-Schematic-of-the-transition-from-OP-to-Ug-mining_fig1_267680342" TargetMode="External"/><Relationship Id="rId23" Type="http://schemas.openxmlformats.org/officeDocument/2006/relationships/hyperlink" Target="https://www.dropbox.com/preview/redco/2024/39.%20massmin/27082024_ppt%20massmin.pptx" TargetMode="External"/><Relationship Id="rId28" Type="http://schemas.openxmlformats.org/officeDocument/2006/relationships/hyperlink" Target="https://www.dropbox.com/preview/redco/2025/papers%20perumin/op_ug_derisiking_matiasfuentes.docx" TargetMode="External"/><Relationship Id="rId36" Type="http://schemas.openxmlformats.org/officeDocument/2006/relationships/hyperlink" Target="https://www.dropbox.com/preview/redco/2024/39.%20massmin/27082024_ppt%20massmin.pptx" TargetMode="External"/><Relationship Id="rId10" Type="http://schemas.openxmlformats.org/officeDocument/2006/relationships/header" Target="header2.xml"/><Relationship Id="rId19" Type="http://schemas.openxmlformats.org/officeDocument/2006/relationships/hyperlink" Target="https://escholarship.mcgill.ca/downloads/pn89d929z.pdf" TargetMode="External"/><Relationship Id="rId31" Type="http://schemas.openxmlformats.org/officeDocument/2006/relationships/hyperlink" Target="https://www.dropbox.com/preview/redco/2024/39.%20massmin/27082024_ppt%20massmin.pptx" TargetMode="External"/><Relationship Id="rId44"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sciencedirect.com/science/article/pii/S0301420719305562" TargetMode="External"/><Relationship Id="rId22" Type="http://schemas.openxmlformats.org/officeDocument/2006/relationships/hyperlink" Target="https://www.dropbox.com/preview/redco/2024/39.%20massmin/27082024_ppt%20massmin.pptx" TargetMode="External"/><Relationship Id="rId27" Type="http://schemas.openxmlformats.org/officeDocument/2006/relationships/hyperlink" Target="https://www.dropbox.com/preview/redco/2025/papers%20perumin/op_ug_derisiking_matiasfuentes.docx" TargetMode="External"/><Relationship Id="rId30" Type="http://schemas.openxmlformats.org/officeDocument/2006/relationships/hyperlink" Target="https://www.dropbox.com/preview/redco/2024/39.%20massmin/27082024_ppt%20massmin.pptx" TargetMode="External"/><Relationship Id="rId35" Type="http://schemas.openxmlformats.org/officeDocument/2006/relationships/hyperlink" Target="https://www.dropbox.com/preview/redco/2024/39.%20massmin/27082024_ppt%20massmin.pptx" TargetMode="External"/><Relationship Id="rId43" Type="http://schemas.openxmlformats.org/officeDocument/2006/relationships/hyperlink" Target="https://www.dropbox.com/preview/redco/2024/39.%20massmin/27082024_ppt%20massmin.pptx" TargetMode="External"/><Relationship Id="rId8" Type="http://schemas.openxmlformats.org/officeDocument/2006/relationships/hyperlink" Target="mailto:erubio@redcoglobal.com"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yperlink" Target="https://www.dropbox.com/preview/redco/2024/39.%20massmin/27082024_ppt%20massmin.pptx" TargetMode="External"/><Relationship Id="rId25" Type="http://schemas.openxmlformats.org/officeDocument/2006/relationships/hyperlink" Target="https://www.researchgate.net/figure/A-schematic-of-transition-problem-from-open-pit-to-underground-mining_fig1_46302299" TargetMode="External"/><Relationship Id="rId33" Type="http://schemas.openxmlformats.org/officeDocument/2006/relationships/hyperlink" Target="https://www.dropbox.com/preview/redco/2025/papers%20perumin/op_ug_derisiking_matiasfuentes.docx" TargetMode="External"/><Relationship Id="rId38" Type="http://schemas.openxmlformats.org/officeDocument/2006/relationships/image" Target="media/image4.png"/><Relationship Id="rId46" Type="http://schemas.openxmlformats.org/officeDocument/2006/relationships/theme" Target="theme/theme1.xml"/><Relationship Id="rId20" Type="http://schemas.openxmlformats.org/officeDocument/2006/relationships/hyperlink" Target="https://www.dropbox.com/preview/redco/2025/papers%20perumin/op_ug_derisiking_matiasfuentes.docx" TargetMode="External"/><Relationship Id="rId41" Type="http://schemas.openxmlformats.org/officeDocument/2006/relationships/hyperlink" Target="https://www.dropbox.com/preview/redco/2025/papers%20perumin/op_ug_derisiking_matiasfuentes.doc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10817</Words>
  <Characters>59498</Characters>
  <Application>Microsoft Office Word</Application>
  <DocSecurity>0</DocSecurity>
  <Lines>495</Lines>
  <Paragraphs>140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70175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Matías Fuentes</cp:lastModifiedBy>
  <cp:revision>5</cp:revision>
  <cp:lastPrinted>2015-02-13T19:19:00Z</cp:lastPrinted>
  <dcterms:created xsi:type="dcterms:W3CDTF">2025-07-21T01:42:00Z</dcterms:created>
  <dcterms:modified xsi:type="dcterms:W3CDTF">2025-07-21T02:05:00Z</dcterms:modified>
</cp:coreProperties>
</file>