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E3C2" w14:textId="3E68FDD5" w:rsidR="007373B8" w:rsidRPr="00BE1453" w:rsidRDefault="00BE1453" w:rsidP="00D91BF7">
      <w:pPr>
        <w:spacing w:before="120"/>
        <w:jc w:val="center"/>
        <w:rPr>
          <w:rFonts w:ascii="Arial" w:hAnsi="Arial" w:cs="Arial"/>
          <w:b/>
          <w:sz w:val="22"/>
          <w:szCs w:val="22"/>
          <w:lang w:val="es-PE"/>
        </w:rPr>
      </w:pPr>
      <w:r w:rsidRPr="00BE1453">
        <w:rPr>
          <w:rFonts w:ascii="Arial" w:hAnsi="Arial" w:cs="Arial"/>
          <w:b/>
          <w:lang w:val="es-PE"/>
        </w:rPr>
        <w:t>Educación como estrategia para fortalecer la sostenibilidad y la licencia social en zonas mineras</w:t>
      </w:r>
    </w:p>
    <w:p w14:paraId="18655DEC" w14:textId="1AE86FFC" w:rsidR="007373B8" w:rsidRPr="000270E6" w:rsidRDefault="00A201D7" w:rsidP="00BE1453">
      <w:pPr>
        <w:jc w:val="center"/>
        <w:rPr>
          <w:rFonts w:ascii="Arial" w:hAnsi="Arial" w:cs="Arial"/>
          <w:sz w:val="22"/>
          <w:szCs w:val="22"/>
          <w:lang w:val="es-PE"/>
        </w:rPr>
      </w:pPr>
      <w:r w:rsidRPr="000270E6">
        <w:rPr>
          <w:rFonts w:ascii="Arial" w:hAnsi="Arial" w:cs="Arial"/>
          <w:sz w:val="22"/>
          <w:szCs w:val="22"/>
          <w:lang w:val="es-PE"/>
        </w:rPr>
        <w:t>(</w:t>
      </w:r>
      <w:r w:rsidR="00BE1453" w:rsidRPr="00BE1453">
        <w:rPr>
          <w:rFonts w:ascii="Arial" w:hAnsi="Arial" w:cs="Arial"/>
          <w:sz w:val="22"/>
          <w:szCs w:val="22"/>
          <w:lang w:val="es-PE"/>
        </w:rPr>
        <w:t>ESG</w:t>
      </w:r>
      <w:r w:rsidR="00BE1453">
        <w:rPr>
          <w:rFonts w:ascii="Arial" w:hAnsi="Arial" w:cs="Arial"/>
          <w:sz w:val="22"/>
          <w:szCs w:val="22"/>
          <w:lang w:val="es-PE"/>
        </w:rPr>
        <w:t xml:space="preserve">: </w:t>
      </w:r>
      <w:r w:rsidR="00BE1453" w:rsidRPr="00BE1453">
        <w:rPr>
          <w:rFonts w:ascii="Arial" w:hAnsi="Arial" w:cs="Arial"/>
          <w:sz w:val="22"/>
          <w:szCs w:val="22"/>
          <w:lang w:val="es-PE"/>
        </w:rPr>
        <w:t>Environmental, Social, Governance</w:t>
      </w:r>
      <w:r w:rsidR="00BE1453">
        <w:rPr>
          <w:rFonts w:ascii="Arial" w:hAnsi="Arial" w:cs="Arial"/>
          <w:sz w:val="22"/>
          <w:szCs w:val="22"/>
          <w:lang w:val="es-PE"/>
        </w:rPr>
        <w:t xml:space="preserve"> - </w:t>
      </w:r>
      <w:r w:rsidR="00BE1453" w:rsidRPr="00BE1453">
        <w:rPr>
          <w:rFonts w:ascii="Arial" w:hAnsi="Arial" w:cs="Arial"/>
          <w:sz w:val="22"/>
          <w:szCs w:val="22"/>
          <w:lang w:val="es-PE"/>
        </w:rPr>
        <w:t>Buenas prácticas en la gestión de Valores y Código de Ética</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4FBB4914" w:rsidR="0087565A" w:rsidRPr="000270E6" w:rsidRDefault="00487FF9" w:rsidP="0087565A">
      <w:pPr>
        <w:jc w:val="center"/>
        <w:rPr>
          <w:rFonts w:ascii="Arial" w:hAnsi="Arial" w:cs="Arial"/>
          <w:b/>
          <w:bCs/>
          <w:sz w:val="22"/>
          <w:szCs w:val="22"/>
          <w:lang w:val="es-PE"/>
        </w:rPr>
      </w:pPr>
      <w:r>
        <w:rPr>
          <w:rFonts w:ascii="Arial" w:hAnsi="Arial" w:cs="Arial"/>
          <w:b/>
          <w:bCs/>
          <w:sz w:val="22"/>
          <w:szCs w:val="22"/>
          <w:lang w:val="es-PE"/>
        </w:rPr>
        <w:t>Rafael Romero-Carazas</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David Hugo Bernedo Moreira</w:t>
      </w:r>
      <w:r w:rsidRPr="000270E6">
        <w:rPr>
          <w:rFonts w:ascii="Arial" w:hAnsi="Arial" w:cs="Arial"/>
          <w:b/>
          <w:bCs/>
          <w:sz w:val="22"/>
          <w:szCs w:val="22"/>
          <w:vertAlign w:val="superscript"/>
          <w:lang w:val="es-PE"/>
        </w:rPr>
        <w:t>3</w:t>
      </w:r>
      <w:r w:rsidR="002D1C36" w:rsidRPr="000270E6">
        <w:rPr>
          <w:rFonts w:ascii="Arial" w:hAnsi="Arial" w:cs="Arial"/>
          <w:b/>
          <w:bCs/>
          <w:sz w:val="22"/>
          <w:szCs w:val="22"/>
          <w:lang w:val="es-PE"/>
        </w:rPr>
        <w:t>y</w:t>
      </w:r>
      <w:r w:rsidR="0087565A" w:rsidRPr="000270E6">
        <w:rPr>
          <w:rFonts w:ascii="Arial" w:hAnsi="Arial" w:cs="Arial"/>
          <w:b/>
          <w:bCs/>
          <w:sz w:val="22"/>
          <w:szCs w:val="22"/>
          <w:lang w:val="es-PE"/>
        </w:rPr>
        <w:t xml:space="preserve"> </w:t>
      </w:r>
      <w:r>
        <w:rPr>
          <w:rFonts w:ascii="Arial" w:hAnsi="Arial" w:cs="Arial"/>
          <w:b/>
          <w:bCs/>
          <w:sz w:val="22"/>
          <w:szCs w:val="22"/>
          <w:lang w:val="es-PE"/>
        </w:rPr>
        <w:t>Ana Sofia Villanueva Salas</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0D03F2D4"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487FF9">
        <w:rPr>
          <w:rFonts w:ascii="Arial" w:hAnsi="Arial" w:cs="Arial"/>
          <w:sz w:val="22"/>
          <w:szCs w:val="22"/>
          <w:lang w:val="es-PE"/>
        </w:rPr>
        <w:t xml:space="preserve">: </w:t>
      </w:r>
      <w:r w:rsidR="00487FF9" w:rsidRPr="00487FF9">
        <w:rPr>
          <w:rFonts w:ascii="Arial" w:hAnsi="Arial" w:cs="Arial"/>
          <w:sz w:val="22"/>
          <w:szCs w:val="22"/>
          <w:lang w:val="es-PE"/>
        </w:rPr>
        <w:t>Universidad Católica de Santa María</w:t>
      </w:r>
      <w:r w:rsidR="00047A63" w:rsidRPr="000270E6">
        <w:rPr>
          <w:rFonts w:ascii="Arial" w:hAnsi="Arial" w:cs="Arial"/>
          <w:sz w:val="22"/>
          <w:szCs w:val="22"/>
          <w:lang w:val="es-PE"/>
        </w:rPr>
        <w:t xml:space="preserve">, </w:t>
      </w:r>
      <w:r w:rsidR="00487FF9">
        <w:rPr>
          <w:rFonts w:ascii="Arial" w:hAnsi="Arial" w:cs="Arial"/>
          <w:sz w:val="22"/>
          <w:szCs w:val="22"/>
          <w:lang w:val="es-PE"/>
        </w:rPr>
        <w:t>Juan Pablo Vizcardo y Guzmán k-18</w:t>
      </w:r>
      <w:r w:rsidR="00047A63" w:rsidRPr="000270E6">
        <w:rPr>
          <w:rFonts w:ascii="Arial" w:hAnsi="Arial" w:cs="Arial"/>
          <w:sz w:val="22"/>
          <w:szCs w:val="22"/>
          <w:lang w:val="es-PE"/>
        </w:rPr>
        <w:t xml:space="preserve">, </w:t>
      </w:r>
      <w:r w:rsidR="00487FF9">
        <w:rPr>
          <w:rFonts w:ascii="Arial" w:hAnsi="Arial" w:cs="Arial"/>
          <w:sz w:val="22"/>
          <w:szCs w:val="22"/>
          <w:lang w:val="es-PE"/>
        </w:rPr>
        <w:t>Arequipa</w:t>
      </w:r>
      <w:r w:rsidR="00047A63" w:rsidRPr="000270E6">
        <w:rPr>
          <w:rFonts w:ascii="Arial" w:hAnsi="Arial" w:cs="Arial"/>
          <w:sz w:val="22"/>
          <w:szCs w:val="22"/>
          <w:lang w:val="es-PE"/>
        </w:rPr>
        <w:t xml:space="preserve">, </w:t>
      </w:r>
      <w:r w:rsidR="00487FF9">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8" w:history="1">
        <w:r w:rsidR="00487FF9" w:rsidRPr="00AA7BDD">
          <w:rPr>
            <w:rStyle w:val="Hipervnculo"/>
            <w:rFonts w:ascii="Arial" w:hAnsi="Arial" w:cs="Arial"/>
            <w:sz w:val="22"/>
            <w:szCs w:val="22"/>
            <w:lang w:val="es-PE"/>
          </w:rPr>
          <w:t>rafaelromerocarazas@gmail.com</w:t>
        </w:r>
      </w:hyperlink>
      <w:r w:rsidR="00487FF9">
        <w:rPr>
          <w:rFonts w:ascii="Arial" w:hAnsi="Arial" w:cs="Arial"/>
          <w:sz w:val="22"/>
          <w:szCs w:val="22"/>
          <w:lang w:val="es-PE"/>
        </w:rPr>
        <w:t xml:space="preserve"> </w:t>
      </w:r>
      <w:r w:rsidR="00A201D7" w:rsidRPr="000270E6">
        <w:rPr>
          <w:rFonts w:ascii="Arial" w:hAnsi="Arial" w:cs="Arial"/>
          <w:sz w:val="22"/>
          <w:szCs w:val="22"/>
          <w:lang w:val="es-PE"/>
        </w:rPr>
        <w:t xml:space="preserve">y </w:t>
      </w:r>
      <w:r w:rsidR="00487FF9">
        <w:rPr>
          <w:rFonts w:ascii="Arial" w:hAnsi="Arial" w:cs="Arial"/>
          <w:sz w:val="22"/>
          <w:szCs w:val="22"/>
          <w:lang w:val="es-PE"/>
        </w:rPr>
        <w:t>982315013</w:t>
      </w:r>
      <w:r w:rsidR="003C6D44" w:rsidRPr="000270E6">
        <w:rPr>
          <w:rFonts w:ascii="Arial" w:hAnsi="Arial" w:cs="Arial"/>
          <w:sz w:val="22"/>
          <w:szCs w:val="22"/>
          <w:lang w:val="es-PE"/>
        </w:rPr>
        <w:t>)</w:t>
      </w:r>
    </w:p>
    <w:p w14:paraId="791CF854" w14:textId="79943AC8"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1: </w:t>
      </w:r>
      <w:r w:rsidR="00D41078" w:rsidRPr="00D41078">
        <w:rPr>
          <w:rFonts w:ascii="Arial" w:hAnsi="Arial" w:cs="Arial"/>
          <w:sz w:val="22"/>
          <w:szCs w:val="22"/>
          <w:lang w:val="es-PE"/>
        </w:rPr>
        <w:t>Universidad Peruana Unión</w:t>
      </w:r>
      <w:r w:rsidR="003C6D44" w:rsidRPr="000270E6">
        <w:rPr>
          <w:rFonts w:ascii="Arial" w:hAnsi="Arial" w:cs="Arial"/>
          <w:sz w:val="22"/>
          <w:szCs w:val="22"/>
          <w:lang w:val="es-PE"/>
        </w:rPr>
        <w:t xml:space="preserve">, </w:t>
      </w:r>
      <w:r w:rsidR="00795E87" w:rsidRPr="00795E87">
        <w:rPr>
          <w:rFonts w:ascii="Arial" w:hAnsi="Arial" w:cs="Arial"/>
          <w:sz w:val="22"/>
          <w:szCs w:val="22"/>
          <w:lang w:val="es-PE"/>
        </w:rPr>
        <w:t>San Apolinar F1-7</w:t>
      </w:r>
      <w:r w:rsidR="00047A63" w:rsidRPr="000270E6">
        <w:rPr>
          <w:rFonts w:ascii="Arial" w:hAnsi="Arial" w:cs="Arial"/>
          <w:sz w:val="22"/>
          <w:szCs w:val="22"/>
          <w:lang w:val="es-PE"/>
        </w:rPr>
        <w:t xml:space="preserve">, </w:t>
      </w:r>
      <w:r w:rsidR="00B04835">
        <w:rPr>
          <w:rFonts w:ascii="Arial" w:hAnsi="Arial" w:cs="Arial"/>
          <w:sz w:val="22"/>
          <w:szCs w:val="22"/>
          <w:lang w:val="es-PE"/>
        </w:rPr>
        <w:t>Juliaca</w:t>
      </w:r>
      <w:r w:rsidR="00047A63" w:rsidRPr="000270E6">
        <w:rPr>
          <w:rFonts w:ascii="Arial" w:hAnsi="Arial" w:cs="Arial"/>
          <w:sz w:val="22"/>
          <w:szCs w:val="22"/>
          <w:lang w:val="es-PE"/>
        </w:rPr>
        <w:t>,</w:t>
      </w:r>
      <w:r w:rsidR="00B04835">
        <w:rPr>
          <w:rFonts w:ascii="Arial" w:hAnsi="Arial" w:cs="Arial"/>
          <w:sz w:val="22"/>
          <w:szCs w:val="22"/>
          <w:lang w:val="es-PE"/>
        </w:rPr>
        <w:t xml:space="preserve"> Perú</w:t>
      </w:r>
      <w:r w:rsidR="003C6D44" w:rsidRPr="000270E6">
        <w:rPr>
          <w:rFonts w:ascii="Arial" w:hAnsi="Arial" w:cs="Arial"/>
          <w:sz w:val="22"/>
          <w:szCs w:val="22"/>
          <w:lang w:val="es-PE"/>
        </w:rPr>
        <w:t xml:space="preserve"> (</w:t>
      </w:r>
      <w:hyperlink r:id="rId9" w:history="1">
        <w:r w:rsidR="00D41078" w:rsidRPr="00AA7BDD">
          <w:rPr>
            <w:rStyle w:val="Hipervnculo"/>
            <w:rFonts w:ascii="Arial" w:hAnsi="Arial" w:cs="Arial"/>
            <w:sz w:val="22"/>
            <w:szCs w:val="22"/>
            <w:lang w:val="es-PE"/>
          </w:rPr>
          <w:t>davidbm@upeu.edu.pe</w:t>
        </w:r>
      </w:hyperlink>
      <w:r w:rsidR="00D41078">
        <w:rPr>
          <w:rFonts w:ascii="Arial" w:hAnsi="Arial" w:cs="Arial"/>
          <w:sz w:val="22"/>
          <w:szCs w:val="22"/>
          <w:lang w:val="es-PE"/>
        </w:rPr>
        <w:t xml:space="preserve"> </w:t>
      </w:r>
      <w:r w:rsidR="00A201D7" w:rsidRPr="000270E6">
        <w:rPr>
          <w:rFonts w:ascii="Arial" w:hAnsi="Arial" w:cs="Arial"/>
          <w:sz w:val="22"/>
          <w:szCs w:val="22"/>
          <w:lang w:val="es-PE"/>
        </w:rPr>
        <w:t xml:space="preserve">y </w:t>
      </w:r>
      <w:r w:rsidR="00D41078">
        <w:rPr>
          <w:rFonts w:ascii="Arial" w:hAnsi="Arial" w:cs="Arial"/>
          <w:sz w:val="22"/>
          <w:szCs w:val="22"/>
          <w:lang w:val="es-PE"/>
        </w:rPr>
        <w:t>951049999</w:t>
      </w:r>
      <w:r w:rsidR="003C6D44" w:rsidRPr="000270E6">
        <w:rPr>
          <w:rFonts w:ascii="Arial" w:hAnsi="Arial" w:cs="Arial"/>
          <w:sz w:val="22"/>
          <w:szCs w:val="22"/>
          <w:lang w:val="es-PE"/>
        </w:rPr>
        <w:t>)</w:t>
      </w:r>
    </w:p>
    <w:p w14:paraId="676FAC05" w14:textId="7D243EC9" w:rsidR="006D0F12" w:rsidRPr="000270E6" w:rsidRDefault="006D0F12"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2: </w:t>
      </w:r>
      <w:r w:rsidR="00353633" w:rsidRPr="00353633">
        <w:rPr>
          <w:rFonts w:ascii="Arial" w:hAnsi="Arial" w:cs="Arial"/>
          <w:sz w:val="22"/>
          <w:szCs w:val="22"/>
          <w:lang w:val="es-PE"/>
        </w:rPr>
        <w:t>Instituto Transdisciplinar de Asesoramiento Tecnológico Empresarial</w:t>
      </w:r>
      <w:r w:rsidR="004E233B" w:rsidRPr="000270E6">
        <w:rPr>
          <w:rFonts w:ascii="Arial" w:hAnsi="Arial" w:cs="Arial"/>
          <w:sz w:val="22"/>
          <w:szCs w:val="22"/>
          <w:lang w:val="es-PE"/>
        </w:rPr>
        <w:t xml:space="preserve">, </w:t>
      </w:r>
      <w:r w:rsidR="00B04835" w:rsidRPr="00B04835">
        <w:rPr>
          <w:rFonts w:ascii="Arial" w:hAnsi="Arial" w:cs="Arial"/>
          <w:sz w:val="22"/>
          <w:szCs w:val="22"/>
          <w:lang w:val="es-PE"/>
        </w:rPr>
        <w:t>Urb</w:t>
      </w:r>
      <w:r w:rsidR="00B04835">
        <w:rPr>
          <w:rFonts w:ascii="Arial" w:hAnsi="Arial" w:cs="Arial"/>
          <w:sz w:val="22"/>
          <w:szCs w:val="22"/>
          <w:lang w:val="es-PE"/>
        </w:rPr>
        <w:t>.</w:t>
      </w:r>
      <w:r w:rsidR="00B04835" w:rsidRPr="00B04835">
        <w:rPr>
          <w:rFonts w:ascii="Arial" w:hAnsi="Arial" w:cs="Arial"/>
          <w:sz w:val="22"/>
          <w:szCs w:val="22"/>
          <w:lang w:val="es-PE"/>
        </w:rPr>
        <w:t xml:space="preserve"> Los Olmos B 23</w:t>
      </w:r>
      <w:r w:rsidR="005631EB" w:rsidRPr="000270E6">
        <w:rPr>
          <w:rFonts w:ascii="Arial" w:hAnsi="Arial" w:cs="Arial"/>
          <w:sz w:val="22"/>
          <w:szCs w:val="22"/>
          <w:lang w:val="es-PE"/>
        </w:rPr>
        <w:t xml:space="preserve">, </w:t>
      </w:r>
      <w:r w:rsidR="00B04835">
        <w:rPr>
          <w:rFonts w:ascii="Arial" w:hAnsi="Arial" w:cs="Arial"/>
          <w:sz w:val="22"/>
          <w:szCs w:val="22"/>
          <w:lang w:val="es-PE"/>
        </w:rPr>
        <w:t>Arequipa</w:t>
      </w:r>
      <w:r w:rsidR="005631EB" w:rsidRPr="000270E6">
        <w:rPr>
          <w:rFonts w:ascii="Arial" w:hAnsi="Arial" w:cs="Arial"/>
          <w:sz w:val="22"/>
          <w:szCs w:val="22"/>
          <w:lang w:val="es-PE"/>
        </w:rPr>
        <w:t xml:space="preserve">, </w:t>
      </w:r>
      <w:r w:rsidR="00353633">
        <w:rPr>
          <w:rFonts w:ascii="Arial" w:hAnsi="Arial" w:cs="Arial"/>
          <w:sz w:val="22"/>
          <w:szCs w:val="22"/>
          <w:lang w:val="es-PE"/>
        </w:rPr>
        <w:t>Perú</w:t>
      </w:r>
      <w:r w:rsidR="004E233B" w:rsidRPr="000270E6">
        <w:rPr>
          <w:rFonts w:ascii="Arial" w:hAnsi="Arial" w:cs="Arial"/>
          <w:sz w:val="22"/>
          <w:szCs w:val="22"/>
          <w:lang w:val="es-PE"/>
        </w:rPr>
        <w:t xml:space="preserve"> (</w:t>
      </w:r>
      <w:hyperlink r:id="rId10" w:history="1">
        <w:r w:rsidR="00353633" w:rsidRPr="00AA7BDD">
          <w:rPr>
            <w:rStyle w:val="Hipervnculo"/>
            <w:rFonts w:ascii="Arial" w:hAnsi="Arial" w:cs="Arial"/>
            <w:sz w:val="22"/>
            <w:szCs w:val="22"/>
            <w:lang w:val="es-PE"/>
          </w:rPr>
          <w:t>anasofiavillasalas92@gmail.com</w:t>
        </w:r>
      </w:hyperlink>
      <w:r w:rsidR="00353633">
        <w:rPr>
          <w:rFonts w:ascii="Arial" w:hAnsi="Arial" w:cs="Arial"/>
          <w:sz w:val="22"/>
          <w:szCs w:val="22"/>
          <w:lang w:val="es-PE"/>
        </w:rPr>
        <w:t xml:space="preserve"> </w:t>
      </w:r>
      <w:r w:rsidR="00A201D7" w:rsidRPr="000270E6">
        <w:rPr>
          <w:rFonts w:ascii="Arial" w:hAnsi="Arial" w:cs="Arial"/>
          <w:sz w:val="22"/>
          <w:szCs w:val="22"/>
          <w:lang w:val="es-PE"/>
        </w:rPr>
        <w:t xml:space="preserve">y </w:t>
      </w:r>
      <w:r w:rsidR="00353633">
        <w:rPr>
          <w:rFonts w:ascii="Arial" w:hAnsi="Arial" w:cs="Arial"/>
          <w:sz w:val="22"/>
          <w:szCs w:val="22"/>
          <w:lang w:val="es-PE"/>
        </w:rPr>
        <w:t>960108379</w:t>
      </w:r>
      <w:r w:rsidR="004E233B" w:rsidRPr="000270E6">
        <w:rPr>
          <w:rFonts w:ascii="Arial" w:hAnsi="Arial" w:cs="Arial"/>
          <w:sz w:val="22"/>
          <w:szCs w:val="22"/>
          <w:lang w:val="es-PE"/>
        </w:rPr>
        <w:t>)</w:t>
      </w:r>
    </w:p>
    <w:p w14:paraId="42271F3F" w14:textId="43E034FC"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756223F4" w14:textId="4B40C7D8" w:rsidR="00D574EF" w:rsidRPr="000270E6" w:rsidRDefault="00BE1453" w:rsidP="00BE1453">
      <w:pPr>
        <w:jc w:val="both"/>
        <w:rPr>
          <w:rFonts w:ascii="Arial" w:hAnsi="Arial" w:cs="Arial"/>
          <w:bCs/>
          <w:sz w:val="22"/>
          <w:szCs w:val="22"/>
          <w:lang w:val="es-PE"/>
        </w:rPr>
      </w:pPr>
      <w:r w:rsidRPr="00BE1453">
        <w:rPr>
          <w:rFonts w:ascii="Arial" w:hAnsi="Arial" w:cs="Arial"/>
          <w:bCs/>
          <w:sz w:val="22"/>
          <w:szCs w:val="22"/>
          <w:lang w:val="es-PE"/>
        </w:rPr>
        <w:t>El presente estudio, desarrollado en la región minera de Arequipa, aborda la importancia de la educación en valores y ética como estrategia para fortalecer la sostenibilidad y la licencia social en contextos extractivos. Frente a los desafíos sociales y ambientales derivados de la actividad minera, se identificó que la aceptación comunitaria</w:t>
      </w:r>
      <w:r>
        <w:rPr>
          <w:rFonts w:ascii="Arial" w:hAnsi="Arial" w:cs="Arial"/>
          <w:bCs/>
          <w:sz w:val="22"/>
          <w:szCs w:val="22"/>
          <w:lang w:val="es-PE"/>
        </w:rPr>
        <w:t xml:space="preserve">, </w:t>
      </w:r>
      <w:r w:rsidRPr="00BE1453">
        <w:rPr>
          <w:rFonts w:ascii="Arial" w:hAnsi="Arial" w:cs="Arial"/>
          <w:bCs/>
          <w:sz w:val="22"/>
          <w:szCs w:val="22"/>
          <w:lang w:val="es-PE"/>
        </w:rPr>
        <w:t>o licencia social</w:t>
      </w:r>
      <w:r>
        <w:rPr>
          <w:rFonts w:ascii="Arial" w:hAnsi="Arial" w:cs="Arial"/>
          <w:bCs/>
          <w:sz w:val="22"/>
          <w:szCs w:val="22"/>
          <w:lang w:val="es-PE"/>
        </w:rPr>
        <w:t xml:space="preserve">, </w:t>
      </w:r>
      <w:r w:rsidRPr="00BE1453">
        <w:rPr>
          <w:rFonts w:ascii="Arial" w:hAnsi="Arial" w:cs="Arial"/>
          <w:bCs/>
          <w:sz w:val="22"/>
          <w:szCs w:val="22"/>
          <w:lang w:val="es-PE"/>
        </w:rPr>
        <w:t>puede consolidarse a través de procesos educativos dirigidos a estudiantes de 4to y 5to de secundaria. El objetivo principal fue explorar el impacto de la educación en valores sobre la percepción juvenil respecto a la minería responsable y la sostenibilidad. La metodología empleó un enfoque mixto: cualitativo, mediante entrevistas y grupos focales; cuantitativo, a través de encuestas; y documental, con revisión de materiales educativos. Los resultados evidenciaron que los estudiantes poseen conocimientos básicos sobre minería, pero con percepciones predominantemente negativas debido al desconocimiento de prácticas responsables del sector. No obstante, aquellos expuestos a principios éticos demostraron actitudes más equilibradas y propositivas. Se concluye que la educación en ética y sostenibilidad mejora la comprensión crítica de los estudiantes sobre la minería. Se recomienda incluir estos contenidos en los programas escolares y promover la vinculación educativa con empresas mineras para fomentar una ciudadanía informada, ética y comprometida con el desarrollo sostenible</w:t>
      </w:r>
      <w:r w:rsidR="00BC4D43" w:rsidRPr="000270E6">
        <w:rPr>
          <w:rFonts w:ascii="Arial" w:hAnsi="Arial" w:cs="Arial"/>
          <w:bCs/>
          <w:sz w:val="22"/>
          <w:szCs w:val="22"/>
          <w:lang w:val="es-PE"/>
        </w:rPr>
        <w:t>.</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627F487B" w14:textId="3C9AFC32" w:rsidR="00BE1453" w:rsidRDefault="00BE1453" w:rsidP="00BE1453">
      <w:pPr>
        <w:jc w:val="both"/>
        <w:rPr>
          <w:rFonts w:ascii="Arial" w:hAnsi="Arial" w:cs="Arial"/>
          <w:sz w:val="22"/>
          <w:szCs w:val="22"/>
          <w:lang w:val="es-PE"/>
        </w:rPr>
      </w:pPr>
      <w:r w:rsidRPr="00BE1453">
        <w:rPr>
          <w:rFonts w:ascii="Arial" w:hAnsi="Arial" w:cs="Arial"/>
          <w:sz w:val="22"/>
          <w:szCs w:val="22"/>
          <w:lang w:val="es-PE"/>
        </w:rPr>
        <w:t xml:space="preserve">En el contexto contemporáneo, la minería continúa siendo una de las actividades económicas más relevantes para el desarrollo de diversos países, especialmente en América Latina. A nivel internacional, esta actividad ha generado importantes debates en torno al impacto socioambiental, los derechos de las comunidades y </w:t>
      </w:r>
      <w:r w:rsidRPr="00BE1453">
        <w:rPr>
          <w:rFonts w:ascii="Arial" w:hAnsi="Arial" w:cs="Arial"/>
          <w:sz w:val="22"/>
          <w:szCs w:val="22"/>
          <w:lang w:val="es-PE"/>
        </w:rPr>
        <w:t>la necesidad de promover una minería responsable</w:t>
      </w:r>
      <w:r w:rsidR="003E1474">
        <w:rPr>
          <w:rFonts w:ascii="Arial" w:hAnsi="Arial" w:cs="Arial"/>
          <w:sz w:val="22"/>
          <w:szCs w:val="22"/>
          <w:lang w:val="es-PE"/>
        </w:rPr>
        <w:t xml:space="preserve"> </w:t>
      </w:r>
      <w:r w:rsidR="003E1474">
        <w:rPr>
          <w:rFonts w:ascii="Arial" w:hAnsi="Arial" w:cs="Arial"/>
          <w:sz w:val="22"/>
          <w:szCs w:val="22"/>
          <w:lang w:val="es-PE"/>
        </w:rPr>
        <w:fldChar w:fldCharType="begin" w:fldLock="1"/>
      </w:r>
      <w:r w:rsidR="003E1474">
        <w:rPr>
          <w:rFonts w:ascii="Arial" w:hAnsi="Arial" w:cs="Arial"/>
          <w:sz w:val="22"/>
          <w:szCs w:val="22"/>
          <w:lang w:val="es-PE"/>
        </w:rPr>
        <w:instrText>ADDIN CSL_CITATION {"citationItems":[{"id":"ITEM-1","itemData":{"DOI":"10.1016/j.envdev.2025.101239","ISSN":"22114645","abstract":"In the absence of effective state mechanisms to enforce more sustainable mining and post-mining practices, the question arises whether community-based solutions could be a “second-best” strategy to restore lands that have been degraded and abandoned after small-scale mining in developing countries, which is also referred to as Artisanal and Small-scale Mining (ASM). This paper applies social capital theory and political ecology to address this question. On this basis, we used qualitative methods, including the Net-Map tool, to analyze a unique case of an NGO-initiated, community-based ASM land restoration project in Ghana. The objective was to examine the conditions under which communities are willing to ensure sustainable land rehabilitation outcomes. The findings reveal that there is community support for reclaiming and remediating former ASM lands using communal labor. However, this support depends on land tenure and benefit sharing arrangements. Traditional authorities were perceived as among the most influential actors to ensure a positive outcome, as they have the power to enact and enforce local laws, norms, rules and practices, and sanction noncompliance with regards to customary land management. In contrast, local community members and landowners, on the other hand, were seen as being largely unorganized, having different land use priorities and lacking secure land tenure. To encourage community-based rehabilitation of land degraded by ASM, policy interventions need to facilitate clear land tenure agreements and equitable distribution of post-restoration benefits. Overall, this study shows that community-based solutions has the potential to be a second-best option for mined-land rehabilitation. These efforts need to pay close attention to social networks, power relations, norms, rules, and practices to ensure their success and to ensure that community members truly benefit from restoration outcomes.","author":[{"dropping-particle":"","family":"Adu-Baffour","given":"Ferdinand","non-dropping-particle":"","parse-names":false,"suffix":""},{"dropping-particle":"","family":"Daum","given":"Thomas","non-dropping-particle":"","parse-names":false,"suffix":""},{"dropping-particle":"","family":"Obeng","given":"Elizabeth Asantewaa","non-dropping-particle":"","parse-names":false,"suffix":""},{"dropping-particle":"","family":"Bosch","given":"Christine","non-dropping-particle":"","parse-names":false,"suffix":""},{"dropping-particle":"","family":"Birner","given":"Regina","non-dropping-particle":"","parse-names":false,"suffix":""}],"container-title":"Environmental Development","id":"ITEM-1","issued":{"date-parts":[["2025"]]},"page":"101239","publisher":"Elsevier B.V.","title":"Who cleans up the mess? Exploring community-based solutions for rehabilitating Ghana's artisanal and small-scale mining lands","type":"article-journal","volume":"55"},"uris":["http://www.mendeley.com/documents/?uuid=3cc69347-65af-470b-a052-93ebe92062bc"]}],"mendeley":{"formattedCitation":"(Adu-Baffour et al., 2025)","manualFormatting":"(Adu-Baffour et al., 2025;","plainTextFormattedCitation":"(Adu-Baffour et al., 2025)","previouslyFormattedCitation":"(Adu-Baffour et al., 2025)"},"properties":{"noteIndex":0},"schema":"https://github.com/citation-style-language/schema/raw/master/csl-citation.json"}</w:instrText>
      </w:r>
      <w:r w:rsidR="003E1474">
        <w:rPr>
          <w:rFonts w:ascii="Arial" w:hAnsi="Arial" w:cs="Arial"/>
          <w:sz w:val="22"/>
          <w:szCs w:val="22"/>
          <w:lang w:val="es-PE"/>
        </w:rPr>
        <w:fldChar w:fldCharType="separate"/>
      </w:r>
      <w:r w:rsidR="003E1474" w:rsidRPr="003E1474">
        <w:rPr>
          <w:rFonts w:ascii="Arial" w:hAnsi="Arial" w:cs="Arial"/>
          <w:noProof/>
          <w:sz w:val="22"/>
          <w:szCs w:val="22"/>
          <w:lang w:val="es-PE"/>
        </w:rPr>
        <w:t>(Adu-Baffour et al., 2025</w:t>
      </w:r>
      <w:r w:rsidR="003E1474">
        <w:rPr>
          <w:rFonts w:ascii="Arial" w:hAnsi="Arial" w:cs="Arial"/>
          <w:noProof/>
          <w:sz w:val="22"/>
          <w:szCs w:val="22"/>
          <w:lang w:val="es-PE"/>
        </w:rPr>
        <w:t>;</w:t>
      </w:r>
      <w:r w:rsidR="003E1474">
        <w:rPr>
          <w:rFonts w:ascii="Arial" w:hAnsi="Arial" w:cs="Arial"/>
          <w:sz w:val="22"/>
          <w:szCs w:val="22"/>
          <w:lang w:val="es-PE"/>
        </w:rPr>
        <w:fldChar w:fldCharType="end"/>
      </w:r>
      <w:r w:rsidR="003E1474">
        <w:rPr>
          <w:rFonts w:ascii="Arial" w:hAnsi="Arial" w:cs="Arial"/>
          <w:sz w:val="22"/>
          <w:szCs w:val="22"/>
          <w:lang w:val="es-PE"/>
        </w:rPr>
        <w:t xml:space="preserve"> </w:t>
      </w:r>
      <w:r w:rsidR="003E1474">
        <w:rPr>
          <w:rFonts w:ascii="Arial" w:hAnsi="Arial" w:cs="Arial"/>
          <w:sz w:val="22"/>
          <w:szCs w:val="22"/>
          <w:lang w:val="es-PE"/>
        </w:rPr>
        <w:fldChar w:fldCharType="begin" w:fldLock="1"/>
      </w:r>
      <w:r w:rsidR="003E1474">
        <w:rPr>
          <w:rFonts w:ascii="Arial" w:hAnsi="Arial" w:cs="Arial"/>
          <w:sz w:val="22"/>
          <w:szCs w:val="22"/>
          <w:lang w:val="es-PE"/>
        </w:rPr>
        <w:instrText>ADDIN CSL_CITATION {"citationItems":[{"id":"ITEM-1","itemData":{"DOI":"10.1016/j.exis.2025.101689","ISSN":"22147918","abstract":"The low level of social acceptance of the extractive industry in Europe remains a significant challenge, despite the growing use of emerging technologies that improve operational efficiency and promote responsible mining practices. This study investigates public perceptions of mining and examines the potential role of Earth Observation (EO) technologies in enhancing social acceptance, using selected regions in Austria, a country with a long mining tradition, as case studies. A combination of quantitative and qualitative social research methods was used to collect perspectives from residents and stakeholders both near and distant from mining areas. Results indicate that mining regions generally show higher acceptance due to economic dependency and cultural ties, though concerns persist. Urban respondents, while recognizing mining's economic value, emphasized ethical and environmental issues. EO technologies were met with skepticism, reflecting broader distrust of new technologies and media. Many respondents were unaware of EO technologies and their potential mining applications. Although transparency was valued, EO was not seen as vital for public engagement. Overall, EO technologies could enhance transparency and trust, yet unawareness and skepticism remain barriers to their adoption in the mining sector. The research underscores the potential for EO technologies to improve social acceptance, under certain conditions.","author":[{"dropping-particle":"","family":"Mavroudi","given":"Maria","non-dropping-particle":"","parse-names":false,"suffix":""},{"dropping-particle":"","family":"Tost","given":"Michael","non-dropping-particle":"","parse-names":false,"suffix":""},{"dropping-particle":"","family":"Eckl","given":"Magdalena","non-dropping-particle":"","parse-names":false,"suffix":""},{"dropping-particle":"","family":"Ammerer","given":"Gloria","non-dropping-particle":"","parse-names":false,"suffix":""},{"dropping-particle":"","family":"Barakos","given":"George","non-dropping-particle":"","parse-names":false,"suffix":""}],"container-title":"Extractive Industries and Society","id":"ITEM-1","issue":"March","issued":{"date-parts":[["2025"]]},"page":"101689","publisher":"Elsevier Ltd","title":"The role of earth observation technologies in enhancing social acceptance of mining operations","type":"article-journal","volume":"23"},"uris":["http://www.mendeley.com/documents/?uuid=3d5f32f7-18ef-4873-b299-1216afad56e2"]}],"mendeley":{"formattedCitation":"(Mavroudi et al., 2025)","manualFormatting":"Mavroudi et al., 2025)","plainTextFormattedCitation":"(Mavroudi et al., 2025)","previouslyFormattedCitation":"(Mavroudi et al., 2025)"},"properties":{"noteIndex":0},"schema":"https://github.com/citation-style-language/schema/raw/master/csl-citation.json"}</w:instrText>
      </w:r>
      <w:r w:rsidR="003E1474">
        <w:rPr>
          <w:rFonts w:ascii="Arial" w:hAnsi="Arial" w:cs="Arial"/>
          <w:sz w:val="22"/>
          <w:szCs w:val="22"/>
          <w:lang w:val="es-PE"/>
        </w:rPr>
        <w:fldChar w:fldCharType="separate"/>
      </w:r>
      <w:r w:rsidR="003E1474" w:rsidRPr="003E1474">
        <w:rPr>
          <w:rFonts w:ascii="Arial" w:hAnsi="Arial" w:cs="Arial"/>
          <w:noProof/>
          <w:sz w:val="22"/>
          <w:szCs w:val="22"/>
          <w:lang w:val="es-PE"/>
        </w:rPr>
        <w:t>Mavroudi et al., 2025)</w:t>
      </w:r>
      <w:r w:rsidR="003E1474">
        <w:rPr>
          <w:rFonts w:ascii="Arial" w:hAnsi="Arial" w:cs="Arial"/>
          <w:sz w:val="22"/>
          <w:szCs w:val="22"/>
          <w:lang w:val="es-PE"/>
        </w:rPr>
        <w:fldChar w:fldCharType="end"/>
      </w:r>
      <w:r w:rsidRPr="00BE1453">
        <w:rPr>
          <w:rFonts w:ascii="Arial" w:hAnsi="Arial" w:cs="Arial"/>
          <w:sz w:val="22"/>
          <w:szCs w:val="22"/>
          <w:lang w:val="es-PE"/>
        </w:rPr>
        <w:t>. Países con fuerte presencia extractiva enfrentan retos similares: tensiones entre las empresas y las poblaciones locales, desconfianza institucional y conflictos sociales derivados del desequilibrio entre el desarrollo económico y la sostenibilidad ambiental</w:t>
      </w:r>
      <w:r w:rsidR="003E1474">
        <w:rPr>
          <w:rFonts w:ascii="Arial" w:hAnsi="Arial" w:cs="Arial"/>
          <w:sz w:val="22"/>
          <w:szCs w:val="22"/>
          <w:lang w:val="es-PE"/>
        </w:rPr>
        <w:t xml:space="preserve"> </w:t>
      </w:r>
      <w:r w:rsidR="003E1474">
        <w:rPr>
          <w:rFonts w:ascii="Arial" w:hAnsi="Arial" w:cs="Arial"/>
          <w:sz w:val="22"/>
          <w:szCs w:val="22"/>
          <w:lang w:val="es-PE"/>
        </w:rPr>
        <w:fldChar w:fldCharType="begin" w:fldLock="1"/>
      </w:r>
      <w:r w:rsidR="003E1474">
        <w:rPr>
          <w:rFonts w:ascii="Arial" w:hAnsi="Arial" w:cs="Arial"/>
          <w:sz w:val="22"/>
          <w:szCs w:val="22"/>
          <w:lang w:val="es-PE"/>
        </w:rPr>
        <w:instrText>ADDIN CSL_CITATION {"citationItems":[{"id":"ITEM-1","itemData":{"DOI":"10.1016/j.resourpol.2025.105673","ISSN":"03014207","abstract":"The global push for energy transition has intensified competition for Africa's mineral resources, which are essential for producing low-emission technologies. This renewed demand is reshaping the continent's extractive sector and, in some cases, exacerbating governance challenges and reinforcing illegal artisanal and small-scale mining (ASM) activities. In this review, we examine how the search and demand for critical minerals contribute to illegal ASM operations in Africa. Drawing on emerging evidence from the copper industry in Zambia, the lithium sector in Zimbabwe, and the cobalt industry in the Democratic Republic of Congo (DRC), we identify a growing incidence of illegal ASM activities involving critical minerals. Our findings suggest that the high global demand for critical minerals contributes to illegal ASM activities in our case study countries. However, significant contributing factors include rural poverty, unemployment, limited livelihood options, access to mineral-rich lands, declining agricultural productivity due to climate change, and the need for funds to support rebel activities. We argue that the race for Africa's resources to support global energy transition may create a sustainability transition paradox—advancing long-term social and technological transformation while simultaneously intensifying sustainability challenges such as environmental degradation and water pollution. These insights have important implications for policies aimed at promoting responsible mining practices and ensuring that energy transitions are both equitable and sustainable.","author":[{"dropping-particle":"","family":"Boafo","given":"James","non-dropping-particle":"","parse-names":false,"suffix":""},{"dropping-particle":"","family":"Arthur-Holmes","given":"Francis","non-dropping-particle":"","parse-names":false,"suffix":""}],"container-title":"Resources Policy","id":"ITEM-1","issue":"March","issued":{"date-parts":[["2025"]]},"page":"105673","publisher":"Elsevier Ltd","title":"Sustainability transition paradox: Emerging dimensions of illegal artisanal and small-scale mining of critical minerals in Africa","type":"article-journal","volume":"108"},"uris":["http://www.mendeley.com/documents/?uuid=eec46eac-3b1b-40e6-8429-920d80b65d80"]}],"mendeley":{"formattedCitation":"(Boafo &amp; Arthur-Holmes, 2025)","plainTextFormattedCitation":"(Boafo &amp; Arthur-Holmes, 2025)","previouslyFormattedCitation":"(Boafo &amp; Arthur-Holmes, 2025)"},"properties":{"noteIndex":0},"schema":"https://github.com/citation-style-language/schema/raw/master/csl-citation.json"}</w:instrText>
      </w:r>
      <w:r w:rsidR="003E1474">
        <w:rPr>
          <w:rFonts w:ascii="Arial" w:hAnsi="Arial" w:cs="Arial"/>
          <w:sz w:val="22"/>
          <w:szCs w:val="22"/>
          <w:lang w:val="es-PE"/>
        </w:rPr>
        <w:fldChar w:fldCharType="separate"/>
      </w:r>
      <w:r w:rsidR="003E1474" w:rsidRPr="003E1474">
        <w:rPr>
          <w:rFonts w:ascii="Arial" w:hAnsi="Arial" w:cs="Arial"/>
          <w:noProof/>
          <w:sz w:val="22"/>
          <w:szCs w:val="22"/>
          <w:lang w:val="es-PE"/>
        </w:rPr>
        <w:t>(Boafo &amp; Arthur-Holmes, 2025)</w:t>
      </w:r>
      <w:r w:rsidR="003E1474">
        <w:rPr>
          <w:rFonts w:ascii="Arial" w:hAnsi="Arial" w:cs="Arial"/>
          <w:sz w:val="22"/>
          <w:szCs w:val="22"/>
          <w:lang w:val="es-PE"/>
        </w:rPr>
        <w:fldChar w:fldCharType="end"/>
      </w:r>
      <w:r w:rsidRPr="00BE1453">
        <w:rPr>
          <w:rFonts w:ascii="Arial" w:hAnsi="Arial" w:cs="Arial"/>
          <w:sz w:val="22"/>
          <w:szCs w:val="22"/>
          <w:lang w:val="es-PE"/>
        </w:rPr>
        <w:t>. En este marco, la licencia social para operar se ha convertido en un factor determinante para la viabilidad de los proyectos mineros</w:t>
      </w:r>
      <w:r w:rsidR="003E1474">
        <w:rPr>
          <w:rFonts w:ascii="Arial" w:hAnsi="Arial" w:cs="Arial"/>
          <w:sz w:val="22"/>
          <w:szCs w:val="22"/>
          <w:lang w:val="es-PE"/>
        </w:rPr>
        <w:t xml:space="preserve"> </w:t>
      </w:r>
      <w:r w:rsidR="003E1474">
        <w:rPr>
          <w:rFonts w:ascii="Arial" w:hAnsi="Arial" w:cs="Arial"/>
          <w:sz w:val="22"/>
          <w:szCs w:val="22"/>
          <w:lang w:val="es-PE"/>
        </w:rPr>
        <w:fldChar w:fldCharType="begin" w:fldLock="1"/>
      </w:r>
      <w:r w:rsidR="003E1474">
        <w:rPr>
          <w:rFonts w:ascii="Arial" w:hAnsi="Arial" w:cs="Arial"/>
          <w:sz w:val="22"/>
          <w:szCs w:val="22"/>
          <w:lang w:val="es-PE"/>
        </w:rPr>
        <w:instrText>ADDIN CSL_CITATION {"citationItems":[{"id":"ITEM-1","itemData":{"DOI":"10.1016/j.procs.2025.01.220","ISSN":"18770509","abstract":"The escalating global demand for minerals and metals, driven by rapid urbanisation and the transition to green and digital technologies, poses significant challenges for sustainable development. As the world population is projected to reach 9.7 billion by 2050, with nearly 70% residing in urban areas, the need for critical minerals such as lithium, cobalt, nickel, and rare earth elements is intensifying. These materials are essential for renewable energy technologies and electric vehicles, making them crucial for achieving global climate goals. However, the reliance on extractive activities, particularly in middle to low-income economies, exacerbates social and environmental issues, including livelihood disruptions, social conflicts, human rights violations, and occupational hazards. In response to these challenges, the EIT-funded project 'Professional Social Licence to Operate (PRO SLO)' has been launched, bringing together experts from industry, research, and academia across Europe. The project aims to equip current and future leaders in the mining sector with the skills necessary to effectively manage Social Licence to Operate (SLO) processes. Through a comprehensive PhD Summer/Winter school programme, combining advanced teaching methods such as case studies, simulations, and workshops, PRO SLO addresses critical ethical, social, and environmental concerns. The initiative aligns with European Union policies on responsible mining, fostering sustainable practices to enhance ethical standards in the industry.","author":[{"dropping-particle":"","family":"Murphy","given":"Mariaelena","non-dropping-particle":"","parse-names":false,"suffix":""},{"dropping-particle":"","family":"Bertignoll","given":"Hanno","non-dropping-particle":"","parse-names":false,"suffix":""}],"container-title":"Procedia Computer Science","id":"ITEM-1","issue":"2024","issued":{"date-parts":[["2025"]]},"page":"1584-1590","title":"Shaping the future of mining; Balancing responsible extraction of resources and related social impacts through the PRO SLO education initiative","type":"article-journal","volume":"253"},"uris":["http://www.mendeley.com/documents/?uuid=820eaee7-ff70-478e-b182-267bc9de5043"]}],"mendeley":{"formattedCitation":"(Murphy &amp; Bertignoll, 2025)","plainTextFormattedCitation":"(Murphy &amp; Bertignoll, 2025)","previouslyFormattedCitation":"(Murphy &amp; Bertignoll, 2025)"},"properties":{"noteIndex":0},"schema":"https://github.com/citation-style-language/schema/raw/master/csl-citation.json"}</w:instrText>
      </w:r>
      <w:r w:rsidR="003E1474">
        <w:rPr>
          <w:rFonts w:ascii="Arial" w:hAnsi="Arial" w:cs="Arial"/>
          <w:sz w:val="22"/>
          <w:szCs w:val="22"/>
          <w:lang w:val="es-PE"/>
        </w:rPr>
        <w:fldChar w:fldCharType="separate"/>
      </w:r>
      <w:r w:rsidR="003E1474" w:rsidRPr="003E1474">
        <w:rPr>
          <w:rFonts w:ascii="Arial" w:hAnsi="Arial" w:cs="Arial"/>
          <w:noProof/>
          <w:sz w:val="22"/>
          <w:szCs w:val="22"/>
          <w:lang w:val="es-PE"/>
        </w:rPr>
        <w:t>(Murphy &amp; Bertignoll, 2025)</w:t>
      </w:r>
      <w:r w:rsidR="003E1474">
        <w:rPr>
          <w:rFonts w:ascii="Arial" w:hAnsi="Arial" w:cs="Arial"/>
          <w:sz w:val="22"/>
          <w:szCs w:val="22"/>
          <w:lang w:val="es-PE"/>
        </w:rPr>
        <w:fldChar w:fldCharType="end"/>
      </w:r>
      <w:r w:rsidRPr="00BE1453">
        <w:rPr>
          <w:rFonts w:ascii="Arial" w:hAnsi="Arial" w:cs="Arial"/>
          <w:sz w:val="22"/>
          <w:szCs w:val="22"/>
          <w:lang w:val="es-PE"/>
        </w:rPr>
        <w:t>.</w:t>
      </w:r>
    </w:p>
    <w:p w14:paraId="480C9084" w14:textId="77777777" w:rsidR="00BE1453" w:rsidRDefault="00BE1453" w:rsidP="00BE1453">
      <w:pPr>
        <w:jc w:val="both"/>
        <w:rPr>
          <w:rFonts w:ascii="Arial" w:hAnsi="Arial" w:cs="Arial"/>
          <w:sz w:val="22"/>
          <w:szCs w:val="22"/>
          <w:lang w:val="es-PE"/>
        </w:rPr>
      </w:pPr>
    </w:p>
    <w:p w14:paraId="1EBFD20C" w14:textId="5B7D2A21" w:rsidR="00497A33" w:rsidRPr="00497A33" w:rsidRDefault="00497A33" w:rsidP="00497A33">
      <w:pPr>
        <w:jc w:val="both"/>
        <w:rPr>
          <w:rFonts w:ascii="Arial" w:hAnsi="Arial" w:cs="Arial"/>
          <w:sz w:val="22"/>
          <w:szCs w:val="22"/>
          <w:lang w:val="es-PE"/>
        </w:rPr>
      </w:pPr>
      <w:r>
        <w:rPr>
          <w:rFonts w:ascii="Arial" w:hAnsi="Arial" w:cs="Arial"/>
          <w:sz w:val="22"/>
          <w:szCs w:val="22"/>
          <w:lang w:val="es-PE"/>
        </w:rPr>
        <w:t xml:space="preserve">Al respecto, </w:t>
      </w:r>
      <w:r>
        <w:rPr>
          <w:rFonts w:ascii="Arial" w:hAnsi="Arial" w:cs="Arial"/>
          <w:sz w:val="22"/>
          <w:szCs w:val="22"/>
          <w:lang w:val="es-PE"/>
        </w:rPr>
        <w:fldChar w:fldCharType="begin" w:fldLock="1"/>
      </w:r>
      <w:r w:rsidR="002E385F">
        <w:rPr>
          <w:rFonts w:ascii="Arial" w:hAnsi="Arial" w:cs="Arial"/>
          <w:sz w:val="22"/>
          <w:szCs w:val="22"/>
          <w:lang w:val="es-PE"/>
        </w:rPr>
        <w:instrText>ADDIN CSL_CITATION {"citationItems":[{"id":"ITEM-1","itemData":{"DOI":"10.1016/j.envdev.2025.101239","ISSN":"22114645","abstract":"In the absence of effective state mechanisms to enforce more sustainable mining and post-mining practices, the question arises whether community-based solutions could be a “second-best” strategy to restore lands that have been degraded and abandoned after small-scale mining in developing countries, which is also referred to as Artisanal and Small-scale Mining (ASM). This paper applies social capital theory and political ecology to address this question. On this basis, we used qualitative methods, including the Net-Map tool, to analyze a unique case of an NGO-initiated, community-based ASM land restoration project in Ghana. The objective was to examine the conditions under which communities are willing to ensure sustainable land rehabilitation outcomes. The findings reveal that there is community support for reclaiming and remediating former ASM lands using communal labor. However, this support depends on land tenure and benefit sharing arrangements. Traditional authorities were perceived as among the most influential actors to ensure a positive outcome, as they have the power to enact and enforce local laws, norms, rules and practices, and sanction noncompliance with regards to customary land management. In contrast, local community members and landowners, on the other hand, were seen as being largely unorganized, having different land use priorities and lacking secure land tenure. To encourage community-based rehabilitation of land degraded by ASM, policy interventions need to facilitate clear land tenure agreements and equitable distribution of post-restoration benefits. Overall, this study shows that community-based solutions has the potential to be a second-best option for mined-land rehabilitation. These efforts need to pay close attention to social networks, power relations, norms, rules, and practices to ensure their success and to ensure that community members truly benefit from restoration outcomes.","author":[{"dropping-particle":"","family":"Adu-Baffour","given":"Ferdinand","non-dropping-particle":"","parse-names":false,"suffix":""},{"dropping-particle":"","family":"Daum","given":"Thomas","non-dropping-particle":"","parse-names":false,"suffix":""},{"dropping-particle":"","family":"Obeng","given":"Elizabeth Asantewaa","non-dropping-particle":"","parse-names":false,"suffix":""},{"dropping-particle":"","family":"Bosch","given":"Christine","non-dropping-particle":"","parse-names":false,"suffix":""},{"dropping-particle":"","family":"Birner","given":"Regina","non-dropping-particle":"","parse-names":false,"suffix":""}],"container-title":"Environmental Development","id":"ITEM-1","issued":{"date-parts":[["2025"]]},"page":"101239","publisher":"Elsevier B.V.","title":"Who cleans up the mess? Exploring community-based solutions for rehabilitating Ghana's artisanal and small-scale mining lands","type":"article-journal","volume":"55"},"uris":["http://www.mendeley.com/documents/?uuid=3cc69347-65af-470b-a052-93ebe92062bc"]}],"mendeley":{"formattedCitation":"(Adu-Baffour et al., 2025)","manualFormatting":"Adu-Baffour et al. (2025)","plainTextFormattedCitation":"(Adu-Baffour et al., 2025)","previouslyFormattedCitation":"(Adu-Baffour et al., 2025)"},"properties":{"noteIndex":0},"schema":"https://github.com/citation-style-language/schema/raw/master/csl-citation.json"}</w:instrText>
      </w:r>
      <w:r>
        <w:rPr>
          <w:rFonts w:ascii="Arial" w:hAnsi="Arial" w:cs="Arial"/>
          <w:sz w:val="22"/>
          <w:szCs w:val="22"/>
          <w:lang w:val="es-PE"/>
        </w:rPr>
        <w:fldChar w:fldCharType="separate"/>
      </w:r>
      <w:r w:rsidRPr="00497A33">
        <w:rPr>
          <w:rFonts w:ascii="Arial" w:hAnsi="Arial" w:cs="Arial"/>
          <w:noProof/>
          <w:sz w:val="22"/>
          <w:szCs w:val="22"/>
          <w:lang w:val="es-PE"/>
        </w:rPr>
        <w:t>Adu-Baffour et al.</w:t>
      </w:r>
      <w:r>
        <w:rPr>
          <w:rFonts w:ascii="Arial" w:hAnsi="Arial" w:cs="Arial"/>
          <w:noProof/>
          <w:sz w:val="22"/>
          <w:szCs w:val="22"/>
          <w:lang w:val="es-PE"/>
        </w:rPr>
        <w:t xml:space="preserve"> (</w:t>
      </w:r>
      <w:r w:rsidRPr="00497A33">
        <w:rPr>
          <w:rFonts w:ascii="Arial" w:hAnsi="Arial" w:cs="Arial"/>
          <w:noProof/>
          <w:sz w:val="22"/>
          <w:szCs w:val="22"/>
          <w:lang w:val="es-PE"/>
        </w:rPr>
        <w:t>2025)</w:t>
      </w:r>
      <w:r>
        <w:rPr>
          <w:rFonts w:ascii="Arial" w:hAnsi="Arial" w:cs="Arial"/>
          <w:sz w:val="22"/>
          <w:szCs w:val="22"/>
          <w:lang w:val="es-PE"/>
        </w:rPr>
        <w:fldChar w:fldCharType="end"/>
      </w:r>
      <w:r>
        <w:rPr>
          <w:rFonts w:ascii="Arial" w:hAnsi="Arial" w:cs="Arial"/>
          <w:sz w:val="22"/>
          <w:szCs w:val="22"/>
          <w:lang w:val="es-PE"/>
        </w:rPr>
        <w:t xml:space="preserve"> </w:t>
      </w:r>
      <w:r w:rsidR="002E385F" w:rsidRPr="002E385F">
        <w:rPr>
          <w:rFonts w:ascii="Arial" w:hAnsi="Arial" w:cs="Arial"/>
          <w:sz w:val="22"/>
          <w:szCs w:val="22"/>
          <w:lang w:val="es-PE"/>
        </w:rPr>
        <w:t>sostiene que la educación y la sensibilización dentro de las comunidades mineras activas son estrategias esenciales para fortalecer la sostenibilidad y la licencia social en zonas afectadas por la minería artesanal y a pequeña escala. Los programas educativos tienen el propósito de informar a los mineros sobre sus responsabilidades en el uso del suelo comunitario antes, durante y después de la extracción del mineral, haciendo énfasis en los impactos negativos de las acciones ilegales en la salud comunitaria, el bienestar y el medio ambiente. Estos programas buscan fomentar un sentido de responsabilidad compartida y rendición de cuentas entre los mineros, promoviendo la cooperación colectiva para la rehabilitación de las tierras degradadas. Así, mediante la educación, se pretende consolidar vínculos sociales y crear un entorno donde las operaciones mineras se vean como parte de un contrato social más amplio, incentivando prácticas responsables y el compromiso con la restauración ambiental. Esta estrategia es clave para la efectividad de los proyectos comunitarios de rehabilitación</w:t>
      </w:r>
      <w:r w:rsidRPr="00497A33">
        <w:rPr>
          <w:rFonts w:ascii="Arial" w:hAnsi="Arial" w:cs="Arial"/>
          <w:sz w:val="22"/>
          <w:szCs w:val="22"/>
          <w:lang w:val="es-PE"/>
        </w:rPr>
        <w:t>.</w:t>
      </w:r>
    </w:p>
    <w:p w14:paraId="62453B22" w14:textId="3FE9DBE5" w:rsidR="00497A33" w:rsidRDefault="00497A33" w:rsidP="00BE1453">
      <w:pPr>
        <w:jc w:val="both"/>
        <w:rPr>
          <w:rFonts w:ascii="Arial" w:hAnsi="Arial" w:cs="Arial"/>
          <w:sz w:val="22"/>
          <w:szCs w:val="22"/>
          <w:lang w:val="es-PE"/>
        </w:rPr>
      </w:pPr>
    </w:p>
    <w:p w14:paraId="0869FA93" w14:textId="4A07B552" w:rsidR="002E385F" w:rsidRDefault="002E385F" w:rsidP="002E385F">
      <w:pPr>
        <w:jc w:val="both"/>
        <w:rPr>
          <w:rFonts w:ascii="Arial" w:hAnsi="Arial" w:cs="Arial"/>
          <w:sz w:val="22"/>
          <w:szCs w:val="22"/>
          <w:lang w:val="es-PE"/>
        </w:rPr>
      </w:pPr>
      <w:r>
        <w:rPr>
          <w:rFonts w:ascii="Arial" w:hAnsi="Arial" w:cs="Arial"/>
          <w:sz w:val="22"/>
          <w:szCs w:val="22"/>
          <w:lang w:val="es-PE"/>
        </w:rPr>
        <w:fldChar w:fldCharType="begin" w:fldLock="1"/>
      </w:r>
      <w:r w:rsidR="00C749F3">
        <w:rPr>
          <w:rFonts w:ascii="Arial" w:hAnsi="Arial" w:cs="Arial"/>
          <w:sz w:val="22"/>
          <w:szCs w:val="22"/>
          <w:lang w:val="es-PE"/>
        </w:rPr>
        <w:instrText>ADDIN CSL_CITATION {"citationItems":[{"id":"ITEM-1","itemData":{"DOI":"10.1016/j.resourpol.2025.105564","ISSN":"03014207","abstract":"This research aims to devise a statistically sound method for evaluating the efficacy of green development in the mining industry across various Chinese regions while keeping environmental challenges and ecological conservation in view to identify potential challenges and opportunities for implementing green growth initiatives in the mining industry. A three-stage network structure is utilized for evaluation. By employing a dynamic network framework utilizing the Slacks-Based Measure (SBM) method, the research explores the progress of green development in the mining sector across 21 Chinese regions from 2005 to 2022. The Malmquist index examines the changing trends and internal efficiency of green development in mining. The outcomes suggest that productivity levels decreased initially in most provinces before improving over time. The efficiency of the overall process is closely linked to the enhancement of ecological efficiency, which is a direct outcome of adopting sustainable mining practices. Disparities in the pace and extent of environmentally friendly economic development are evident among provinces, with some experiencing annual development rates exceeding 25 %. Eastern regions like Hubei, Fujian, and Shandong show promising trends and opportunities. However, challenges persist in the Northeast and Xinjiang provinces, where inefficiencies may be recognized in several sub-processes.","author":[{"dropping-particle":"","family":"Magazzino","given":"Cosimo","non-dropping-particle":"","parse-names":false,"suffix":""},{"dropping-particle":"","family":"Haroon","given":"Muhammad","non-dropping-particle":"","parse-names":false,"suffix":""},{"dropping-particle":"","family":"Zeo","given":"Xian","non-dropping-particle":"","parse-names":false,"suffix":""}],"container-title":"Resources Policy","id":"ITEM-1","issue":"March","issued":{"date-parts":[["2025"]]},"page":"105564","publisher":"Elsevier Ltd","title":"Greening the mines: Managing efficiency, environmental impact, and ecology in Chinese mining regions","type":"article-journal","volume":"103"},"uris":["http://www.mendeley.com/documents/?uuid=86c20364-298d-46d7-a143-d65c2433f5b2"]}],"mendeley":{"formattedCitation":"(Magazzino et al., 2025)","manualFormatting":"Magazzino et al. (2025)","plainTextFormattedCitation":"(Magazzino et al., 2025)","previouslyFormattedCitation":"(Magazzino et al., 2025)"},"properties":{"noteIndex":0},"schema":"https://github.com/citation-style-language/schema/raw/master/csl-citation.json"}</w:instrText>
      </w:r>
      <w:r>
        <w:rPr>
          <w:rFonts w:ascii="Arial" w:hAnsi="Arial" w:cs="Arial"/>
          <w:sz w:val="22"/>
          <w:szCs w:val="22"/>
          <w:lang w:val="es-PE"/>
        </w:rPr>
        <w:fldChar w:fldCharType="separate"/>
      </w:r>
      <w:r w:rsidRPr="002E385F">
        <w:rPr>
          <w:rFonts w:ascii="Arial" w:hAnsi="Arial" w:cs="Arial"/>
          <w:noProof/>
          <w:sz w:val="22"/>
          <w:szCs w:val="22"/>
          <w:lang w:val="es-PE"/>
        </w:rPr>
        <w:t>Magazzino et al.</w:t>
      </w:r>
      <w:r>
        <w:rPr>
          <w:rFonts w:ascii="Arial" w:hAnsi="Arial" w:cs="Arial"/>
          <w:noProof/>
          <w:sz w:val="22"/>
          <w:szCs w:val="22"/>
          <w:lang w:val="es-PE"/>
        </w:rPr>
        <w:t xml:space="preserve"> (</w:t>
      </w:r>
      <w:r w:rsidRPr="002E385F">
        <w:rPr>
          <w:rFonts w:ascii="Arial" w:hAnsi="Arial" w:cs="Arial"/>
          <w:noProof/>
          <w:sz w:val="22"/>
          <w:szCs w:val="22"/>
          <w:lang w:val="es-PE"/>
        </w:rPr>
        <w:t>2025)</w:t>
      </w:r>
      <w:r>
        <w:rPr>
          <w:rFonts w:ascii="Arial" w:hAnsi="Arial" w:cs="Arial"/>
          <w:sz w:val="22"/>
          <w:szCs w:val="22"/>
          <w:lang w:val="es-PE"/>
        </w:rPr>
        <w:fldChar w:fldCharType="end"/>
      </w:r>
      <w:r>
        <w:rPr>
          <w:rFonts w:ascii="Arial" w:hAnsi="Arial" w:cs="Arial"/>
          <w:sz w:val="22"/>
          <w:szCs w:val="22"/>
          <w:lang w:val="es-PE"/>
        </w:rPr>
        <w:t xml:space="preserve"> </w:t>
      </w:r>
      <w:r w:rsidRPr="002E385F">
        <w:rPr>
          <w:rFonts w:ascii="Arial" w:hAnsi="Arial" w:cs="Arial"/>
          <w:sz w:val="22"/>
          <w:szCs w:val="22"/>
          <w:lang w:val="es-PE"/>
        </w:rPr>
        <w:t xml:space="preserve">sostiene que la educación constituye una estrategia fundamental para fortalecer la sostenibilidad y asegurar la licencia social para operar en zonas mineras. Debido a que </w:t>
      </w:r>
      <w:r w:rsidRPr="002E385F">
        <w:rPr>
          <w:rFonts w:ascii="Arial" w:hAnsi="Arial" w:cs="Arial"/>
          <w:sz w:val="22"/>
          <w:szCs w:val="22"/>
          <w:lang w:val="es-PE"/>
        </w:rPr>
        <w:lastRenderedPageBreak/>
        <w:t>las actividades mineras impactan directamente en comunidades locales y el medio ambiente, es indispensable que las empresas fomenten una comprensión profunda de los beneficios y riesgos asociados a la minería responsable. La educación permite involucrar activamente a los diversos grupos de interés, mejorar la comunicación y transparencia, y promover la participación ciudadana en la toma de decisiones. Esto contribuye a construir relaciones de confianza entre las compañías mineras y las comunidades, elemento clave para obtener y mantener la licencia social para operar (SLO). Además, la capacitación y sensibilización ambiental apoyan el desarrollo de prácticas mineras más sostenibles, alineadas con los objetivos de conservación ecológica y responsabilidad social corporativa. En consecuencia, la educación emerge como un pilar esencial para alcanzar un equilibrio entre desarrollo económico, protección ambiental y aceptación social en el sector minero</w:t>
      </w:r>
      <w:r>
        <w:rPr>
          <w:rFonts w:ascii="Arial" w:hAnsi="Arial" w:cs="Arial"/>
          <w:sz w:val="22"/>
          <w:szCs w:val="22"/>
          <w:lang w:val="es-PE"/>
        </w:rPr>
        <w:t>.</w:t>
      </w:r>
    </w:p>
    <w:p w14:paraId="0F2A2BF5" w14:textId="77777777" w:rsidR="002E385F" w:rsidRDefault="002E385F" w:rsidP="002E385F">
      <w:pPr>
        <w:jc w:val="both"/>
        <w:rPr>
          <w:rFonts w:ascii="Arial" w:hAnsi="Arial" w:cs="Arial"/>
          <w:sz w:val="22"/>
          <w:szCs w:val="22"/>
          <w:lang w:val="es-PE"/>
        </w:rPr>
      </w:pPr>
    </w:p>
    <w:p w14:paraId="253CE040" w14:textId="24C3F809" w:rsidR="00C749F3" w:rsidRDefault="00C749F3" w:rsidP="00C749F3">
      <w:pPr>
        <w:jc w:val="both"/>
        <w:rPr>
          <w:rFonts w:ascii="Arial" w:hAnsi="Arial" w:cs="Arial"/>
          <w:sz w:val="22"/>
          <w:szCs w:val="22"/>
          <w:lang w:val="es-PE"/>
        </w:rPr>
      </w:pPr>
      <w:r>
        <w:rPr>
          <w:rFonts w:ascii="Arial" w:hAnsi="Arial" w:cs="Arial"/>
          <w:sz w:val="22"/>
          <w:szCs w:val="22"/>
          <w:lang w:val="es-PE"/>
        </w:rPr>
        <w:fldChar w:fldCharType="begin" w:fldLock="1"/>
      </w:r>
      <w:r w:rsidR="00164968">
        <w:rPr>
          <w:rFonts w:ascii="Arial" w:hAnsi="Arial" w:cs="Arial"/>
          <w:sz w:val="22"/>
          <w:szCs w:val="22"/>
          <w:lang w:val="es-PE"/>
        </w:rPr>
        <w:instrText>ADDIN CSL_CITATION {"citationItems":[{"id":"ITEM-1","itemData":{"DOI":"10.1016/j.resourpol.2025.105594","ISSN":"03014207","abstract":"Through a data-driven approach, this research aims to uncover perceptions related to the industry's role in sustainable development. Correspondingly, this study explores socio-economic and environmental solutions within the mining industry and compares them to other industries. The analysis relies on archived data from the Thomson Reuters Asset4 (Asset4) database to examine and compare these perceptions across various industries. Utilizing a multiple criteria comparison, with the mean of analytical geometry concept, the collected database information offers insights into stakeholder perspectives. By contrasting the mining industry with nine other sectors including Banking, Automotive, and Construction, common patterns and discrepancies in perceptions are compared. From the analysis, the mining industry ranks lowest in socio-environmental performance compared to other sectors. The research findings enhanced our understanding of the mining industry's socio-environmental impacts and its potential for sustainable solutions. By addressing perceptions surrounding the mining industry, this study contributes to the ongoing discourse on sustainable practices and responsible resource extraction. Bridging the gap between industry practices and societal expectations, it facilitates evidence-based policies for sustainable development.","author":[{"dropping-particle":"","family":"Sorooshian","given":"Shahryar","non-dropping-particle":"","parse-names":false,"suffix":""}],"container-title":"Resources Policy","id":"ITEM-1","issue":"March","issued":{"date-parts":[["2025"]]},"page":"105594","publisher":"Elsevier Ltd","title":"Exploration of socio-environmental solutions in the mining industry in comparison to other industries: A data-driven unveiling perceptions","type":"article-journal","volume":"104"},"uris":["http://www.mendeley.com/documents/?uuid=1c58d488-ffcd-4185-9ca0-5bc74f723c72"]}],"mendeley":{"formattedCitation":"(Sorooshian, 2025)","manualFormatting":"Sorooshian (2025)","plainTextFormattedCitation":"(Sorooshian, 2025)","previouslyFormattedCitation":"(Sorooshian, 2025)"},"properties":{"noteIndex":0},"schema":"https://github.com/citation-style-language/schema/raw/master/csl-citation.json"}</w:instrText>
      </w:r>
      <w:r>
        <w:rPr>
          <w:rFonts w:ascii="Arial" w:hAnsi="Arial" w:cs="Arial"/>
          <w:sz w:val="22"/>
          <w:szCs w:val="22"/>
          <w:lang w:val="es-PE"/>
        </w:rPr>
        <w:fldChar w:fldCharType="separate"/>
      </w:r>
      <w:r w:rsidRPr="00C749F3">
        <w:rPr>
          <w:rFonts w:ascii="Arial" w:hAnsi="Arial" w:cs="Arial"/>
          <w:noProof/>
          <w:sz w:val="22"/>
          <w:szCs w:val="22"/>
          <w:lang w:val="es-PE"/>
        </w:rPr>
        <w:t>Sorooshian</w:t>
      </w:r>
      <w:r>
        <w:rPr>
          <w:rFonts w:ascii="Arial" w:hAnsi="Arial" w:cs="Arial"/>
          <w:noProof/>
          <w:sz w:val="22"/>
          <w:szCs w:val="22"/>
          <w:lang w:val="es-PE"/>
        </w:rPr>
        <w:t xml:space="preserve"> (</w:t>
      </w:r>
      <w:r w:rsidRPr="00C749F3">
        <w:rPr>
          <w:rFonts w:ascii="Arial" w:hAnsi="Arial" w:cs="Arial"/>
          <w:noProof/>
          <w:sz w:val="22"/>
          <w:szCs w:val="22"/>
          <w:lang w:val="es-PE"/>
        </w:rPr>
        <w:t>2025)</w:t>
      </w:r>
      <w:r>
        <w:rPr>
          <w:rFonts w:ascii="Arial" w:hAnsi="Arial" w:cs="Arial"/>
          <w:sz w:val="22"/>
          <w:szCs w:val="22"/>
          <w:lang w:val="es-PE"/>
        </w:rPr>
        <w:fldChar w:fldCharType="end"/>
      </w:r>
      <w:r>
        <w:rPr>
          <w:rFonts w:ascii="Arial" w:hAnsi="Arial" w:cs="Arial"/>
          <w:sz w:val="22"/>
          <w:szCs w:val="22"/>
          <w:lang w:val="es-PE"/>
        </w:rPr>
        <w:t xml:space="preserve"> </w:t>
      </w:r>
      <w:r w:rsidRPr="00C749F3">
        <w:rPr>
          <w:rFonts w:ascii="Arial" w:hAnsi="Arial" w:cs="Arial"/>
          <w:sz w:val="22"/>
          <w:szCs w:val="22"/>
          <w:lang w:val="es-PE"/>
        </w:rPr>
        <w:t>enfatiza que la educación es una estrategia clave para fortalecer la sostenibilidad y la licencia social en zonas mineras. A través de una mayor inclusión de las comunidades locales y la promoción de la conciencia socioambiental, la educación puede ayudar a reconstruir la confianza entre las empresas mineras y los actores involucrados. Este enfoque fomenta un compromiso activo y responsable, facilitando la participación de las comunidades en la toma de decisiones. Asimismo, la educación contribuye a desarrollar capacidades para gestionar de manera sostenible los recursos naturales y abordar los impactos socioambientales del sector minero, promoviendo así un desarrollo equitativo y duradero en las regiones afectadas</w:t>
      </w:r>
      <w:r>
        <w:rPr>
          <w:rFonts w:ascii="Arial" w:hAnsi="Arial" w:cs="Arial"/>
          <w:sz w:val="22"/>
          <w:szCs w:val="22"/>
          <w:lang w:val="es-PE"/>
        </w:rPr>
        <w:t>.</w:t>
      </w:r>
    </w:p>
    <w:p w14:paraId="3CCBCE22" w14:textId="77777777" w:rsidR="00C749F3" w:rsidRDefault="00C749F3" w:rsidP="00C749F3">
      <w:pPr>
        <w:jc w:val="both"/>
        <w:rPr>
          <w:rFonts w:ascii="Arial" w:hAnsi="Arial" w:cs="Arial"/>
          <w:sz w:val="22"/>
          <w:szCs w:val="22"/>
          <w:lang w:val="es-PE"/>
        </w:rPr>
      </w:pPr>
    </w:p>
    <w:p w14:paraId="44E6D38C" w14:textId="038FEBDC" w:rsidR="00164968" w:rsidRDefault="00164968" w:rsidP="00164968">
      <w:pPr>
        <w:jc w:val="both"/>
        <w:rPr>
          <w:rFonts w:ascii="Arial" w:hAnsi="Arial" w:cs="Arial"/>
          <w:sz w:val="22"/>
          <w:szCs w:val="22"/>
          <w:lang w:val="es-PE"/>
        </w:rPr>
      </w:pPr>
      <w:r>
        <w:rPr>
          <w:rFonts w:ascii="Arial" w:hAnsi="Arial" w:cs="Arial"/>
          <w:sz w:val="22"/>
          <w:szCs w:val="22"/>
          <w:lang w:val="es-PE"/>
        </w:rPr>
        <w:t xml:space="preserve">Por su parte, </w:t>
      </w:r>
      <w:r>
        <w:rPr>
          <w:rFonts w:ascii="Arial" w:hAnsi="Arial" w:cs="Arial"/>
          <w:sz w:val="22"/>
          <w:szCs w:val="22"/>
          <w:lang w:val="es-PE"/>
        </w:rPr>
        <w:fldChar w:fldCharType="begin" w:fldLock="1"/>
      </w:r>
      <w:r w:rsidR="00ED080D">
        <w:rPr>
          <w:rFonts w:ascii="Arial" w:hAnsi="Arial" w:cs="Arial"/>
          <w:sz w:val="22"/>
          <w:szCs w:val="22"/>
          <w:lang w:val="es-PE"/>
        </w:rPr>
        <w:instrText>ADDIN CSL_CITATION {"citationItems":[{"id":"ITEM-1","itemData":{"DOI":"10.1016/j.resourpol.2025.105606","ISSN":"03014207","abstract":"We research whether real-terms change can be created by considering the socio-environmental impacts of mining from a position of care, such as that already demonstrated in safety culture. Socio-environmental culture, the prevailing attitudes and perceptions towards risk, is used to emphasise the reciprocal interdependencies between environment and people. Social and environmental maturity models were formulated for risks in formalised, regulated mining and mining practitioners self-scrutinised their performance against the 4 levels of culture maturity in the models. Self-assessment studies revealed that sites performed best in local employment and stakeholder relationships but fell short in post-closure planning and emergency preparedness. Bowtie analysis was utilised to further validate the models in the context of hypothetical end-member scenarios of immature and mature companies managing tailings permits. We discuss how this self-assessment can facilitate dialogue and highlight assumptions in a company's cultural development, and we debate what constitutes sustainable, customary philanthropy principles.","author":[{"dropping-particle":"","family":"Doyle","given":"Keiran","non-dropping-particle":"","parse-names":false,"suffix":""},{"dropping-particle":"","family":"Moore","given":"Kathryn","non-dropping-particle":"","parse-names":false,"suffix":""},{"dropping-particle":"","family":"Foster","given":"Patrick","non-dropping-particle":"","parse-names":false,"suffix":""}],"container-title":"Resources Policy","id":"ITEM-1","issue":"January","issued":{"date-parts":[["2025"]]},"page":"105606","publisher":"Elsevier Ltd","title":"Criteria-driven socio-environmental maturity modelling for mining: driving positive sustainability attitudes and perceptions at diverse operational scales","type":"article-journal","volume":"105"},"uris":["http://www.mendeley.com/documents/?uuid=75ef8d63-e9b6-4a4b-a17f-d0e9b580ae3e"]}],"mendeley":{"formattedCitation":"(Doyle et al., 2025)","manualFormatting":"Doyle et al. (2025)","plainTextFormattedCitation":"(Doyle et al., 2025)","previouslyFormattedCitation":"(Doyle et al., 2025)"},"properties":{"noteIndex":0},"schema":"https://github.com/citation-style-language/schema/raw/master/csl-citation.json"}</w:instrText>
      </w:r>
      <w:r>
        <w:rPr>
          <w:rFonts w:ascii="Arial" w:hAnsi="Arial" w:cs="Arial"/>
          <w:sz w:val="22"/>
          <w:szCs w:val="22"/>
          <w:lang w:val="es-PE"/>
        </w:rPr>
        <w:fldChar w:fldCharType="separate"/>
      </w:r>
      <w:r w:rsidRPr="00164968">
        <w:rPr>
          <w:rFonts w:ascii="Arial" w:hAnsi="Arial" w:cs="Arial"/>
          <w:noProof/>
          <w:sz w:val="22"/>
          <w:szCs w:val="22"/>
          <w:lang w:val="es-PE"/>
        </w:rPr>
        <w:t>Doyle et al.</w:t>
      </w:r>
      <w:r>
        <w:rPr>
          <w:rFonts w:ascii="Arial" w:hAnsi="Arial" w:cs="Arial"/>
          <w:noProof/>
          <w:sz w:val="22"/>
          <w:szCs w:val="22"/>
          <w:lang w:val="es-PE"/>
        </w:rPr>
        <w:t xml:space="preserve"> (</w:t>
      </w:r>
      <w:r w:rsidRPr="00164968">
        <w:rPr>
          <w:rFonts w:ascii="Arial" w:hAnsi="Arial" w:cs="Arial"/>
          <w:noProof/>
          <w:sz w:val="22"/>
          <w:szCs w:val="22"/>
          <w:lang w:val="es-PE"/>
        </w:rPr>
        <w:t>2025)</w:t>
      </w:r>
      <w:r>
        <w:rPr>
          <w:rFonts w:ascii="Arial" w:hAnsi="Arial" w:cs="Arial"/>
          <w:sz w:val="22"/>
          <w:szCs w:val="22"/>
          <w:lang w:val="es-PE"/>
        </w:rPr>
        <w:fldChar w:fldCharType="end"/>
      </w:r>
      <w:r>
        <w:rPr>
          <w:rFonts w:ascii="Arial" w:hAnsi="Arial" w:cs="Arial"/>
          <w:sz w:val="22"/>
          <w:szCs w:val="22"/>
          <w:lang w:val="es-PE"/>
        </w:rPr>
        <w:t xml:space="preserve"> señala </w:t>
      </w:r>
      <w:r w:rsidRPr="00164968">
        <w:rPr>
          <w:rFonts w:ascii="Arial" w:hAnsi="Arial" w:cs="Arial"/>
          <w:sz w:val="22"/>
          <w:szCs w:val="22"/>
          <w:lang w:val="es-PE"/>
        </w:rPr>
        <w:t xml:space="preserve">que la educación es una estrategia fundamental para fortalecer la sostenibilidad y obtener la licencia social en zonas mineras. A través del desarrollo de modelos de madurez socioambiental, las empresas mineras pueden autoevaluar y mejorar sus actitudes y prácticas hacia el cuidado del medio ambiente y las comunidades locales. La educación fomenta una cultura organizacional que promueve la comunicación inclusiva y el diálogo interdepartamental, involucrando tanto a la alta dirección como a los trabajadores de primera línea. Esto contribuye a una mejor gestión de riesgos sociales y ambientales, fortaleciendo la confianza entre la empresa, las comunidades y las autoridades. Además, la educación impulsa acciones que van más allá del cumplimiento legal, integrando medidas éticas y filantrópicas que aumentan la aceptación social y reducen los </w:t>
      </w:r>
      <w:r w:rsidRPr="00164968">
        <w:rPr>
          <w:rFonts w:ascii="Arial" w:hAnsi="Arial" w:cs="Arial"/>
          <w:sz w:val="22"/>
          <w:szCs w:val="22"/>
          <w:lang w:val="es-PE"/>
        </w:rPr>
        <w:t>conflictos, lo que es esencial para la operación responsable y sostenible de las minas</w:t>
      </w:r>
      <w:r>
        <w:rPr>
          <w:rFonts w:ascii="Arial" w:hAnsi="Arial" w:cs="Arial"/>
          <w:sz w:val="22"/>
          <w:szCs w:val="22"/>
          <w:lang w:val="es-PE"/>
        </w:rPr>
        <w:t>.</w:t>
      </w:r>
    </w:p>
    <w:p w14:paraId="6AF21A3B" w14:textId="77777777" w:rsidR="00164968" w:rsidRDefault="00164968" w:rsidP="00164968">
      <w:pPr>
        <w:jc w:val="both"/>
        <w:rPr>
          <w:rFonts w:ascii="Arial" w:hAnsi="Arial" w:cs="Arial"/>
          <w:sz w:val="22"/>
          <w:szCs w:val="22"/>
          <w:lang w:val="es-PE"/>
        </w:rPr>
      </w:pPr>
    </w:p>
    <w:p w14:paraId="45FBC40C" w14:textId="5C8B690B" w:rsidR="00ED080D" w:rsidRDefault="00ED080D" w:rsidP="00ED080D">
      <w:pPr>
        <w:jc w:val="both"/>
        <w:rPr>
          <w:rFonts w:ascii="Arial" w:hAnsi="Arial" w:cs="Arial"/>
          <w:sz w:val="22"/>
          <w:szCs w:val="22"/>
          <w:lang w:val="es-PE"/>
        </w:rPr>
      </w:pPr>
      <w:r>
        <w:rPr>
          <w:rFonts w:ascii="Arial" w:hAnsi="Arial" w:cs="Arial"/>
          <w:sz w:val="22"/>
          <w:szCs w:val="22"/>
          <w:lang w:val="es-PE"/>
        </w:rPr>
        <w:fldChar w:fldCharType="begin" w:fldLock="1"/>
      </w:r>
      <w:r w:rsidR="008E7344">
        <w:rPr>
          <w:rFonts w:ascii="Arial" w:hAnsi="Arial" w:cs="Arial"/>
          <w:sz w:val="22"/>
          <w:szCs w:val="22"/>
          <w:lang w:val="es-PE"/>
        </w:rPr>
        <w:instrText>ADDIN CSL_CITATION {"citationItems":[{"id":"ITEM-1","itemData":{"DOI":"10.1016/j.clwas.2025.100287","ISSN":"27729125","abstract":"The concept of circular economy (CE) has garnered considerable attention as an instrument to achieve environmental sustainability. The mining sector worldwide has sought to introduce it too, for making its operations environment friendly. India, which is endowed with a multitude of minerals, is also undergoing this course correction. Using conceptual content analysis, the paper attempts to analyse the extent to which mining companies in India are adopting the principles of CE in their operations, in terms of the presence of words associated with CE in their reports. The analysis is done for 13 selected mining companies based on the quantum of their mineral production, from 2018–19 to 2023–24. The paper draws out the various contexts under which the mining companies are considering the notion of CE. Overall, the mention of CE-oriented words in the reports is found to be more implicit than explicit, broadly associated with emissions, inputs, or waste. Input recycling, resource recovery and reuse, mine water treatment and water conservation, and emissions mitigation hold primacy as reasons for adopting CE. Recovery of utilised resources for reuse is seen to be an important area of consideration for the companies, which indicates that they recognise and are keen to address the resource scarcity problem. The obtained results are indicative of the progressive focus of the Indian extractive industry on the adoption of CE practices in its mining-related operations, aimed significantly towards ensuring environmental sustainability, with an additional emphasis on societal benefits.","author":[{"dropping-particle":"","family":"Mishra","given":"Prajna Paramita","non-dropping-particle":"","parse-names":false,"suffix":""},{"dropping-particle":"","family":"Sravan","given":"Ch","non-dropping-particle":"","parse-names":false,"suffix":""},{"dropping-particle":"","family":"Shivali","given":"Ruthvika","non-dropping-particle":"","parse-names":false,"suffix":""}],"container-title":"Cleaner Waste Systems","id":"ITEM-1","issue":"February","issued":{"date-parts":[["2025"]]},"page":"100287","publisher":"Elsevier Ltd","title":"Circular economy in the Indian extractive industry: A preliminary analytical assessment of the major mining companies","type":"article-journal","volume":"11"},"uris":["http://www.mendeley.com/documents/?uuid=b834f6e2-0e7b-402a-bc9d-60159955cb18"]}],"mendeley":{"formattedCitation":"(Mishra et al., 2025)","manualFormatting":"Mishra et al. (2025)","plainTextFormattedCitation":"(Mishra et al., 2025)","previouslyFormattedCitation":"(Mishra et al., 2025)"},"properties":{"noteIndex":0},"schema":"https://github.com/citation-style-language/schema/raw/master/csl-citation.json"}</w:instrText>
      </w:r>
      <w:r>
        <w:rPr>
          <w:rFonts w:ascii="Arial" w:hAnsi="Arial" w:cs="Arial"/>
          <w:sz w:val="22"/>
          <w:szCs w:val="22"/>
          <w:lang w:val="es-PE"/>
        </w:rPr>
        <w:fldChar w:fldCharType="separate"/>
      </w:r>
      <w:r w:rsidRPr="00ED080D">
        <w:rPr>
          <w:rFonts w:ascii="Arial" w:hAnsi="Arial" w:cs="Arial"/>
          <w:noProof/>
          <w:sz w:val="22"/>
          <w:szCs w:val="22"/>
          <w:lang w:val="es-PE"/>
        </w:rPr>
        <w:t>Mishra et al.</w:t>
      </w:r>
      <w:r>
        <w:rPr>
          <w:rFonts w:ascii="Arial" w:hAnsi="Arial" w:cs="Arial"/>
          <w:noProof/>
          <w:sz w:val="22"/>
          <w:szCs w:val="22"/>
          <w:lang w:val="es-PE"/>
        </w:rPr>
        <w:t xml:space="preserve"> (</w:t>
      </w:r>
      <w:r w:rsidRPr="00ED080D">
        <w:rPr>
          <w:rFonts w:ascii="Arial" w:hAnsi="Arial" w:cs="Arial"/>
          <w:noProof/>
          <w:sz w:val="22"/>
          <w:szCs w:val="22"/>
          <w:lang w:val="es-PE"/>
        </w:rPr>
        <w:t>2025)</w:t>
      </w:r>
      <w:r>
        <w:rPr>
          <w:rFonts w:ascii="Arial" w:hAnsi="Arial" w:cs="Arial"/>
          <w:sz w:val="22"/>
          <w:szCs w:val="22"/>
          <w:lang w:val="es-PE"/>
        </w:rPr>
        <w:fldChar w:fldCharType="end"/>
      </w:r>
      <w:r>
        <w:rPr>
          <w:rFonts w:ascii="Arial" w:hAnsi="Arial" w:cs="Arial"/>
          <w:sz w:val="22"/>
          <w:szCs w:val="22"/>
          <w:lang w:val="es-PE"/>
        </w:rPr>
        <w:t xml:space="preserve"> </w:t>
      </w:r>
      <w:r w:rsidR="008E7344">
        <w:rPr>
          <w:rFonts w:ascii="Arial" w:hAnsi="Arial" w:cs="Arial"/>
          <w:sz w:val="22"/>
          <w:szCs w:val="22"/>
          <w:lang w:val="es-PE"/>
        </w:rPr>
        <w:t xml:space="preserve">sostienen </w:t>
      </w:r>
      <w:r w:rsidRPr="00ED080D">
        <w:rPr>
          <w:rFonts w:ascii="Arial" w:hAnsi="Arial" w:cs="Arial"/>
          <w:sz w:val="22"/>
          <w:szCs w:val="22"/>
          <w:lang w:val="es-PE"/>
        </w:rPr>
        <w:t>que, aunque la adopción de la economía circular (CE) en la industria minera india está orientada principalmente hacia la sostenibilidad ambiental, la dimensión social recibe una atención limitada en los informes oficiales de las empresas mineras. En particular, la discusión sobre cómo la CE puede beneficiar a las comunidades locales afectadas por la minería es escasa, con un solo caso mencionado explícitamente. Sin embargo, se reconoce que para una adopción efectiva y sostenible de prácticas circulares en la minería, es crucial involucrar y beneficiar a estas comunidades, lo que implica fortalecer la licencia social para operar. En este contexto, la educación emerge como una estrategia clave para aumentar la concienciación, fomentar la participación comunitaria y garantizar que las iniciativas de sostenibilidad sean inclusivas y aceptadas socialmente, contribuyendo así a un desarrollo más equilibrado y sostenible en las zonas mineras</w:t>
      </w:r>
      <w:r>
        <w:rPr>
          <w:rFonts w:ascii="Arial" w:hAnsi="Arial" w:cs="Arial"/>
          <w:sz w:val="22"/>
          <w:szCs w:val="22"/>
          <w:lang w:val="es-PE"/>
        </w:rPr>
        <w:t>.</w:t>
      </w:r>
    </w:p>
    <w:p w14:paraId="5BD26E0E" w14:textId="77777777" w:rsidR="00ED080D" w:rsidRDefault="00ED080D" w:rsidP="00ED080D">
      <w:pPr>
        <w:jc w:val="both"/>
        <w:rPr>
          <w:rFonts w:ascii="Arial" w:hAnsi="Arial" w:cs="Arial"/>
          <w:sz w:val="22"/>
          <w:szCs w:val="22"/>
          <w:lang w:val="es-PE"/>
        </w:rPr>
      </w:pPr>
    </w:p>
    <w:p w14:paraId="7327627F" w14:textId="1B29C7C2" w:rsidR="008E7344" w:rsidRPr="008E7344" w:rsidRDefault="008E7344" w:rsidP="008E7344">
      <w:pPr>
        <w:jc w:val="both"/>
        <w:rPr>
          <w:rFonts w:ascii="Arial" w:hAnsi="Arial" w:cs="Arial"/>
          <w:sz w:val="22"/>
          <w:szCs w:val="22"/>
          <w:lang w:val="es-PE"/>
        </w:rPr>
      </w:pPr>
      <w:r>
        <w:rPr>
          <w:rFonts w:ascii="Arial" w:hAnsi="Arial" w:cs="Arial"/>
          <w:sz w:val="22"/>
          <w:szCs w:val="22"/>
          <w:lang w:val="es-PE"/>
        </w:rPr>
        <w:fldChar w:fldCharType="begin" w:fldLock="1"/>
      </w:r>
      <w:r w:rsidR="003B2FF6">
        <w:rPr>
          <w:rFonts w:ascii="Arial" w:hAnsi="Arial" w:cs="Arial"/>
          <w:sz w:val="22"/>
          <w:szCs w:val="22"/>
          <w:lang w:val="es-PE"/>
        </w:rPr>
        <w:instrText>ADDIN CSL_CITATION {"citationItems":[{"id":"ITEM-1","itemData":{"DOI":"10.1016/j.clrc.2025.100250","ISSN":"26667843","abstract":"Mining activity in developing countries is frequently associated with the most severe and disastrous environmental impacts, posing a threat to the survival and livelihoods of local communities where agriculture is the primary sustenance. Therefore, this article explores the effects of mining operations on the farmers' livelihood assets, corporate social responsibility, and mining acceptance in the mining communities. Kenema district in Sierra Leone was purposively selected because of predominant rice farming amidst active mining activities. Questionnaires were provided to a random sample of 358 farmers in the district. To extract meaningful information from the questionnaire data, a Partial Least Square Structural Equation Model (PLS-SEM) using Smart-PLS4 software was employed as it focuses on testing a theoretical framework from a predictive perspective. This facilitated the development of a higher component model with a reflective-reflective structure to estimate the sustainable livelihoods model. The findings show that mining operations have a negative impact on farmers' sustainable livelihood assets, except for positive financial assets. Likewise, mineral exploitation had adverse and significant effects on mining acceptance and corporate social responsibility for the communities. Corporate social responsibilities can significantly mediate the relationship between mining industries and mining acceptance in the mining areas. The paper highlights the importance of balancing environmental sustainability with socioeconomic development in mining policy. To achieve this, stakeholders and the government should enforce strict regulations on the reclamation and restoration of mined fields and ensure mining industries adhere to their corporate social responsibilities in the areas they operate.","author":[{"dropping-particle":"","family":"Komba","given":"Braima Pascal","non-dropping-particle":"","parse-names":false,"suffix":""},{"dropping-particle":"","family":"Chattha","given":"Muhammad Waqas Alam","non-dropping-particle":"","parse-names":false,"suffix":""},{"dropping-particle":"","family":"Fatima","given":"Almazea","non-dropping-particle":"","parse-names":false,"suffix":""},{"dropping-particle":"","family":"Thomson","given":"Peter C.","non-dropping-particle":"","parse-names":false,"suffix":""},{"dropping-particle":"","family":"González","given":"Luciano Adrián","non-dropping-particle":"","parse-names":false,"suffix":""},{"dropping-particle":"","family":"Hyder","given":"Muhammad Farooq","non-dropping-particle":"","parse-names":false,"suffix":""}],"container-title":"Cleaner and Responsible Consumption","id":"ITEM-1","issue":"November 2024","issued":{"date-parts":[["2025"]]},"title":"Assessing the environmental, economic, and social impacts of industrial mining on agricultural communities in Sierra Leone: A sustainable approach using PLS-SEM","type":"article-journal","volume":"16"},"uris":["http://www.mendeley.com/documents/?uuid=32c9bd0b-18b2-4052-84e5-439d834e6de8"]}],"mendeley":{"formattedCitation":"(Komba et al., 2025)","manualFormatting":"Komba et al. (2025)","plainTextFormattedCitation":"(Komba et al., 2025)","previouslyFormattedCitation":"(Komba et al., 2025)"},"properties":{"noteIndex":0},"schema":"https://github.com/citation-style-language/schema/raw/master/csl-citation.json"}</w:instrText>
      </w:r>
      <w:r>
        <w:rPr>
          <w:rFonts w:ascii="Arial" w:hAnsi="Arial" w:cs="Arial"/>
          <w:sz w:val="22"/>
          <w:szCs w:val="22"/>
          <w:lang w:val="es-PE"/>
        </w:rPr>
        <w:fldChar w:fldCharType="separate"/>
      </w:r>
      <w:r w:rsidRPr="008E7344">
        <w:rPr>
          <w:rFonts w:ascii="Arial" w:hAnsi="Arial" w:cs="Arial"/>
          <w:noProof/>
          <w:sz w:val="22"/>
          <w:szCs w:val="22"/>
          <w:lang w:val="es-PE"/>
        </w:rPr>
        <w:t>Komba et al.</w:t>
      </w:r>
      <w:r>
        <w:rPr>
          <w:rFonts w:ascii="Arial" w:hAnsi="Arial" w:cs="Arial"/>
          <w:noProof/>
          <w:sz w:val="22"/>
          <w:szCs w:val="22"/>
          <w:lang w:val="es-PE"/>
        </w:rPr>
        <w:t xml:space="preserve"> (</w:t>
      </w:r>
      <w:r w:rsidRPr="008E7344">
        <w:rPr>
          <w:rFonts w:ascii="Arial" w:hAnsi="Arial" w:cs="Arial"/>
          <w:noProof/>
          <w:sz w:val="22"/>
          <w:szCs w:val="22"/>
          <w:lang w:val="es-PE"/>
        </w:rPr>
        <w:t>2025)</w:t>
      </w:r>
      <w:r>
        <w:rPr>
          <w:rFonts w:ascii="Arial" w:hAnsi="Arial" w:cs="Arial"/>
          <w:sz w:val="22"/>
          <w:szCs w:val="22"/>
          <w:lang w:val="es-PE"/>
        </w:rPr>
        <w:fldChar w:fldCharType="end"/>
      </w:r>
      <w:r>
        <w:rPr>
          <w:rFonts w:ascii="Arial" w:hAnsi="Arial" w:cs="Arial"/>
          <w:sz w:val="22"/>
          <w:szCs w:val="22"/>
          <w:lang w:val="es-PE"/>
        </w:rPr>
        <w:t xml:space="preserve"> evidenciaron </w:t>
      </w:r>
      <w:r w:rsidRPr="008E7344">
        <w:rPr>
          <w:rFonts w:ascii="Arial" w:hAnsi="Arial" w:cs="Arial"/>
          <w:sz w:val="22"/>
          <w:szCs w:val="22"/>
          <w:lang w:val="es-PE"/>
        </w:rPr>
        <w:t xml:space="preserve">que, aunque la adopción de la economía circular (CE) en la industria minera india está orientada principalmente hacia la sostenibilidad ambiental, la dimensión social recibe una atención limitada en los informes oficiales de las empresas mineras. En particular, la discusión sobre cómo la CE puede beneficiar a las comunidades locales afectadas por la minería es escasa, con un solo caso mencionado explícitamente. Sin embargo, se reconoce </w:t>
      </w:r>
      <w:r w:rsidR="008005B7" w:rsidRPr="008E7344">
        <w:rPr>
          <w:rFonts w:ascii="Arial" w:hAnsi="Arial" w:cs="Arial"/>
          <w:sz w:val="22"/>
          <w:szCs w:val="22"/>
          <w:lang w:val="es-PE"/>
        </w:rPr>
        <w:t>que,</w:t>
      </w:r>
      <w:r w:rsidRPr="008E7344">
        <w:rPr>
          <w:rFonts w:ascii="Arial" w:hAnsi="Arial" w:cs="Arial"/>
          <w:sz w:val="22"/>
          <w:szCs w:val="22"/>
          <w:lang w:val="es-PE"/>
        </w:rPr>
        <w:t xml:space="preserve"> para una adopción efectiva y sostenible de prácticas circulares en la minería, es crucial involucrar y beneficiar a estas comunidades, lo que implica fortalecer la licencia social para operar. En este contexto, la educación emerge como una estrategia clave para aumentar la concienciación, fomentar la participación comunitaria y garantizar que las iniciativas de sostenibilidad sean inclusivas y aceptadas socialmente, contribuyendo así a un desarrollo más equilibrado y sostenible en las zonas mineras</w:t>
      </w:r>
      <w:r>
        <w:rPr>
          <w:rFonts w:ascii="Arial" w:hAnsi="Arial" w:cs="Arial"/>
          <w:sz w:val="22"/>
          <w:szCs w:val="22"/>
          <w:lang w:val="es-PE"/>
        </w:rPr>
        <w:t>.</w:t>
      </w:r>
    </w:p>
    <w:p w14:paraId="2F8DC007" w14:textId="48FAA230" w:rsidR="00ED080D" w:rsidRPr="00ED080D" w:rsidRDefault="00ED080D" w:rsidP="00ED080D">
      <w:pPr>
        <w:jc w:val="both"/>
        <w:rPr>
          <w:rFonts w:ascii="Arial" w:hAnsi="Arial" w:cs="Arial"/>
          <w:sz w:val="22"/>
          <w:szCs w:val="22"/>
          <w:lang w:val="es-PE"/>
        </w:rPr>
      </w:pPr>
    </w:p>
    <w:p w14:paraId="7D8AAF0F" w14:textId="6E6AA833" w:rsidR="003B2FF6" w:rsidRPr="003B2FF6" w:rsidRDefault="003B2FF6" w:rsidP="003B2FF6">
      <w:pPr>
        <w:jc w:val="both"/>
        <w:rPr>
          <w:rFonts w:ascii="Arial" w:hAnsi="Arial" w:cs="Arial"/>
          <w:sz w:val="22"/>
          <w:szCs w:val="22"/>
          <w:lang w:val="es-PE"/>
        </w:rPr>
      </w:pPr>
      <w:r>
        <w:rPr>
          <w:rFonts w:ascii="Arial" w:hAnsi="Arial" w:cs="Arial"/>
          <w:sz w:val="22"/>
          <w:szCs w:val="22"/>
          <w:lang w:val="es-PE"/>
        </w:rPr>
        <w:fldChar w:fldCharType="begin" w:fldLock="1"/>
      </w:r>
      <w:r w:rsidR="00457C46">
        <w:rPr>
          <w:rFonts w:ascii="Arial" w:hAnsi="Arial" w:cs="Arial"/>
          <w:sz w:val="22"/>
          <w:szCs w:val="22"/>
          <w:lang w:val="es-PE"/>
        </w:rPr>
        <w:instrText>ADDIN CSL_CITATION {"citationItems":[{"id":"ITEM-1","itemData":{"DOI":"10.1016/j.jaesx.2025.100192","ISSN":"25900560","abstract":"The Red River (RR) in Southeast Asia provides water for food and energy production, building materials in the form of sand mining and facilitates the movement of people and goods for millions of inhabitants in the Yunnan province in China and provinces in northern Vietnam. Since the late 20th century, rapid economic development in the region has led to significant human-induced changes to the RR. In this study, we applied multiple statistical tests (Mann-Kendall, Pettitt, Mann-Whitney and principal component analysis) to analyse daily water flow data from seven hydro-meteorological stations in the lower section of the RR, aiming to identify the primary factors altering the water flow regime. Our findings indicate that the Hoa Binh reservoir, commissioned in 1989, and the Son La reservoir, commissioned in 2010, have significantly modified the flow regime, reducing the annual mean water flow of the RR main tributary from 1763 m3 s−1 between 1986 and 2008 to 1334 m3 s−1 between 2009 and 2023. This study is the first to identify that widespread and loosely regulated sand mining in the lower RR region has not only lowered the riverbed and water levels, as reported in recent studies, but also increased groundwater discharge into the river. As a result, despite the reduced upstream water flow from the mountains, the river discharge in the downstream region has remained statistically unchanged over the past decade in the RR.","author":[{"dropping-particle":"","family":"Trinh","given":"Anh Duc","non-dropping-particle":"","parse-names":false,"suffix":""},{"dropping-particle":"","family":"Nguyen","given":"Nho Lan","non-dropping-particle":"","parse-names":false,"suffix":""},{"dropping-particle":"","family":"Do","given":"Thu Nga","non-dropping-particle":"","parse-names":false,"suffix":""},{"dropping-particle":"","family":"Watson","given":"Andrew","non-dropping-particle":"","parse-names":false,"suffix":""},{"dropping-particle":"","family":"Stockinger","given":"Michael","non-dropping-particle":"","parse-names":false,"suffix":""},{"dropping-particle":"","family":"Stumpp","given":"Christine","non-dropping-particle":"","parse-names":false,"suffix":""}],"container-title":"Journal of Asian Earth Sciences: X","id":"ITEM-1","issue":"March","issued":{"date-parts":[["2025"]]},"page":"100192","publisher":"Elsevier Ltd","title":"Are hydropower dams and sand mining responsible for hydrological change in the Red river (Asia)?","type":"article-journal","volume":"13"},"uris":["http://www.mendeley.com/documents/?uuid=062828c7-533d-4d8d-be39-f4e11138b383"]}],"mendeley":{"formattedCitation":"(Trinh et al., 2025)","manualFormatting":"Trinh et al. (2025)","plainTextFormattedCitation":"(Trinh et al., 2025)","previouslyFormattedCitation":"(Trinh et al., 2025)"},"properties":{"noteIndex":0},"schema":"https://github.com/citation-style-language/schema/raw/master/csl-citation.json"}</w:instrText>
      </w:r>
      <w:r>
        <w:rPr>
          <w:rFonts w:ascii="Arial" w:hAnsi="Arial" w:cs="Arial"/>
          <w:sz w:val="22"/>
          <w:szCs w:val="22"/>
          <w:lang w:val="es-PE"/>
        </w:rPr>
        <w:fldChar w:fldCharType="separate"/>
      </w:r>
      <w:r w:rsidRPr="003B2FF6">
        <w:rPr>
          <w:rFonts w:ascii="Arial" w:hAnsi="Arial" w:cs="Arial"/>
          <w:noProof/>
          <w:sz w:val="22"/>
          <w:szCs w:val="22"/>
          <w:lang w:val="es-PE"/>
        </w:rPr>
        <w:t>Trinh et al.</w:t>
      </w:r>
      <w:r>
        <w:rPr>
          <w:rFonts w:ascii="Arial" w:hAnsi="Arial" w:cs="Arial"/>
          <w:noProof/>
          <w:sz w:val="22"/>
          <w:szCs w:val="22"/>
          <w:lang w:val="es-PE"/>
        </w:rPr>
        <w:t xml:space="preserve"> (</w:t>
      </w:r>
      <w:r w:rsidRPr="003B2FF6">
        <w:rPr>
          <w:rFonts w:ascii="Arial" w:hAnsi="Arial" w:cs="Arial"/>
          <w:noProof/>
          <w:sz w:val="22"/>
          <w:szCs w:val="22"/>
          <w:lang w:val="es-PE"/>
        </w:rPr>
        <w:t>2025)</w:t>
      </w:r>
      <w:r>
        <w:rPr>
          <w:rFonts w:ascii="Arial" w:hAnsi="Arial" w:cs="Arial"/>
          <w:sz w:val="22"/>
          <w:szCs w:val="22"/>
          <w:lang w:val="es-PE"/>
        </w:rPr>
        <w:fldChar w:fldCharType="end"/>
      </w:r>
      <w:r>
        <w:rPr>
          <w:rFonts w:ascii="Arial" w:hAnsi="Arial" w:cs="Arial"/>
          <w:sz w:val="22"/>
          <w:szCs w:val="22"/>
          <w:lang w:val="es-PE"/>
        </w:rPr>
        <w:t xml:space="preserve"> concluyeron </w:t>
      </w:r>
      <w:r w:rsidRPr="003B2FF6">
        <w:rPr>
          <w:rFonts w:ascii="Arial" w:hAnsi="Arial" w:cs="Arial"/>
          <w:sz w:val="22"/>
          <w:szCs w:val="22"/>
          <w:lang w:val="es-PE"/>
        </w:rPr>
        <w:t xml:space="preserve">que la educación es una estrategia fundamental para fortalecer la sostenibilidad y obtener la licencia social en zonas mineras. A través de procesos educativos, tanto las comunidades locales como los actores involucrados pueden comprender mejor los impactos ambientales y sociales de la minería, promover prácticas responsables y participar activamente en la gestión y monitoreo del recurso natural. La educación fomenta la conciencia ambiental y social, facilitando el diálogo y la </w:t>
      </w:r>
      <w:r w:rsidRPr="003B2FF6">
        <w:rPr>
          <w:rFonts w:ascii="Arial" w:hAnsi="Arial" w:cs="Arial"/>
          <w:sz w:val="22"/>
          <w:szCs w:val="22"/>
          <w:lang w:val="es-PE"/>
        </w:rPr>
        <w:lastRenderedPageBreak/>
        <w:t>colaboración entre empresas mineras, gobiernos y comunidades. Esto contribuye a minimizar conflictos, fortalecer la aceptación social y garantizar un desarrollo más equilibrado y respetuoso con el entorno. En resumen, el artículo destaca que la inversión en educación es clave para construir relaciones de confianza, mejorar la gobernanza local y asegurar que la minería se realice de manera sostenible y aceptada por las comunidades afectadas.</w:t>
      </w:r>
    </w:p>
    <w:p w14:paraId="66E8AF91" w14:textId="4C6ACFE1" w:rsidR="007C43A2" w:rsidRDefault="007C43A2" w:rsidP="00C749F3">
      <w:pPr>
        <w:jc w:val="both"/>
        <w:rPr>
          <w:rFonts w:ascii="Arial" w:hAnsi="Arial" w:cs="Arial"/>
          <w:sz w:val="22"/>
          <w:szCs w:val="22"/>
          <w:lang w:val="es-PE"/>
        </w:rPr>
      </w:pPr>
    </w:p>
    <w:p w14:paraId="28BB41D6" w14:textId="531F60AD" w:rsidR="00457C46" w:rsidRDefault="00457C46" w:rsidP="00457C46">
      <w:pPr>
        <w:jc w:val="both"/>
        <w:rPr>
          <w:rFonts w:ascii="Arial" w:hAnsi="Arial" w:cs="Arial"/>
          <w:sz w:val="22"/>
          <w:szCs w:val="22"/>
          <w:lang w:val="es-PE"/>
        </w:rPr>
      </w:pPr>
      <w:r>
        <w:rPr>
          <w:rFonts w:ascii="Arial" w:hAnsi="Arial" w:cs="Arial"/>
          <w:sz w:val="22"/>
          <w:szCs w:val="22"/>
          <w:lang w:val="es-PE"/>
        </w:rPr>
        <w:fldChar w:fldCharType="begin" w:fldLock="1"/>
      </w:r>
      <w:r w:rsidR="008005B7">
        <w:rPr>
          <w:rFonts w:ascii="Arial" w:hAnsi="Arial" w:cs="Arial"/>
          <w:sz w:val="22"/>
          <w:szCs w:val="22"/>
          <w:lang w:val="es-PE"/>
        </w:rPr>
        <w:instrText>ADDIN CSL_CITATION {"citationItems":[{"id":"ITEM-1","itemData":{"DOI":"10.1016/j.resourpol.2025.105514","ISSN":"03014207","abstract":"This paper explores the adoption of Circular Economy (CE) practices in the mining sector. Large-scale mining is essential for global material supply and the energy transition but poses significant environmental challenges. Adopting CE strategies and practices can help mitigate these challenges by reducing waste, improving resource efficiency, and minimising environmental impacts. However, existing CE frameworks are focused on downstream value chain segments and lack crucial conceptual elements to guide CE adoption in upstream industries like mining. The study advances the literature on CE, responsible sourcing of minerals and sustainable raw material extraction by identifying three crucial conceptual elements missing from existing CE frameworks: (1) a clear communication of the goal and boundary of the industrial production system that the adoption of CE practices is targeting; (2) an identification of the source and type of inputs used by the system; and (3) a consideration of the resource state of these inputs and the subsequent structural wastes generated from them. These new conceptual elements allow for a system-level analysis of CE adoption tailored to the context of the mining industry. Using the case of Chile, the study demonstrates how this new conceptual approach can be applied to map existing CE practices and strategies used in the mining sector. Findings reveal that Chilean copper and lithium mining companies are successfully adopting CE practices, such as using seawater in ore processing, remining and repurposing tailings, and remanufacturing mining machinery. This shows that there is significant potential for the mining industry to adopt CE thinking. However, the case study also highlights prevalent tendencies of a lack of systems thinking and additionality in the design of CE practices, which present significant challenges for the sector to adopt CE practices at scale.","author":[{"dropping-particle":"","family":"Born","given":"Konstantin","non-dropping-particle":"","parse-names":false,"suffix":""}],"container-title":"Resources Policy","id":"ITEM-1","issue":"November 2024","issued":{"date-parts":[["2025"]]},"page":"105514","publisher":"Elsevier Ltd","title":"Adoption of circular economy practices in the mining sector: Evidence from Chile","type":"article-journal","volume":"102"},"uris":["http://www.mendeley.com/documents/?uuid=b0991356-c797-4abf-92b1-5baf2ff0b78f"]}],"mendeley":{"formattedCitation":"(Born, 2025)","manualFormatting":"Born (2025)","plainTextFormattedCitation":"(Born, 2025)","previouslyFormattedCitation":"(Born, 2025)"},"properties":{"noteIndex":0},"schema":"https://github.com/citation-style-language/schema/raw/master/csl-citation.json"}</w:instrText>
      </w:r>
      <w:r>
        <w:rPr>
          <w:rFonts w:ascii="Arial" w:hAnsi="Arial" w:cs="Arial"/>
          <w:sz w:val="22"/>
          <w:szCs w:val="22"/>
          <w:lang w:val="es-PE"/>
        </w:rPr>
        <w:fldChar w:fldCharType="separate"/>
      </w:r>
      <w:r w:rsidRPr="00457C46">
        <w:rPr>
          <w:rFonts w:ascii="Arial" w:hAnsi="Arial" w:cs="Arial"/>
          <w:noProof/>
          <w:sz w:val="22"/>
          <w:szCs w:val="22"/>
          <w:lang w:val="es-PE"/>
        </w:rPr>
        <w:t>Born</w:t>
      </w:r>
      <w:r>
        <w:rPr>
          <w:rFonts w:ascii="Arial" w:hAnsi="Arial" w:cs="Arial"/>
          <w:noProof/>
          <w:sz w:val="22"/>
          <w:szCs w:val="22"/>
          <w:lang w:val="es-PE"/>
        </w:rPr>
        <w:t xml:space="preserve"> (</w:t>
      </w:r>
      <w:r w:rsidRPr="00457C46">
        <w:rPr>
          <w:rFonts w:ascii="Arial" w:hAnsi="Arial" w:cs="Arial"/>
          <w:noProof/>
          <w:sz w:val="22"/>
          <w:szCs w:val="22"/>
          <w:lang w:val="es-PE"/>
        </w:rPr>
        <w:t>2025)</w:t>
      </w:r>
      <w:r>
        <w:rPr>
          <w:rFonts w:ascii="Arial" w:hAnsi="Arial" w:cs="Arial"/>
          <w:sz w:val="22"/>
          <w:szCs w:val="22"/>
          <w:lang w:val="es-PE"/>
        </w:rPr>
        <w:fldChar w:fldCharType="end"/>
      </w:r>
      <w:r>
        <w:rPr>
          <w:rFonts w:ascii="Arial" w:hAnsi="Arial" w:cs="Arial"/>
          <w:sz w:val="22"/>
          <w:szCs w:val="22"/>
          <w:lang w:val="es-PE"/>
        </w:rPr>
        <w:t xml:space="preserve"> </w:t>
      </w:r>
      <w:r w:rsidRPr="00457C46">
        <w:rPr>
          <w:rFonts w:ascii="Arial" w:hAnsi="Arial" w:cs="Arial"/>
          <w:sz w:val="22"/>
          <w:szCs w:val="22"/>
          <w:lang w:val="es-PE"/>
        </w:rPr>
        <w:t>sostiene que la educación constituye una estrategia fundamental para fortalecer la sostenibilidad y la licencia social en zonas mineras. Destaca que la adopción de prácticas de economía circular en la minería va más allá de simples cambios técnicos, requiriendo un enfoque integral que incluya la participación de las comunidades locales. La educación promueve una mayor comprensión sobre los impactos sociales y ambientales de la minería, fomentando una cultura de responsabilidad y colaboración entre las empresas, el gobierno y la sociedad civil. Además, constituye un mecanismo para generar confianza y aceptación social, elementos clave para la obtención y mantenimiento de la licencia social para operar en territorios mineros. El fortalecimiento del conocimiento y las capacidades a través de programas educativos facilita la implementación efectiva de estrategias sostenibles y mejora la gobernanza local, contribuyendo a mitigar conflictos y a lograr un desarrollo más equitativo y respetuoso con el medio ambiente en las regiones mineras.</w:t>
      </w:r>
    </w:p>
    <w:p w14:paraId="5608F3D3" w14:textId="77777777" w:rsidR="00497A33" w:rsidRPr="00BE1453" w:rsidRDefault="00497A33" w:rsidP="00BE1453">
      <w:pPr>
        <w:jc w:val="both"/>
        <w:rPr>
          <w:rFonts w:ascii="Arial" w:hAnsi="Arial" w:cs="Arial"/>
          <w:sz w:val="22"/>
          <w:szCs w:val="22"/>
          <w:lang w:val="es-PE"/>
        </w:rPr>
      </w:pPr>
    </w:p>
    <w:p w14:paraId="2510FF22" w14:textId="1F0BDD6D" w:rsidR="00BE1453" w:rsidRDefault="00BE1453" w:rsidP="00BE1453">
      <w:pPr>
        <w:jc w:val="both"/>
        <w:rPr>
          <w:rFonts w:ascii="Arial" w:hAnsi="Arial" w:cs="Arial"/>
          <w:sz w:val="22"/>
          <w:szCs w:val="22"/>
          <w:lang w:val="es-PE"/>
        </w:rPr>
      </w:pPr>
      <w:r w:rsidRPr="00BE1453">
        <w:rPr>
          <w:rFonts w:ascii="Arial" w:hAnsi="Arial" w:cs="Arial"/>
          <w:sz w:val="22"/>
          <w:szCs w:val="22"/>
          <w:lang w:val="es-PE"/>
        </w:rPr>
        <w:t>En el caso del Perú, uno de los principales productores de minerales del mundo, estas tensiones se han intensificado en las últimas décadas. La desconfianza hacia las empresas mineras y el Estado persiste, especialmente en zonas rurales, debido a pasivos ambientales no remediados, ausencia de diálogo transparente y limitadas oportunidades de participación comunitaria</w:t>
      </w:r>
      <w:r w:rsidR="003E1474">
        <w:rPr>
          <w:rFonts w:ascii="Arial" w:hAnsi="Arial" w:cs="Arial"/>
          <w:sz w:val="22"/>
          <w:szCs w:val="22"/>
          <w:lang w:val="es-PE"/>
        </w:rPr>
        <w:t xml:space="preserve"> </w:t>
      </w:r>
      <w:r w:rsidR="003E1474">
        <w:rPr>
          <w:rFonts w:ascii="Arial" w:hAnsi="Arial" w:cs="Arial"/>
          <w:sz w:val="22"/>
          <w:szCs w:val="22"/>
          <w:lang w:val="es-PE"/>
        </w:rPr>
        <w:fldChar w:fldCharType="begin" w:fldLock="1"/>
      </w:r>
      <w:r w:rsidR="00112EDE">
        <w:rPr>
          <w:rFonts w:ascii="Arial" w:hAnsi="Arial" w:cs="Arial"/>
          <w:sz w:val="22"/>
          <w:szCs w:val="22"/>
          <w:lang w:val="es-PE"/>
        </w:rPr>
        <w:instrText>ADDIN CSL_CITATION {"citationItems":[{"id":"ITEM-1","itemData":{"DOI":"https://doi.org/10.53942/srjcidi.v4i8.232","ISBN":"2024131042","author":[{"dropping-particle":"","family":"Ponce-Llanco","given":"Flor De Maria","non-dropping-particle":"","parse-names":false,"suffix":""},{"dropping-particle":"","family":"Quispe-Aponte","given":"Wilmer Pablo","non-dropping-particle":"","parse-names":false,"suffix":""},{"dropping-particle":"","family":"Ortiz-Taipe","given":"Marcelino","non-dropping-particle":"","parse-names":false,"suffix":""},{"dropping-particle":"","family":"Pérez-Ccama","given":"Roel","non-dropping-particle":"","parse-names":false,"suffix":""},{"dropping-particle":"","family":"Ñahuincopa-Taipe","given":"Juana","non-dropping-particle":"","parse-names":false,"suffix":""}],"container-title":"Scientific Research Journal2","id":"ITEM-1","issued":{"date-parts":[["2024"]]},"page":"111-126","title":"Minería con Conciencia: Sostenible y Responsabilidad Social","type":"article-journal","volume":"4"},"uris":["http://www.mendeley.com/documents/?uuid=8b267d24-9906-4fc9-a059-af9f3dd0b275"]}],"mendeley":{"formattedCitation":"(Ponce-Llanco et al., 2024)","manualFormatting":"(Ponce-Llanco et al., 2024;","plainTextFormattedCitation":"(Ponce-Llanco et al., 2024)","previouslyFormattedCitation":"(Ponce-Llanco et al., 2024)"},"properties":{"noteIndex":0},"schema":"https://github.com/citation-style-language/schema/raw/master/csl-citation.json"}</w:instrText>
      </w:r>
      <w:r w:rsidR="003E1474">
        <w:rPr>
          <w:rFonts w:ascii="Arial" w:hAnsi="Arial" w:cs="Arial"/>
          <w:sz w:val="22"/>
          <w:szCs w:val="22"/>
          <w:lang w:val="es-PE"/>
        </w:rPr>
        <w:fldChar w:fldCharType="separate"/>
      </w:r>
      <w:r w:rsidR="003E1474" w:rsidRPr="003E1474">
        <w:rPr>
          <w:rFonts w:ascii="Arial" w:hAnsi="Arial" w:cs="Arial"/>
          <w:noProof/>
          <w:sz w:val="22"/>
          <w:szCs w:val="22"/>
          <w:lang w:val="es-PE"/>
        </w:rPr>
        <w:t>(Ponce-Llanco et al., 2024</w:t>
      </w:r>
      <w:r w:rsidR="003E1474">
        <w:rPr>
          <w:rFonts w:ascii="Arial" w:hAnsi="Arial" w:cs="Arial"/>
          <w:noProof/>
          <w:sz w:val="22"/>
          <w:szCs w:val="22"/>
          <w:lang w:val="es-PE"/>
        </w:rPr>
        <w:t>;</w:t>
      </w:r>
      <w:r w:rsidR="003E1474">
        <w:rPr>
          <w:rFonts w:ascii="Arial" w:hAnsi="Arial" w:cs="Arial"/>
          <w:sz w:val="22"/>
          <w:szCs w:val="22"/>
          <w:lang w:val="es-PE"/>
        </w:rPr>
        <w:fldChar w:fldCharType="end"/>
      </w:r>
      <w:r w:rsidR="003E1474">
        <w:rPr>
          <w:rFonts w:ascii="Arial" w:hAnsi="Arial" w:cs="Arial"/>
          <w:sz w:val="22"/>
          <w:szCs w:val="22"/>
          <w:lang w:val="es-PE"/>
        </w:rPr>
        <w:t xml:space="preserve"> </w:t>
      </w:r>
      <w:r w:rsidR="003E1474">
        <w:rPr>
          <w:rFonts w:ascii="Arial" w:hAnsi="Arial" w:cs="Arial"/>
          <w:sz w:val="22"/>
          <w:szCs w:val="22"/>
          <w:lang w:val="es-PE"/>
        </w:rPr>
        <w:fldChar w:fldCharType="begin" w:fldLock="1"/>
      </w:r>
      <w:r w:rsidR="00497A33">
        <w:rPr>
          <w:rFonts w:ascii="Arial" w:hAnsi="Arial" w:cs="Arial"/>
          <w:sz w:val="22"/>
          <w:szCs w:val="22"/>
          <w:lang w:val="es-PE"/>
        </w:rPr>
        <w:instrText>ADDIN CSL_CITATION {"citationItems":[{"id":"ITEM-1","itemData":{"DOI":"10.71018/eij.2024.07","ISBN":"2021008215","abstract":"Para alcanzar la meta mundial del Net Zero al 2050, se va a requerir minerales para las tecnologías de energías renovables; Perú es un importante país minero, sin embargo, en los últimos años se han afectado gravemente varios proyectos de inversión minera asociadas a una falta de voluntad política, trabas y excesos de permisos impuestas por el gobierno, los conflictos socio ambientales y otros. El objetivo es proponer una estrategia de promoción de inversiones mineras y la sostenibilidad del sector minero peruano; como materiales y método, se basa en consolidar las lecciones aprendidas ejecutadas (1990 - 2023); y como resultado, se presenta la estrategia de promoción de inversiones en minería junto al índice de sostenibilidad del sector minero (issm) con valoración de 62% al cierre del 2023 (calificación media y decreciente), dando lugar a conclusiones y recomendaciones para aprovechar las fortalezas y oportunidades de mayor precio internacional y demanda de minerales que el mundo va a requerir en los próximos años para impulsar las energías limpias y renovables, retomando la promoción de inversiones mineras y la sostenibilidad del sector minero peruano, con una participación proactiva del estado y los actores involucrados.","author":[{"dropping-particle":"","family":"Pineda Terreros","given":"José Armando","non-dropping-particle":"","parse-names":false,"suffix":""}],"container-title":"Earth Institute","id":"ITEM-1","issue":"1","issued":{"date-parts":[["2024"]]},"page":"52-74","title":"Estrategia de promoción de inversiones mineras y la sostenibilidad del sector minero, Perú - 2024","type":"article-journal","volume":"1"},"uris":["http://www.mendeley.com/documents/?uuid=659a9bce-d54f-4a40-9ccf-5420e66de0a4"]}],"mendeley":{"formattedCitation":"(Pineda Terreros, 2024)","manualFormatting":"Pineda Terreros, 2024)","plainTextFormattedCitation":"(Pineda Terreros, 2024)","previouslyFormattedCitation":"(Pineda Terreros, 2024)"},"properties":{"noteIndex":0},"schema":"https://github.com/citation-style-language/schema/raw/master/csl-citation.json"}</w:instrText>
      </w:r>
      <w:r w:rsidR="003E1474">
        <w:rPr>
          <w:rFonts w:ascii="Arial" w:hAnsi="Arial" w:cs="Arial"/>
          <w:sz w:val="22"/>
          <w:szCs w:val="22"/>
          <w:lang w:val="es-PE"/>
        </w:rPr>
        <w:fldChar w:fldCharType="separate"/>
      </w:r>
      <w:r w:rsidR="003E1474" w:rsidRPr="003E1474">
        <w:rPr>
          <w:rFonts w:ascii="Arial" w:hAnsi="Arial" w:cs="Arial"/>
          <w:noProof/>
          <w:sz w:val="22"/>
          <w:szCs w:val="22"/>
          <w:lang w:val="es-PE"/>
        </w:rPr>
        <w:t>Pineda Terreros, 2024)</w:t>
      </w:r>
      <w:r w:rsidR="003E1474">
        <w:rPr>
          <w:rFonts w:ascii="Arial" w:hAnsi="Arial" w:cs="Arial"/>
          <w:sz w:val="22"/>
          <w:szCs w:val="22"/>
          <w:lang w:val="es-PE"/>
        </w:rPr>
        <w:fldChar w:fldCharType="end"/>
      </w:r>
      <w:r w:rsidRPr="00BE1453">
        <w:rPr>
          <w:rFonts w:ascii="Arial" w:hAnsi="Arial" w:cs="Arial"/>
          <w:sz w:val="22"/>
          <w:szCs w:val="22"/>
          <w:lang w:val="es-PE"/>
        </w:rPr>
        <w:t>. A nivel local, regiones como Arequipa</w:t>
      </w:r>
      <w:r>
        <w:rPr>
          <w:rFonts w:ascii="Arial" w:hAnsi="Arial" w:cs="Arial"/>
          <w:sz w:val="22"/>
          <w:szCs w:val="22"/>
          <w:lang w:val="es-PE"/>
        </w:rPr>
        <w:t xml:space="preserve">, </w:t>
      </w:r>
      <w:r w:rsidRPr="00BE1453">
        <w:rPr>
          <w:rFonts w:ascii="Arial" w:hAnsi="Arial" w:cs="Arial"/>
          <w:sz w:val="22"/>
          <w:szCs w:val="22"/>
          <w:lang w:val="es-PE"/>
        </w:rPr>
        <w:t>con alta actividad minera</w:t>
      </w:r>
      <w:r>
        <w:rPr>
          <w:rFonts w:ascii="Arial" w:hAnsi="Arial" w:cs="Arial"/>
          <w:sz w:val="22"/>
          <w:szCs w:val="22"/>
          <w:lang w:val="es-PE"/>
        </w:rPr>
        <w:t xml:space="preserve">, </w:t>
      </w:r>
      <w:r w:rsidRPr="00BE1453">
        <w:rPr>
          <w:rFonts w:ascii="Arial" w:hAnsi="Arial" w:cs="Arial"/>
          <w:sz w:val="22"/>
          <w:szCs w:val="22"/>
          <w:lang w:val="es-PE"/>
        </w:rPr>
        <w:t>han sido escenario de protestas, bloqueos y conflictos prolongados, evidenciando la fragilidad del vínculo entre empresas y comunidades.</w:t>
      </w:r>
    </w:p>
    <w:p w14:paraId="3C927AAD" w14:textId="77777777" w:rsidR="00112EDE" w:rsidRDefault="00112EDE" w:rsidP="00BE1453">
      <w:pPr>
        <w:jc w:val="both"/>
        <w:rPr>
          <w:rFonts w:ascii="Arial" w:hAnsi="Arial" w:cs="Arial"/>
          <w:sz w:val="22"/>
          <w:szCs w:val="22"/>
          <w:lang w:val="es-PE"/>
        </w:rPr>
      </w:pPr>
    </w:p>
    <w:p w14:paraId="6E4DD655" w14:textId="1D36B8B2" w:rsidR="00112EDE" w:rsidRDefault="00112EDE" w:rsidP="00112EDE">
      <w:pPr>
        <w:jc w:val="both"/>
        <w:rPr>
          <w:rFonts w:ascii="Arial" w:hAnsi="Arial" w:cs="Arial"/>
          <w:sz w:val="22"/>
          <w:szCs w:val="22"/>
          <w:lang w:val="es-PE"/>
        </w:rPr>
      </w:pPr>
      <w:r>
        <w:rPr>
          <w:rFonts w:ascii="Arial" w:hAnsi="Arial" w:cs="Arial"/>
          <w:sz w:val="22"/>
          <w:szCs w:val="22"/>
          <w:lang w:val="es-PE"/>
        </w:rPr>
        <w:t xml:space="preserve">En exe contexto, </w:t>
      </w:r>
      <w:r>
        <w:rPr>
          <w:rFonts w:ascii="Arial" w:hAnsi="Arial" w:cs="Arial"/>
          <w:sz w:val="22"/>
          <w:szCs w:val="22"/>
          <w:lang w:val="es-PE"/>
        </w:rPr>
        <w:fldChar w:fldCharType="begin" w:fldLock="1"/>
      </w:r>
      <w:r>
        <w:rPr>
          <w:rFonts w:ascii="Arial" w:hAnsi="Arial" w:cs="Arial"/>
          <w:sz w:val="22"/>
          <w:szCs w:val="22"/>
          <w:lang w:val="es-PE"/>
        </w:rPr>
        <w:instrText>ADDIN CSL_CITATION {"citationItems":[{"id":"ITEM-1","itemData":{"DOI":"https://doi.org/10.53942/srjcidi.v4i8.232","ISBN":"2024131042","author":[{"dropping-particle":"","family":"Ponce-Llanco","given":"Flor De Maria","non-dropping-particle":"","parse-names":false,"suffix":""},{"dropping-particle":"","family":"Quispe-Aponte","given":"Wilmer Pablo","non-dropping-particle":"","parse-names":false,"suffix":""},{"dropping-particle":"","family":"Ortiz-Taipe","given":"Marcelino","non-dropping-particle":"","parse-names":false,"suffix":""},{"dropping-particle":"","family":"Pérez-Ccama","given":"Roel","non-dropping-particle":"","parse-names":false,"suffix":""},{"dropping-particle":"","family":"Ñahuincopa-Taipe","given":"Juana","non-dropping-particle":"","parse-names":false,"suffix":""}],"container-title":"Scientific Research Journal2","id":"ITEM-1","issued":{"date-parts":[["2024"]]},"page":"111-126","title":"Minería con Conciencia: Sostenible y Responsabilidad Social","type":"article-journal","volume":"4"},"uris":["http://www.mendeley.com/documents/?uuid=8b267d24-9906-4fc9-a059-af9f3dd0b275"]}],"mendeley":{"formattedCitation":"(Ponce-Llanco et al., 2024)","manualFormatting":"Ponce-Llanco et al. (2024)","plainTextFormattedCitation":"(Ponce-Llanco et al., 2024)","previouslyFormattedCitation":"(Ponce-Llanco et al., 2024)"},"properties":{"noteIndex":0},"schema":"https://github.com/citation-style-language/schema/raw/master/csl-citation.json"}</w:instrText>
      </w:r>
      <w:r>
        <w:rPr>
          <w:rFonts w:ascii="Arial" w:hAnsi="Arial" w:cs="Arial"/>
          <w:sz w:val="22"/>
          <w:szCs w:val="22"/>
          <w:lang w:val="es-PE"/>
        </w:rPr>
        <w:fldChar w:fldCharType="separate"/>
      </w:r>
      <w:r w:rsidRPr="00112EDE">
        <w:rPr>
          <w:rFonts w:ascii="Arial" w:hAnsi="Arial" w:cs="Arial"/>
          <w:noProof/>
          <w:sz w:val="22"/>
          <w:szCs w:val="22"/>
          <w:lang w:val="es-PE"/>
        </w:rPr>
        <w:t>Ponce-Llanco et al.</w:t>
      </w:r>
      <w:r>
        <w:rPr>
          <w:rFonts w:ascii="Arial" w:hAnsi="Arial" w:cs="Arial"/>
          <w:noProof/>
          <w:sz w:val="22"/>
          <w:szCs w:val="22"/>
          <w:lang w:val="es-PE"/>
        </w:rPr>
        <w:t xml:space="preserve"> (</w:t>
      </w:r>
      <w:r w:rsidRPr="00112EDE">
        <w:rPr>
          <w:rFonts w:ascii="Arial" w:hAnsi="Arial" w:cs="Arial"/>
          <w:noProof/>
          <w:sz w:val="22"/>
          <w:szCs w:val="22"/>
          <w:lang w:val="es-PE"/>
        </w:rPr>
        <w:t>2024)</w:t>
      </w:r>
      <w:r>
        <w:rPr>
          <w:rFonts w:ascii="Arial" w:hAnsi="Arial" w:cs="Arial"/>
          <w:sz w:val="22"/>
          <w:szCs w:val="22"/>
          <w:lang w:val="es-PE"/>
        </w:rPr>
        <w:fldChar w:fldCharType="end"/>
      </w:r>
      <w:r>
        <w:rPr>
          <w:rFonts w:ascii="Arial" w:hAnsi="Arial" w:cs="Arial"/>
          <w:sz w:val="22"/>
          <w:szCs w:val="22"/>
          <w:lang w:val="es-PE"/>
        </w:rPr>
        <w:t xml:space="preserve"> </w:t>
      </w:r>
      <w:r w:rsidRPr="00112EDE">
        <w:rPr>
          <w:rFonts w:ascii="Arial" w:hAnsi="Arial" w:cs="Arial"/>
          <w:sz w:val="22"/>
          <w:szCs w:val="22"/>
          <w:lang w:val="es-PE"/>
        </w:rPr>
        <w:t>sostiene</w:t>
      </w:r>
      <w:r>
        <w:rPr>
          <w:rFonts w:ascii="Arial" w:hAnsi="Arial" w:cs="Arial"/>
          <w:sz w:val="22"/>
          <w:szCs w:val="22"/>
          <w:lang w:val="es-PE"/>
        </w:rPr>
        <w:t>n</w:t>
      </w:r>
      <w:r w:rsidRPr="00112EDE">
        <w:rPr>
          <w:rFonts w:ascii="Arial" w:hAnsi="Arial" w:cs="Arial"/>
          <w:sz w:val="22"/>
          <w:szCs w:val="22"/>
          <w:lang w:val="es-PE"/>
        </w:rPr>
        <w:t xml:space="preserve"> que la educación es una estrategia fundamental para fortalecer la sostenibilidad y la licencia social en las zonas mineras, ya que permite la construcción de capacidades locales y la participación informada de las comunidades. A través de procesos educativos contextualizados y participativos, las poblaciones pueden comprender </w:t>
      </w:r>
      <w:r w:rsidRPr="00112EDE">
        <w:rPr>
          <w:rFonts w:ascii="Arial" w:hAnsi="Arial" w:cs="Arial"/>
          <w:sz w:val="22"/>
          <w:szCs w:val="22"/>
          <w:lang w:val="es-PE"/>
        </w:rPr>
        <w:t xml:space="preserve">mejor los impactos sociales, económicos y ambientales de la minería, favoreciendo un diálogo abierto y constructivo con las empresas y autoridades. Esta comprensión contribuye a superar enfoques tradicionales que se limitan a la compensación económica, promoviendo en cambio modelos integrales que respetan la diversidad cultural y buscan el desarrollo equitativo y resiliente de los territorios. Además, la educación facilita la </w:t>
      </w:r>
      <w:proofErr w:type="spellStart"/>
      <w:r w:rsidRPr="00112EDE">
        <w:rPr>
          <w:rFonts w:ascii="Arial" w:hAnsi="Arial" w:cs="Arial"/>
          <w:sz w:val="22"/>
          <w:szCs w:val="22"/>
          <w:lang w:val="es-PE"/>
        </w:rPr>
        <w:t>co-creación</w:t>
      </w:r>
      <w:proofErr w:type="spellEnd"/>
      <w:r w:rsidRPr="00112EDE">
        <w:rPr>
          <w:rFonts w:ascii="Arial" w:hAnsi="Arial" w:cs="Arial"/>
          <w:sz w:val="22"/>
          <w:szCs w:val="22"/>
          <w:lang w:val="es-PE"/>
        </w:rPr>
        <w:t xml:space="preserve"> de valor, permitiendo que las comunidades sean actores activos en la toma de decisiones y en la gestión sostenible de los recursos, lo que favorece la legitimidad y aceptación social del sector minero, elementos clave para su permanencia y éxito a largo plazo</w:t>
      </w:r>
      <w:r>
        <w:rPr>
          <w:rFonts w:ascii="Arial" w:hAnsi="Arial" w:cs="Arial"/>
          <w:sz w:val="22"/>
          <w:szCs w:val="22"/>
          <w:lang w:val="es-PE"/>
        </w:rPr>
        <w:t>.</w:t>
      </w:r>
    </w:p>
    <w:p w14:paraId="0F7492A0" w14:textId="77777777" w:rsidR="00112EDE" w:rsidRDefault="00112EDE" w:rsidP="00112EDE">
      <w:pPr>
        <w:jc w:val="both"/>
        <w:rPr>
          <w:rFonts w:ascii="Arial" w:hAnsi="Arial" w:cs="Arial"/>
          <w:sz w:val="22"/>
          <w:szCs w:val="22"/>
          <w:lang w:val="es-PE"/>
        </w:rPr>
      </w:pPr>
    </w:p>
    <w:p w14:paraId="0B3E778F" w14:textId="655DBC4D" w:rsidR="00112EDE" w:rsidRPr="00112EDE" w:rsidRDefault="00112EDE" w:rsidP="00112EDE">
      <w:pPr>
        <w:jc w:val="both"/>
        <w:rPr>
          <w:rFonts w:ascii="Arial" w:hAnsi="Arial" w:cs="Arial"/>
          <w:sz w:val="22"/>
          <w:szCs w:val="22"/>
          <w:lang w:val="es-PE"/>
        </w:rPr>
      </w:pPr>
      <w:r>
        <w:rPr>
          <w:rFonts w:ascii="Arial" w:hAnsi="Arial" w:cs="Arial"/>
          <w:sz w:val="22"/>
          <w:szCs w:val="22"/>
          <w:lang w:val="es-PE"/>
        </w:rPr>
        <w:t xml:space="preserve">Así mismo, </w:t>
      </w:r>
      <w:r>
        <w:rPr>
          <w:rFonts w:ascii="Arial" w:hAnsi="Arial" w:cs="Arial"/>
          <w:sz w:val="22"/>
          <w:szCs w:val="22"/>
          <w:lang w:val="es-PE"/>
        </w:rPr>
        <w:fldChar w:fldCharType="begin" w:fldLock="1"/>
      </w:r>
      <w:r>
        <w:rPr>
          <w:rFonts w:ascii="Arial" w:hAnsi="Arial" w:cs="Arial"/>
          <w:sz w:val="22"/>
          <w:szCs w:val="22"/>
          <w:lang w:val="es-PE"/>
        </w:rPr>
        <w:instrText>ADDIN CSL_CITATION {"citationItems":[{"id":"ITEM-1","itemData":{"DOI":"10.71018/eij.2024.07","ISBN":"2021008215","abstract":"Para alcanzar la meta mundial del Net Zero al 2050, se va a requerir minerales para las tecnologías de energías renovables; Perú es un importante país minero, sin embargo, en los últimos años se han afectado gravemente varios proyectos de inversión minera asociadas a una falta de voluntad política, trabas y excesos de permisos impuestas por el gobierno, los conflictos socio ambientales y otros. El objetivo es proponer una estrategia de promoción de inversiones mineras y la sostenibilidad del sector minero peruano; como materiales y método, se basa en consolidar las lecciones aprendidas ejecutadas (1990 - 2023); y como resultado, se presenta la estrategia de promoción de inversiones en minería junto al índice de sostenibilidad del sector minero (issm) con valoración de 62% al cierre del 2023 (calificación media y decreciente), dando lugar a conclusiones y recomendaciones para aprovechar las fortalezas y oportunidades de mayor precio internacional y demanda de minerales que el mundo va a requerir en los próximos años para impulsar las energías limpias y renovables, retomando la promoción de inversiones mineras y la sostenibilidad del sector minero peruano, con una participación proactiva del estado y los actores involucrados.","author":[{"dropping-particle":"","family":"Pineda Terreros","given":"José Armando","non-dropping-particle":"","parse-names":false,"suffix":""}],"container-title":"Earth Institute","id":"ITEM-1","issue":"1","issued":{"date-parts":[["2024"]]},"page":"52-74","title":"Estrategia de promoción de inversiones mineras y la sostenibilidad del sector minero, Perú - 2024","type":"article-journal","volume":"1"},"uris":["http://www.mendeley.com/documents/?uuid=659a9bce-d54f-4a40-9ccf-5420e66de0a4"]}],"mendeley":{"formattedCitation":"(Pineda Terreros, 2024)","manualFormatting":"Pineda (2024)","plainTextFormattedCitation":"(Pineda Terreros, 2024)"},"properties":{"noteIndex":0},"schema":"https://github.com/citation-style-language/schema/raw/master/csl-citation.json"}</w:instrText>
      </w:r>
      <w:r>
        <w:rPr>
          <w:rFonts w:ascii="Arial" w:hAnsi="Arial" w:cs="Arial"/>
          <w:sz w:val="22"/>
          <w:szCs w:val="22"/>
          <w:lang w:val="es-PE"/>
        </w:rPr>
        <w:fldChar w:fldCharType="separate"/>
      </w:r>
      <w:r w:rsidRPr="00112EDE">
        <w:rPr>
          <w:rFonts w:ascii="Arial" w:hAnsi="Arial" w:cs="Arial"/>
          <w:noProof/>
          <w:sz w:val="22"/>
          <w:szCs w:val="22"/>
          <w:lang w:val="es-PE"/>
        </w:rPr>
        <w:t xml:space="preserve">Pineda </w:t>
      </w:r>
      <w:r>
        <w:rPr>
          <w:rFonts w:ascii="Arial" w:hAnsi="Arial" w:cs="Arial"/>
          <w:noProof/>
          <w:sz w:val="22"/>
          <w:szCs w:val="22"/>
          <w:lang w:val="es-PE"/>
        </w:rPr>
        <w:t>(</w:t>
      </w:r>
      <w:r w:rsidRPr="00112EDE">
        <w:rPr>
          <w:rFonts w:ascii="Arial" w:hAnsi="Arial" w:cs="Arial"/>
          <w:noProof/>
          <w:sz w:val="22"/>
          <w:szCs w:val="22"/>
          <w:lang w:val="es-PE"/>
        </w:rPr>
        <w:t>2024)</w:t>
      </w:r>
      <w:r>
        <w:rPr>
          <w:rFonts w:ascii="Arial" w:hAnsi="Arial" w:cs="Arial"/>
          <w:sz w:val="22"/>
          <w:szCs w:val="22"/>
          <w:lang w:val="es-PE"/>
        </w:rPr>
        <w:fldChar w:fldCharType="end"/>
      </w:r>
      <w:r>
        <w:rPr>
          <w:rFonts w:ascii="Arial" w:hAnsi="Arial" w:cs="Arial"/>
          <w:sz w:val="22"/>
          <w:szCs w:val="22"/>
          <w:lang w:val="es-PE"/>
        </w:rPr>
        <w:t xml:space="preserve"> evidencia </w:t>
      </w:r>
      <w:r w:rsidRPr="00112EDE">
        <w:rPr>
          <w:rFonts w:ascii="Arial" w:hAnsi="Arial" w:cs="Arial"/>
          <w:sz w:val="22"/>
          <w:szCs w:val="22"/>
          <w:lang w:val="es-PE"/>
        </w:rPr>
        <w:t>que la educación es un pilar fundamental para fortalecer la sostenibilidad y la licencia social en las zonas mineras. Destaca que la Minería Climáticamente Inteligente y las políticas de sostenibilidad implementadas en Perú requieren no sólo regulaciones, sino también procesos de aprendizaje y construcción colectiva de conocimientos entre los diversos actores involucrados, incluyendo comunidades, empresas y gobiernos</w:t>
      </w:r>
      <w:r>
        <w:rPr>
          <w:rFonts w:ascii="Arial" w:hAnsi="Arial" w:cs="Arial"/>
          <w:sz w:val="22"/>
          <w:szCs w:val="22"/>
          <w:lang w:val="es-PE"/>
        </w:rPr>
        <w:t xml:space="preserve">. </w:t>
      </w:r>
      <w:r w:rsidRPr="00112EDE">
        <w:rPr>
          <w:rFonts w:ascii="Arial" w:hAnsi="Arial" w:cs="Arial"/>
          <w:sz w:val="22"/>
          <w:szCs w:val="22"/>
          <w:lang w:val="es-PE"/>
        </w:rPr>
        <w:t xml:space="preserve">La experiencia territorial y el diálogo multisectorial, como el caso de la mesa de diálogo de </w:t>
      </w:r>
      <w:proofErr w:type="spellStart"/>
      <w:r w:rsidRPr="00112EDE">
        <w:rPr>
          <w:rFonts w:ascii="Arial" w:hAnsi="Arial" w:cs="Arial"/>
          <w:sz w:val="22"/>
          <w:szCs w:val="22"/>
          <w:lang w:val="es-PE"/>
        </w:rPr>
        <w:t>Quellaveco</w:t>
      </w:r>
      <w:proofErr w:type="spellEnd"/>
      <w:r w:rsidRPr="00112EDE">
        <w:rPr>
          <w:rFonts w:ascii="Arial" w:hAnsi="Arial" w:cs="Arial"/>
          <w:sz w:val="22"/>
          <w:szCs w:val="22"/>
          <w:lang w:val="es-PE"/>
        </w:rPr>
        <w:t>, marcan un cambio de paradigma en la regulación socioambiental minera, desplazándose hacia perspectivas inclusivas que integran múltiples visiones. Además, el artículo resalta la importancia de aprovechar lecciones aprendidas y promover estrategias educativas que faciliten la participación informada de las comunidades y refuercen la gobernanza, contribuyendo a la gestión responsable y sostenible del medio ambiente y aspectos sociales en el sector minero</w:t>
      </w:r>
      <w:r>
        <w:rPr>
          <w:rFonts w:ascii="Arial" w:hAnsi="Arial" w:cs="Arial"/>
          <w:sz w:val="22"/>
          <w:szCs w:val="22"/>
          <w:lang w:val="es-PE"/>
        </w:rPr>
        <w:t xml:space="preserve">. </w:t>
      </w:r>
      <w:r w:rsidRPr="00112EDE">
        <w:rPr>
          <w:rFonts w:ascii="Arial" w:hAnsi="Arial" w:cs="Arial"/>
          <w:sz w:val="22"/>
          <w:szCs w:val="22"/>
          <w:lang w:val="es-PE"/>
        </w:rPr>
        <w:t>Así, la educación se presenta como una herramienta estratégica para afrontar conflictos, mejorar el diálogo y asegurar la sostenibilidad integral del sector.</w:t>
      </w:r>
    </w:p>
    <w:p w14:paraId="18187367" w14:textId="77777777" w:rsidR="00BE1453" w:rsidRDefault="00BE1453" w:rsidP="00BE1453">
      <w:pPr>
        <w:jc w:val="both"/>
        <w:rPr>
          <w:rFonts w:ascii="Arial" w:hAnsi="Arial" w:cs="Arial"/>
          <w:sz w:val="22"/>
          <w:szCs w:val="22"/>
          <w:lang w:val="es-PE"/>
        </w:rPr>
      </w:pPr>
    </w:p>
    <w:p w14:paraId="52BDBDF2" w14:textId="1729056E" w:rsidR="000270E6" w:rsidRPr="000270E6" w:rsidRDefault="00BE1453" w:rsidP="00BE1453">
      <w:pPr>
        <w:jc w:val="both"/>
        <w:rPr>
          <w:rFonts w:ascii="Arial" w:hAnsi="Arial" w:cs="Arial"/>
          <w:sz w:val="22"/>
          <w:szCs w:val="22"/>
          <w:lang w:val="es-PE"/>
        </w:rPr>
      </w:pPr>
      <w:r w:rsidRPr="00BE1453">
        <w:rPr>
          <w:rFonts w:ascii="Arial" w:hAnsi="Arial" w:cs="Arial"/>
          <w:sz w:val="22"/>
          <w:szCs w:val="22"/>
          <w:lang w:val="es-PE"/>
        </w:rPr>
        <w:t>Ante esta realidad, el presente estudio reconoce la importancia de la educación en valores éticos y sostenibilidad como herramienta estratégica para construir confianza social, promover una ciudadanía informada y fortalecer la licencia social en zonas mineras. Las variables centrales del estudio</w:t>
      </w:r>
      <w:r>
        <w:rPr>
          <w:rFonts w:ascii="Arial" w:hAnsi="Arial" w:cs="Arial"/>
          <w:sz w:val="22"/>
          <w:szCs w:val="22"/>
          <w:lang w:val="es-PE"/>
        </w:rPr>
        <w:t xml:space="preserve">, </w:t>
      </w:r>
      <w:r w:rsidRPr="00BE1453">
        <w:rPr>
          <w:rFonts w:ascii="Arial" w:hAnsi="Arial" w:cs="Arial"/>
          <w:sz w:val="22"/>
          <w:szCs w:val="22"/>
          <w:lang w:val="es-PE"/>
        </w:rPr>
        <w:t>educación en valores, sostenibilidad y licencia social</w:t>
      </w:r>
      <w:r>
        <w:rPr>
          <w:rFonts w:ascii="Arial" w:hAnsi="Arial" w:cs="Arial"/>
          <w:sz w:val="22"/>
          <w:szCs w:val="22"/>
          <w:lang w:val="es-PE"/>
        </w:rPr>
        <w:t xml:space="preserve">, </w:t>
      </w:r>
      <w:r w:rsidRPr="00BE1453">
        <w:rPr>
          <w:rFonts w:ascii="Arial" w:hAnsi="Arial" w:cs="Arial"/>
          <w:sz w:val="22"/>
          <w:szCs w:val="22"/>
          <w:lang w:val="es-PE"/>
        </w:rPr>
        <w:t xml:space="preserve">adquieren especial relevancia en el Perú actual, donde se requiere formar ciudadanos críticos, comprometidos con su entorno, capaces de evaluar de manera justa la actividad minera y participar activamente en la gobernanza local. En ese sentido, el estudio se centra en estudiantes de secundaria como agentes de cambio y futuros líderes comunitarios, apostando por una </w:t>
      </w:r>
      <w:r w:rsidRPr="00BE1453">
        <w:rPr>
          <w:rFonts w:ascii="Arial" w:hAnsi="Arial" w:cs="Arial"/>
          <w:sz w:val="22"/>
          <w:szCs w:val="22"/>
          <w:lang w:val="es-PE"/>
        </w:rPr>
        <w:lastRenderedPageBreak/>
        <w:t>intervención educativa que contribuya a transformar la percepción sobre la minería desde una perspectiva ética y sostenible.</w:t>
      </w:r>
      <w:r w:rsidR="00460D0B" w:rsidRPr="000270E6">
        <w:rPr>
          <w:rFonts w:ascii="Arial" w:hAnsi="Arial" w:cs="Arial"/>
          <w:sz w:val="22"/>
          <w:szCs w:val="22"/>
          <w:lang w:val="es-PE"/>
        </w:rPr>
        <w:t xml:space="preserve"> </w:t>
      </w:r>
    </w:p>
    <w:p w14:paraId="542CD30A" w14:textId="0C1E87F8" w:rsidR="004B4C0C" w:rsidRPr="000270E6" w:rsidRDefault="004B4C0C" w:rsidP="004B4C0C">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74C51E73" w14:textId="5BD32206" w:rsidR="00CE075D" w:rsidRPr="000270E6" w:rsidRDefault="00497A33" w:rsidP="00751F0F">
      <w:pPr>
        <w:ind w:firstLine="142"/>
        <w:jc w:val="both"/>
        <w:rPr>
          <w:rFonts w:ascii="Arial" w:hAnsi="Arial" w:cs="Arial"/>
          <w:bCs/>
          <w:sz w:val="22"/>
          <w:szCs w:val="22"/>
          <w:lang w:val="es-PE"/>
        </w:rPr>
      </w:pPr>
      <w:r w:rsidRPr="00497A33">
        <w:rPr>
          <w:rFonts w:ascii="Arial" w:hAnsi="Arial" w:cs="Arial"/>
          <w:bCs/>
          <w:sz w:val="22"/>
          <w:szCs w:val="22"/>
          <w:lang w:val="es-PE"/>
        </w:rPr>
        <w:t>El objetivo general de este estudio fue explorar el impacto de la educación en valores y principios éticos en estudiantes de 4to y 5to de secundaria de instituciones educativas ubicadas en zonas mineras de Arequipa, con énfasis en su comprensión y percepción sobre la sostenibilidad y la licencia social frente a la actividad minera. Para alcanzar este propósito, se plantearon varios objetivos específicos: en primer lugar, evaluar cómo la enseñanza de valores y ética influye en la percepción de los estudiantes sobre las prácticas mineras responsables y el desarrollo sostenible; en segundo lugar, identificar el nivel de conocimiento que poseen los estudiantes respecto a los impactos sociales y ambientales derivados de la minería; en tercer lugar, analizar sus actitudes hacia las empresas mineras y su rol en las comunidades, considerando el potencial transformador de la educación; y finalmente, proponer estrategias educativas orientadas a fortalecer la conciencia ética y la comprensión de la sostenibilidad en las futuras generaciones que habitan en contextos de actividad extractiva.</w:t>
      </w:r>
      <w:r w:rsidR="00CE075D" w:rsidRPr="000270E6">
        <w:rPr>
          <w:rFonts w:ascii="Arial" w:hAnsi="Arial" w:cs="Arial"/>
          <w:bCs/>
          <w:sz w:val="22"/>
          <w:szCs w:val="22"/>
          <w:lang w:val="es-PE"/>
        </w:rPr>
        <w:t>.</w:t>
      </w:r>
    </w:p>
    <w:p w14:paraId="4C9C5BF1" w14:textId="77777777" w:rsidR="00E70586" w:rsidRPr="000270E6" w:rsidRDefault="00E70586" w:rsidP="00751F0F">
      <w:pPr>
        <w:ind w:firstLine="142"/>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11D29942" w14:textId="77777777" w:rsidR="002C76C4" w:rsidRPr="002C76C4" w:rsidRDefault="002C76C4" w:rsidP="002C76C4">
      <w:pPr>
        <w:jc w:val="both"/>
        <w:rPr>
          <w:rFonts w:ascii="Arial" w:hAnsi="Arial" w:cs="Arial"/>
          <w:bCs/>
          <w:sz w:val="22"/>
          <w:szCs w:val="22"/>
          <w:lang w:val="es-PE"/>
        </w:rPr>
      </w:pPr>
      <w:r w:rsidRPr="002C76C4">
        <w:rPr>
          <w:rFonts w:ascii="Arial" w:hAnsi="Arial" w:cs="Arial"/>
          <w:bCs/>
          <w:sz w:val="22"/>
          <w:szCs w:val="22"/>
          <w:lang w:val="es-PE"/>
        </w:rPr>
        <w:t>El desarrollo del estudio se basó en un enfoque metodológico mixto, que integró técnicas cualitativas y cuantitativas para obtener una visión integral sobre la percepción estudiantil respecto a la minería, la sostenibilidad y los valores éticos. La recopilación de datos se llevó a cabo en instituciones educativas de nivel secundario ubicadas en zonas mineras de la región Arequipa, con la participación de estudiantes de 4to y 5to de secundaria, así como docentes, directivos y expertos en sostenibilidad y educación ética.</w:t>
      </w:r>
    </w:p>
    <w:p w14:paraId="574E20D6" w14:textId="77777777" w:rsidR="002C76C4" w:rsidRPr="002C76C4" w:rsidRDefault="002C76C4" w:rsidP="002C76C4">
      <w:pPr>
        <w:jc w:val="both"/>
        <w:rPr>
          <w:rFonts w:ascii="Arial" w:hAnsi="Arial" w:cs="Arial"/>
          <w:bCs/>
          <w:sz w:val="22"/>
          <w:szCs w:val="22"/>
          <w:lang w:val="es-PE"/>
        </w:rPr>
      </w:pPr>
    </w:p>
    <w:p w14:paraId="6B4EA3DB" w14:textId="77777777" w:rsidR="002C76C4" w:rsidRPr="002C76C4" w:rsidRDefault="002C76C4" w:rsidP="002C76C4">
      <w:pPr>
        <w:jc w:val="both"/>
        <w:rPr>
          <w:rFonts w:ascii="Arial" w:hAnsi="Arial" w:cs="Arial"/>
          <w:bCs/>
          <w:sz w:val="22"/>
          <w:szCs w:val="22"/>
          <w:lang w:val="es-PE"/>
        </w:rPr>
      </w:pPr>
      <w:r w:rsidRPr="002C76C4">
        <w:rPr>
          <w:rFonts w:ascii="Arial" w:hAnsi="Arial" w:cs="Arial"/>
          <w:bCs/>
          <w:sz w:val="22"/>
          <w:szCs w:val="22"/>
          <w:lang w:val="es-PE"/>
        </w:rPr>
        <w:t>En la fase cualitativa, se realizaron entrevistas semiestructuradas a docentes y especialistas, enfocadas en conocer sus experiencias y perspectivas sobre la enseñanza de valores vinculados al contexto minero. Además, se organizaron grupos focales con estudiantes, con el objetivo de explorar sus percepciones, creencias y actitudes hacia las actividades mineras y su relación con el entorno social y ambiental.</w:t>
      </w:r>
    </w:p>
    <w:p w14:paraId="31D62A97" w14:textId="77777777" w:rsidR="002C76C4" w:rsidRPr="002C76C4" w:rsidRDefault="002C76C4" w:rsidP="002C76C4">
      <w:pPr>
        <w:jc w:val="both"/>
        <w:rPr>
          <w:rFonts w:ascii="Arial" w:hAnsi="Arial" w:cs="Arial"/>
          <w:bCs/>
          <w:sz w:val="22"/>
          <w:szCs w:val="22"/>
          <w:lang w:val="es-PE"/>
        </w:rPr>
      </w:pPr>
      <w:r w:rsidRPr="002C76C4">
        <w:rPr>
          <w:rFonts w:ascii="Arial" w:hAnsi="Arial" w:cs="Arial"/>
          <w:bCs/>
          <w:sz w:val="22"/>
          <w:szCs w:val="22"/>
          <w:lang w:val="es-PE"/>
        </w:rPr>
        <w:t xml:space="preserve">Simultáneamente, la fase cuantitativa consistió en la aplicación de encuestas estructuradas a una muestra representativa de estudiantes. Estas encuestas permitieron medir su nivel de </w:t>
      </w:r>
      <w:r w:rsidRPr="002C76C4">
        <w:rPr>
          <w:rFonts w:ascii="Arial" w:hAnsi="Arial" w:cs="Arial"/>
          <w:bCs/>
          <w:sz w:val="22"/>
          <w:szCs w:val="22"/>
          <w:lang w:val="es-PE"/>
        </w:rPr>
        <w:t>conocimiento sobre los impactos de la minería, su comprensión de conceptos como sostenibilidad y ética, así como sus actitudes frente a las empresas mineras. Adicionalmente, se realizó un análisis documental de los programas educativos y materiales escolares, con el fin de identificar en qué medida los contenidos curriculares abordan temas vinculados a sostenibilidad, responsabilidad social y ética en contextos mineros.</w:t>
      </w:r>
    </w:p>
    <w:p w14:paraId="002C9EF4" w14:textId="77777777" w:rsidR="002C76C4" w:rsidRPr="002C76C4" w:rsidRDefault="002C76C4" w:rsidP="002C76C4">
      <w:pPr>
        <w:jc w:val="both"/>
        <w:rPr>
          <w:rFonts w:ascii="Arial" w:hAnsi="Arial" w:cs="Arial"/>
          <w:bCs/>
          <w:sz w:val="22"/>
          <w:szCs w:val="22"/>
          <w:lang w:val="es-PE"/>
        </w:rPr>
      </w:pPr>
    </w:p>
    <w:p w14:paraId="6E5EC68A" w14:textId="1EBFE3B3" w:rsidR="00445BC3" w:rsidRPr="000270E6" w:rsidRDefault="002C76C4" w:rsidP="002C76C4">
      <w:pPr>
        <w:jc w:val="both"/>
        <w:rPr>
          <w:rFonts w:ascii="Arial" w:hAnsi="Arial" w:cs="Arial"/>
          <w:bCs/>
          <w:sz w:val="22"/>
          <w:szCs w:val="22"/>
          <w:lang w:val="es-PE"/>
        </w:rPr>
      </w:pPr>
      <w:r w:rsidRPr="002C76C4">
        <w:rPr>
          <w:rFonts w:ascii="Arial" w:hAnsi="Arial" w:cs="Arial"/>
          <w:bCs/>
          <w:sz w:val="22"/>
          <w:szCs w:val="22"/>
          <w:lang w:val="es-PE"/>
        </w:rPr>
        <w:t>La triangulación de datos permitió enriquecer el análisis, contrastando las percepciones de los distintos actores involucrados. Este proceso facilitó la identificación de brechas en la formación ética de los estudiantes y la necesidad de estrategias pedagógicas innovadoras que integren la realidad minera local. Así, el estudio se consolidó como una propuesta educativa con fundamento empírico, orientada a fortalecer la conciencia social y ambiental de las futuras generaciones</w:t>
      </w:r>
      <w:r>
        <w:rPr>
          <w:rFonts w:ascii="Arial" w:hAnsi="Arial" w:cs="Arial"/>
          <w:bCs/>
          <w:sz w:val="22"/>
          <w:szCs w:val="22"/>
          <w:lang w:val="es-PE"/>
        </w:rPr>
        <w:t>.</w:t>
      </w:r>
    </w:p>
    <w:p w14:paraId="656F1500" w14:textId="77777777" w:rsidR="007D2A73" w:rsidRPr="000270E6" w:rsidRDefault="007D2A73" w:rsidP="007D2A73">
      <w:pPr>
        <w:ind w:firstLine="142"/>
        <w:jc w:val="both"/>
        <w:rPr>
          <w:rFonts w:ascii="Arial" w:hAnsi="Arial" w:cs="Arial"/>
          <w:bCs/>
          <w:sz w:val="22"/>
          <w:szCs w:val="22"/>
          <w:lang w:val="es-PE"/>
        </w:rPr>
      </w:pPr>
    </w:p>
    <w:p w14:paraId="71857D75" w14:textId="271D6741" w:rsidR="00E77D13" w:rsidRDefault="00E77D13" w:rsidP="00E77D13">
      <w:pPr>
        <w:jc w:val="both"/>
        <w:rPr>
          <w:rFonts w:ascii="Arial" w:hAnsi="Arial" w:cs="Arial"/>
          <w:b/>
          <w:bCs/>
          <w:color w:val="808080"/>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42695C3A" w14:textId="77777777" w:rsidR="00FA1F84" w:rsidRDefault="00FA1F84" w:rsidP="00E77D13">
      <w:pPr>
        <w:jc w:val="both"/>
        <w:rPr>
          <w:rFonts w:ascii="Arial" w:hAnsi="Arial" w:cs="Arial"/>
          <w:b/>
          <w:bCs/>
          <w:color w:val="808080"/>
          <w:sz w:val="22"/>
          <w:szCs w:val="22"/>
          <w:lang w:val="es-PE"/>
        </w:rPr>
      </w:pPr>
    </w:p>
    <w:p w14:paraId="351E8616" w14:textId="4790A580" w:rsidR="00FA1F84" w:rsidRPr="00FA1F84" w:rsidRDefault="00FA1F84" w:rsidP="00E77D13">
      <w:pPr>
        <w:jc w:val="both"/>
        <w:rPr>
          <w:rFonts w:ascii="Arial" w:hAnsi="Arial" w:cs="Arial"/>
          <w:i/>
          <w:iCs/>
          <w:sz w:val="22"/>
          <w:szCs w:val="22"/>
          <w:lang w:val="es-PE"/>
        </w:rPr>
      </w:pPr>
      <w:r w:rsidRPr="00FA1F84">
        <w:rPr>
          <w:rFonts w:ascii="Arial" w:hAnsi="Arial" w:cs="Arial"/>
          <w:b/>
          <w:bCs/>
          <w:sz w:val="22"/>
          <w:szCs w:val="22"/>
        </w:rPr>
        <w:t xml:space="preserve">Tabla 1. </w:t>
      </w:r>
      <w:r w:rsidRPr="00FA1F84">
        <w:rPr>
          <w:rFonts w:ascii="Arial" w:hAnsi="Arial" w:cs="Arial"/>
          <w:i/>
          <w:iCs/>
          <w:sz w:val="22"/>
          <w:szCs w:val="22"/>
          <w:lang w:val="es-PE"/>
        </w:rPr>
        <w:t>Frecuencia de conocimiento sobre sostenibilidad y minería</w:t>
      </w:r>
    </w:p>
    <w:tbl>
      <w:tblPr>
        <w:tblW w:w="5000" w:type="pct"/>
        <w:tblCellMar>
          <w:left w:w="70" w:type="dxa"/>
          <w:right w:w="70" w:type="dxa"/>
        </w:tblCellMar>
        <w:tblLook w:val="04A0" w:firstRow="1" w:lastRow="0" w:firstColumn="1" w:lastColumn="0" w:noHBand="0" w:noVBand="1"/>
      </w:tblPr>
      <w:tblGrid>
        <w:gridCol w:w="1710"/>
        <w:gridCol w:w="1640"/>
        <w:gridCol w:w="1636"/>
      </w:tblGrid>
      <w:tr w:rsidR="002C76C4" w:rsidRPr="002C76C4" w14:paraId="6D60AED8" w14:textId="77777777" w:rsidTr="00112EDE">
        <w:trPr>
          <w:trHeight w:val="895"/>
        </w:trPr>
        <w:tc>
          <w:tcPr>
            <w:tcW w:w="1714" w:type="pct"/>
            <w:tcBorders>
              <w:top w:val="single" w:sz="4" w:space="0" w:color="auto"/>
              <w:left w:val="nil"/>
              <w:bottom w:val="single" w:sz="4" w:space="0" w:color="auto"/>
              <w:right w:val="nil"/>
            </w:tcBorders>
            <w:shd w:val="clear" w:color="auto" w:fill="auto"/>
            <w:vAlign w:val="center"/>
            <w:hideMark/>
          </w:tcPr>
          <w:p w14:paraId="313D4692" w14:textId="77777777" w:rsidR="002C76C4" w:rsidRPr="002C76C4" w:rsidRDefault="002C76C4" w:rsidP="002C76C4">
            <w:pPr>
              <w:jc w:val="center"/>
              <w:rPr>
                <w:rFonts w:ascii="Arial" w:eastAsia="Times New Roman" w:hAnsi="Arial" w:cs="Arial"/>
                <w:b/>
                <w:bCs/>
                <w:color w:val="000000"/>
                <w:sz w:val="20"/>
                <w:szCs w:val="20"/>
                <w:lang w:val="es-PE" w:eastAsia="es-PE"/>
              </w:rPr>
            </w:pPr>
            <w:r w:rsidRPr="002C76C4">
              <w:rPr>
                <w:rFonts w:ascii="Arial" w:eastAsia="Times New Roman" w:hAnsi="Arial" w:cs="Arial"/>
                <w:b/>
                <w:bCs/>
                <w:color w:val="000000"/>
                <w:sz w:val="20"/>
                <w:szCs w:val="20"/>
                <w:lang w:val="es-PE" w:eastAsia="es-PE"/>
              </w:rPr>
              <w:t>Nivel de conocimiento</w:t>
            </w:r>
          </w:p>
        </w:tc>
        <w:tc>
          <w:tcPr>
            <w:tcW w:w="1645" w:type="pct"/>
            <w:tcBorders>
              <w:top w:val="single" w:sz="4" w:space="0" w:color="auto"/>
              <w:left w:val="nil"/>
              <w:bottom w:val="single" w:sz="4" w:space="0" w:color="auto"/>
              <w:right w:val="nil"/>
            </w:tcBorders>
            <w:shd w:val="clear" w:color="auto" w:fill="auto"/>
            <w:vAlign w:val="center"/>
            <w:hideMark/>
          </w:tcPr>
          <w:p w14:paraId="16C90BE2" w14:textId="77777777" w:rsidR="002C76C4" w:rsidRPr="002C76C4" w:rsidRDefault="002C76C4" w:rsidP="002C76C4">
            <w:pPr>
              <w:jc w:val="center"/>
              <w:rPr>
                <w:rFonts w:ascii="Arial" w:eastAsia="Times New Roman" w:hAnsi="Arial" w:cs="Arial"/>
                <w:b/>
                <w:bCs/>
                <w:color w:val="000000"/>
                <w:sz w:val="20"/>
                <w:szCs w:val="20"/>
                <w:lang w:val="es-PE" w:eastAsia="es-PE"/>
              </w:rPr>
            </w:pPr>
            <w:r w:rsidRPr="002C76C4">
              <w:rPr>
                <w:rFonts w:ascii="Arial" w:eastAsia="Times New Roman" w:hAnsi="Arial" w:cs="Arial"/>
                <w:b/>
                <w:bCs/>
                <w:color w:val="000000"/>
                <w:sz w:val="20"/>
                <w:szCs w:val="20"/>
                <w:lang w:val="es-PE" w:eastAsia="es-PE"/>
              </w:rPr>
              <w:t>Frecuencia</w:t>
            </w:r>
          </w:p>
        </w:tc>
        <w:tc>
          <w:tcPr>
            <w:tcW w:w="1642" w:type="pct"/>
            <w:tcBorders>
              <w:top w:val="single" w:sz="4" w:space="0" w:color="auto"/>
              <w:left w:val="nil"/>
              <w:bottom w:val="single" w:sz="4" w:space="0" w:color="auto"/>
              <w:right w:val="nil"/>
            </w:tcBorders>
            <w:shd w:val="clear" w:color="auto" w:fill="auto"/>
            <w:vAlign w:val="center"/>
            <w:hideMark/>
          </w:tcPr>
          <w:p w14:paraId="39D9A376" w14:textId="77777777" w:rsidR="002C76C4" w:rsidRPr="002C76C4" w:rsidRDefault="002C76C4" w:rsidP="002C76C4">
            <w:pPr>
              <w:jc w:val="center"/>
              <w:rPr>
                <w:rFonts w:ascii="Arial" w:eastAsia="Times New Roman" w:hAnsi="Arial" w:cs="Arial"/>
                <w:b/>
                <w:bCs/>
                <w:color w:val="000000"/>
                <w:sz w:val="20"/>
                <w:szCs w:val="20"/>
                <w:lang w:val="es-PE" w:eastAsia="es-PE"/>
              </w:rPr>
            </w:pPr>
            <w:r w:rsidRPr="002C76C4">
              <w:rPr>
                <w:rFonts w:ascii="Arial" w:eastAsia="Times New Roman" w:hAnsi="Arial" w:cs="Arial"/>
                <w:b/>
                <w:bCs/>
                <w:color w:val="000000"/>
                <w:sz w:val="20"/>
                <w:szCs w:val="20"/>
                <w:lang w:val="es-PE" w:eastAsia="es-PE"/>
              </w:rPr>
              <w:t>Porcentaje (%)</w:t>
            </w:r>
          </w:p>
        </w:tc>
      </w:tr>
      <w:tr w:rsidR="002C76C4" w:rsidRPr="002C76C4" w14:paraId="3D7BC456" w14:textId="77777777" w:rsidTr="00112EDE">
        <w:trPr>
          <w:trHeight w:val="422"/>
        </w:trPr>
        <w:tc>
          <w:tcPr>
            <w:tcW w:w="1714" w:type="pct"/>
            <w:tcBorders>
              <w:top w:val="nil"/>
              <w:left w:val="nil"/>
              <w:bottom w:val="nil"/>
              <w:right w:val="nil"/>
            </w:tcBorders>
            <w:shd w:val="clear" w:color="auto" w:fill="auto"/>
            <w:noWrap/>
            <w:vAlign w:val="bottom"/>
            <w:hideMark/>
          </w:tcPr>
          <w:p w14:paraId="31209186" w14:textId="77777777" w:rsidR="002C76C4" w:rsidRPr="002C76C4" w:rsidRDefault="002C76C4" w:rsidP="002C76C4">
            <w:pP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Bajo</w:t>
            </w:r>
          </w:p>
        </w:tc>
        <w:tc>
          <w:tcPr>
            <w:tcW w:w="1645" w:type="pct"/>
            <w:tcBorders>
              <w:top w:val="nil"/>
              <w:left w:val="nil"/>
              <w:bottom w:val="nil"/>
              <w:right w:val="nil"/>
            </w:tcBorders>
            <w:shd w:val="clear" w:color="auto" w:fill="auto"/>
            <w:noWrap/>
            <w:vAlign w:val="center"/>
            <w:hideMark/>
          </w:tcPr>
          <w:p w14:paraId="497BA1AA" w14:textId="77777777" w:rsidR="002C76C4" w:rsidRPr="002C76C4" w:rsidRDefault="002C76C4" w:rsidP="002C76C4">
            <w:pPr>
              <w:jc w:val="cente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65</w:t>
            </w:r>
          </w:p>
        </w:tc>
        <w:tc>
          <w:tcPr>
            <w:tcW w:w="1642" w:type="pct"/>
            <w:tcBorders>
              <w:top w:val="nil"/>
              <w:left w:val="nil"/>
              <w:bottom w:val="nil"/>
              <w:right w:val="nil"/>
            </w:tcBorders>
            <w:shd w:val="clear" w:color="auto" w:fill="auto"/>
            <w:noWrap/>
            <w:vAlign w:val="center"/>
            <w:hideMark/>
          </w:tcPr>
          <w:p w14:paraId="26F5C463" w14:textId="77777777" w:rsidR="002C76C4" w:rsidRPr="002C76C4" w:rsidRDefault="002C76C4" w:rsidP="002C76C4">
            <w:pPr>
              <w:jc w:val="cente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43%</w:t>
            </w:r>
          </w:p>
        </w:tc>
      </w:tr>
      <w:tr w:rsidR="002C76C4" w:rsidRPr="002C76C4" w14:paraId="7BFFD4E5" w14:textId="77777777" w:rsidTr="00112EDE">
        <w:trPr>
          <w:trHeight w:val="422"/>
        </w:trPr>
        <w:tc>
          <w:tcPr>
            <w:tcW w:w="1714" w:type="pct"/>
            <w:tcBorders>
              <w:top w:val="nil"/>
              <w:left w:val="nil"/>
              <w:bottom w:val="nil"/>
              <w:right w:val="nil"/>
            </w:tcBorders>
            <w:shd w:val="clear" w:color="auto" w:fill="auto"/>
            <w:noWrap/>
            <w:vAlign w:val="bottom"/>
            <w:hideMark/>
          </w:tcPr>
          <w:p w14:paraId="5027DDD3" w14:textId="77777777" w:rsidR="002C76C4" w:rsidRPr="002C76C4" w:rsidRDefault="002C76C4" w:rsidP="002C76C4">
            <w:pP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Medio</w:t>
            </w:r>
          </w:p>
        </w:tc>
        <w:tc>
          <w:tcPr>
            <w:tcW w:w="1645" w:type="pct"/>
            <w:tcBorders>
              <w:top w:val="nil"/>
              <w:left w:val="nil"/>
              <w:bottom w:val="nil"/>
              <w:right w:val="nil"/>
            </w:tcBorders>
            <w:shd w:val="clear" w:color="auto" w:fill="auto"/>
            <w:noWrap/>
            <w:vAlign w:val="center"/>
            <w:hideMark/>
          </w:tcPr>
          <w:p w14:paraId="2475C58A" w14:textId="77777777" w:rsidR="002C76C4" w:rsidRPr="002C76C4" w:rsidRDefault="002C76C4" w:rsidP="002C76C4">
            <w:pPr>
              <w:jc w:val="cente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55</w:t>
            </w:r>
          </w:p>
        </w:tc>
        <w:tc>
          <w:tcPr>
            <w:tcW w:w="1642" w:type="pct"/>
            <w:tcBorders>
              <w:top w:val="nil"/>
              <w:left w:val="nil"/>
              <w:bottom w:val="nil"/>
              <w:right w:val="nil"/>
            </w:tcBorders>
            <w:shd w:val="clear" w:color="auto" w:fill="auto"/>
            <w:noWrap/>
            <w:vAlign w:val="center"/>
            <w:hideMark/>
          </w:tcPr>
          <w:p w14:paraId="55280976" w14:textId="77777777" w:rsidR="002C76C4" w:rsidRPr="002C76C4" w:rsidRDefault="002C76C4" w:rsidP="002C76C4">
            <w:pPr>
              <w:jc w:val="cente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37%</w:t>
            </w:r>
          </w:p>
        </w:tc>
      </w:tr>
      <w:tr w:rsidR="002C76C4" w:rsidRPr="002C76C4" w14:paraId="29ECA9AD" w14:textId="77777777" w:rsidTr="00112EDE">
        <w:trPr>
          <w:trHeight w:val="422"/>
        </w:trPr>
        <w:tc>
          <w:tcPr>
            <w:tcW w:w="1714" w:type="pct"/>
            <w:tcBorders>
              <w:top w:val="nil"/>
              <w:left w:val="nil"/>
              <w:bottom w:val="nil"/>
              <w:right w:val="nil"/>
            </w:tcBorders>
            <w:shd w:val="clear" w:color="auto" w:fill="auto"/>
            <w:noWrap/>
            <w:vAlign w:val="bottom"/>
            <w:hideMark/>
          </w:tcPr>
          <w:p w14:paraId="20975E03" w14:textId="77777777" w:rsidR="002C76C4" w:rsidRPr="002C76C4" w:rsidRDefault="002C76C4" w:rsidP="002C76C4">
            <w:pP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Alto</w:t>
            </w:r>
          </w:p>
        </w:tc>
        <w:tc>
          <w:tcPr>
            <w:tcW w:w="1645" w:type="pct"/>
            <w:tcBorders>
              <w:top w:val="nil"/>
              <w:left w:val="nil"/>
              <w:bottom w:val="nil"/>
              <w:right w:val="nil"/>
            </w:tcBorders>
            <w:shd w:val="clear" w:color="auto" w:fill="auto"/>
            <w:noWrap/>
            <w:vAlign w:val="center"/>
            <w:hideMark/>
          </w:tcPr>
          <w:p w14:paraId="69FE66A3" w14:textId="77777777" w:rsidR="002C76C4" w:rsidRPr="002C76C4" w:rsidRDefault="002C76C4" w:rsidP="002C76C4">
            <w:pPr>
              <w:jc w:val="cente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30</w:t>
            </w:r>
          </w:p>
        </w:tc>
        <w:tc>
          <w:tcPr>
            <w:tcW w:w="1642" w:type="pct"/>
            <w:tcBorders>
              <w:top w:val="nil"/>
              <w:left w:val="nil"/>
              <w:bottom w:val="nil"/>
              <w:right w:val="nil"/>
            </w:tcBorders>
            <w:shd w:val="clear" w:color="auto" w:fill="auto"/>
            <w:noWrap/>
            <w:vAlign w:val="center"/>
            <w:hideMark/>
          </w:tcPr>
          <w:p w14:paraId="5FB47B57" w14:textId="77777777" w:rsidR="002C76C4" w:rsidRPr="002C76C4" w:rsidRDefault="002C76C4" w:rsidP="002C76C4">
            <w:pPr>
              <w:jc w:val="cente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20%</w:t>
            </w:r>
          </w:p>
        </w:tc>
      </w:tr>
      <w:tr w:rsidR="002C76C4" w:rsidRPr="002C76C4" w14:paraId="476B681A" w14:textId="77777777" w:rsidTr="00112EDE">
        <w:trPr>
          <w:trHeight w:val="422"/>
        </w:trPr>
        <w:tc>
          <w:tcPr>
            <w:tcW w:w="1714" w:type="pct"/>
            <w:tcBorders>
              <w:top w:val="single" w:sz="4" w:space="0" w:color="auto"/>
              <w:left w:val="nil"/>
              <w:bottom w:val="single" w:sz="4" w:space="0" w:color="auto"/>
              <w:right w:val="nil"/>
            </w:tcBorders>
            <w:shd w:val="clear" w:color="auto" w:fill="auto"/>
            <w:noWrap/>
            <w:vAlign w:val="bottom"/>
            <w:hideMark/>
          </w:tcPr>
          <w:p w14:paraId="773608FE" w14:textId="77777777" w:rsidR="002C76C4" w:rsidRPr="002C76C4" w:rsidRDefault="002C76C4" w:rsidP="002C76C4">
            <w:pP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Total</w:t>
            </w:r>
          </w:p>
        </w:tc>
        <w:tc>
          <w:tcPr>
            <w:tcW w:w="1645" w:type="pct"/>
            <w:tcBorders>
              <w:top w:val="single" w:sz="4" w:space="0" w:color="auto"/>
              <w:left w:val="nil"/>
              <w:bottom w:val="single" w:sz="4" w:space="0" w:color="auto"/>
              <w:right w:val="nil"/>
            </w:tcBorders>
            <w:shd w:val="clear" w:color="auto" w:fill="auto"/>
            <w:noWrap/>
            <w:vAlign w:val="center"/>
            <w:hideMark/>
          </w:tcPr>
          <w:p w14:paraId="6F03EC7C" w14:textId="77777777" w:rsidR="002C76C4" w:rsidRPr="002C76C4" w:rsidRDefault="002C76C4" w:rsidP="002C76C4">
            <w:pPr>
              <w:jc w:val="cente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150</w:t>
            </w:r>
          </w:p>
        </w:tc>
        <w:tc>
          <w:tcPr>
            <w:tcW w:w="1642" w:type="pct"/>
            <w:tcBorders>
              <w:top w:val="single" w:sz="4" w:space="0" w:color="auto"/>
              <w:left w:val="nil"/>
              <w:bottom w:val="single" w:sz="4" w:space="0" w:color="auto"/>
              <w:right w:val="nil"/>
            </w:tcBorders>
            <w:shd w:val="clear" w:color="auto" w:fill="auto"/>
            <w:noWrap/>
            <w:vAlign w:val="center"/>
            <w:hideMark/>
          </w:tcPr>
          <w:p w14:paraId="049446C3" w14:textId="77777777" w:rsidR="002C76C4" w:rsidRPr="002C76C4" w:rsidRDefault="002C76C4" w:rsidP="002C76C4">
            <w:pPr>
              <w:jc w:val="center"/>
              <w:rPr>
                <w:rFonts w:ascii="Arial" w:eastAsia="Times New Roman" w:hAnsi="Arial" w:cs="Arial"/>
                <w:color w:val="000000"/>
                <w:sz w:val="20"/>
                <w:szCs w:val="20"/>
                <w:lang w:val="es-PE" w:eastAsia="es-PE"/>
              </w:rPr>
            </w:pPr>
            <w:r w:rsidRPr="002C76C4">
              <w:rPr>
                <w:rFonts w:ascii="Arial" w:eastAsia="Times New Roman" w:hAnsi="Arial" w:cs="Arial"/>
                <w:color w:val="000000"/>
                <w:sz w:val="20"/>
                <w:szCs w:val="20"/>
                <w:lang w:val="es-PE" w:eastAsia="es-PE"/>
              </w:rPr>
              <w:t>100%</w:t>
            </w:r>
          </w:p>
        </w:tc>
      </w:tr>
    </w:tbl>
    <w:p w14:paraId="040A3F3E" w14:textId="77777777" w:rsidR="002C76C4" w:rsidRDefault="002C76C4" w:rsidP="002D1C36">
      <w:pPr>
        <w:jc w:val="both"/>
        <w:rPr>
          <w:rFonts w:ascii="Arial" w:hAnsi="Arial" w:cs="Arial"/>
          <w:bCs/>
          <w:sz w:val="22"/>
          <w:szCs w:val="22"/>
          <w:lang w:val="es-PE"/>
        </w:rPr>
      </w:pPr>
    </w:p>
    <w:p w14:paraId="79674051" w14:textId="24A3332A" w:rsidR="0085240F" w:rsidRDefault="00C9346D" w:rsidP="002D1C36">
      <w:pPr>
        <w:jc w:val="both"/>
        <w:rPr>
          <w:rFonts w:ascii="Arial" w:hAnsi="Arial" w:cs="Arial"/>
          <w:bCs/>
          <w:sz w:val="22"/>
          <w:szCs w:val="22"/>
          <w:lang w:val="es-PE"/>
        </w:rPr>
      </w:pPr>
      <w:r w:rsidRPr="00C9346D">
        <w:rPr>
          <w:rFonts w:ascii="Arial" w:hAnsi="Arial" w:cs="Arial"/>
          <w:bCs/>
          <w:sz w:val="22"/>
          <w:szCs w:val="22"/>
          <w:lang w:val="es-PE"/>
        </w:rPr>
        <w:t>Como se observa en la tabla</w:t>
      </w:r>
      <w:r>
        <w:rPr>
          <w:rFonts w:ascii="Arial" w:hAnsi="Arial" w:cs="Arial"/>
          <w:bCs/>
          <w:sz w:val="22"/>
          <w:szCs w:val="22"/>
          <w:lang w:val="es-PE"/>
        </w:rPr>
        <w:t xml:space="preserve"> 1</w:t>
      </w:r>
      <w:r w:rsidRPr="00C9346D">
        <w:rPr>
          <w:rFonts w:ascii="Arial" w:hAnsi="Arial" w:cs="Arial"/>
          <w:bCs/>
          <w:sz w:val="22"/>
          <w:szCs w:val="22"/>
          <w:lang w:val="es-PE"/>
        </w:rPr>
        <w:t xml:space="preserve">, la mayoría de los estudiantes presenta un conocimiento bajo (43 %) </w:t>
      </w:r>
      <w:r>
        <w:rPr>
          <w:rFonts w:ascii="Arial" w:hAnsi="Arial" w:cs="Arial"/>
          <w:bCs/>
          <w:sz w:val="22"/>
          <w:szCs w:val="22"/>
          <w:lang w:val="es-PE"/>
        </w:rPr>
        <w:t xml:space="preserve">y </w:t>
      </w:r>
      <w:r w:rsidRPr="00C9346D">
        <w:rPr>
          <w:rFonts w:ascii="Arial" w:hAnsi="Arial" w:cs="Arial"/>
          <w:bCs/>
          <w:sz w:val="22"/>
          <w:szCs w:val="22"/>
          <w:lang w:val="es-PE"/>
        </w:rPr>
        <w:t xml:space="preserve">medio (37 %) sobre sostenibilidad y minería. Solo un </w:t>
      </w:r>
      <w:r>
        <w:rPr>
          <w:rFonts w:ascii="Arial" w:hAnsi="Arial" w:cs="Arial"/>
          <w:bCs/>
          <w:sz w:val="22"/>
          <w:szCs w:val="22"/>
          <w:lang w:val="es-PE"/>
        </w:rPr>
        <w:t>(</w:t>
      </w:r>
      <w:r w:rsidRPr="00C9346D">
        <w:rPr>
          <w:rFonts w:ascii="Arial" w:hAnsi="Arial" w:cs="Arial"/>
          <w:bCs/>
          <w:sz w:val="22"/>
          <w:szCs w:val="22"/>
          <w:lang w:val="es-PE"/>
        </w:rPr>
        <w:t>20 %</w:t>
      </w:r>
      <w:r>
        <w:rPr>
          <w:rFonts w:ascii="Arial" w:hAnsi="Arial" w:cs="Arial"/>
          <w:bCs/>
          <w:sz w:val="22"/>
          <w:szCs w:val="22"/>
          <w:lang w:val="es-PE"/>
        </w:rPr>
        <w:t>)</w:t>
      </w:r>
      <w:r w:rsidRPr="00C9346D">
        <w:rPr>
          <w:rFonts w:ascii="Arial" w:hAnsi="Arial" w:cs="Arial"/>
          <w:bCs/>
          <w:sz w:val="22"/>
          <w:szCs w:val="22"/>
          <w:lang w:val="es-PE"/>
        </w:rPr>
        <w:t xml:space="preserve"> reporta tener un conocimiento alto, lo que evidencia la necesidad de fortalecer los contenidos educativos vinculados a estas temáticas estratégicas para el contexto local.</w:t>
      </w:r>
    </w:p>
    <w:p w14:paraId="3F601DD2" w14:textId="77777777" w:rsidR="00112EDE" w:rsidRDefault="00112EDE" w:rsidP="002D1C36">
      <w:pPr>
        <w:jc w:val="both"/>
        <w:rPr>
          <w:rFonts w:ascii="Arial" w:hAnsi="Arial" w:cs="Arial"/>
          <w:bCs/>
          <w:sz w:val="22"/>
          <w:szCs w:val="22"/>
          <w:lang w:val="es-PE"/>
        </w:rPr>
      </w:pPr>
    </w:p>
    <w:p w14:paraId="5B311ADC" w14:textId="7B88C465" w:rsidR="00112EDE" w:rsidRPr="00FA1F84" w:rsidRDefault="00112EDE" w:rsidP="00112EDE">
      <w:pPr>
        <w:jc w:val="both"/>
        <w:rPr>
          <w:rFonts w:ascii="Arial" w:hAnsi="Arial" w:cs="Arial"/>
          <w:i/>
          <w:iCs/>
          <w:sz w:val="22"/>
          <w:szCs w:val="22"/>
          <w:lang w:val="es-PE"/>
        </w:rPr>
      </w:pPr>
      <w:r w:rsidRPr="00FA1F84">
        <w:rPr>
          <w:rFonts w:ascii="Arial" w:hAnsi="Arial" w:cs="Arial"/>
          <w:b/>
          <w:bCs/>
          <w:sz w:val="22"/>
          <w:szCs w:val="22"/>
        </w:rPr>
        <w:t xml:space="preserve">Tabla </w:t>
      </w:r>
      <w:r>
        <w:rPr>
          <w:rFonts w:ascii="Arial" w:hAnsi="Arial" w:cs="Arial"/>
          <w:b/>
          <w:bCs/>
          <w:sz w:val="22"/>
          <w:szCs w:val="22"/>
        </w:rPr>
        <w:t>2</w:t>
      </w:r>
      <w:r w:rsidRPr="00FA1F84">
        <w:rPr>
          <w:rFonts w:ascii="Arial" w:hAnsi="Arial" w:cs="Arial"/>
          <w:b/>
          <w:bCs/>
          <w:sz w:val="22"/>
          <w:szCs w:val="22"/>
        </w:rPr>
        <w:t xml:space="preserve">. </w:t>
      </w:r>
      <w:r>
        <w:rPr>
          <w:rFonts w:ascii="Arial" w:hAnsi="Arial" w:cs="Arial"/>
          <w:i/>
          <w:iCs/>
          <w:sz w:val="22"/>
          <w:szCs w:val="22"/>
          <w:lang w:val="es-PE"/>
        </w:rPr>
        <w:t>Interés en formación práctica sobre minería ética</w:t>
      </w:r>
    </w:p>
    <w:tbl>
      <w:tblPr>
        <w:tblW w:w="5000" w:type="pct"/>
        <w:tblCellMar>
          <w:left w:w="0" w:type="dxa"/>
          <w:right w:w="0" w:type="dxa"/>
        </w:tblCellMar>
        <w:tblLook w:val="04A0" w:firstRow="1" w:lastRow="0" w:firstColumn="1" w:lastColumn="0" w:noHBand="0" w:noVBand="1"/>
      </w:tblPr>
      <w:tblGrid>
        <w:gridCol w:w="1709"/>
        <w:gridCol w:w="1640"/>
        <w:gridCol w:w="1637"/>
      </w:tblGrid>
      <w:tr w:rsidR="0085240F" w:rsidRPr="0085240F" w14:paraId="451BC7E5" w14:textId="77777777" w:rsidTr="00112EDE">
        <w:trPr>
          <w:trHeight w:val="555"/>
        </w:trPr>
        <w:tc>
          <w:tcPr>
            <w:tcW w:w="1713" w:type="pct"/>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7577E839" w14:textId="77777777" w:rsidR="0085240F" w:rsidRPr="0085240F" w:rsidRDefault="0085240F">
            <w:pPr>
              <w:jc w:val="center"/>
              <w:rPr>
                <w:rFonts w:ascii="Calibri" w:hAnsi="Calibri" w:cs="Calibri"/>
                <w:b/>
                <w:bCs/>
                <w:color w:val="000000"/>
                <w:sz w:val="22"/>
                <w:szCs w:val="22"/>
                <w:lang w:val="es-PE"/>
              </w:rPr>
            </w:pPr>
            <w:r w:rsidRPr="0085240F">
              <w:rPr>
                <w:rFonts w:ascii="Calibri" w:hAnsi="Calibri" w:cs="Calibri"/>
                <w:b/>
                <w:bCs/>
                <w:color w:val="000000"/>
                <w:sz w:val="22"/>
                <w:szCs w:val="22"/>
                <w:lang w:val="es-PE"/>
              </w:rPr>
              <w:t>Interés en formación práctica</w:t>
            </w:r>
          </w:p>
        </w:tc>
        <w:tc>
          <w:tcPr>
            <w:tcW w:w="1645" w:type="pct"/>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1414D649" w14:textId="77777777" w:rsidR="0085240F" w:rsidRPr="0085240F" w:rsidRDefault="0085240F">
            <w:pPr>
              <w:jc w:val="center"/>
              <w:rPr>
                <w:rFonts w:ascii="Calibri" w:hAnsi="Calibri" w:cs="Calibri"/>
                <w:b/>
                <w:bCs/>
                <w:color w:val="000000"/>
                <w:sz w:val="22"/>
                <w:szCs w:val="22"/>
                <w:lang w:val="es-PE"/>
              </w:rPr>
            </w:pPr>
            <w:r w:rsidRPr="0085240F">
              <w:rPr>
                <w:rFonts w:ascii="Calibri" w:hAnsi="Calibri" w:cs="Calibri"/>
                <w:b/>
                <w:bCs/>
                <w:color w:val="000000"/>
                <w:sz w:val="22"/>
                <w:szCs w:val="22"/>
                <w:lang w:val="es-PE"/>
              </w:rPr>
              <w:t>Frecuencia</w:t>
            </w:r>
          </w:p>
        </w:tc>
        <w:tc>
          <w:tcPr>
            <w:tcW w:w="1643" w:type="pct"/>
            <w:tcBorders>
              <w:top w:val="single" w:sz="4" w:space="0" w:color="auto"/>
              <w:left w:val="nil"/>
              <w:bottom w:val="single" w:sz="4" w:space="0" w:color="auto"/>
              <w:right w:val="nil"/>
            </w:tcBorders>
            <w:shd w:val="clear" w:color="auto" w:fill="auto"/>
            <w:tcMar>
              <w:top w:w="15" w:type="dxa"/>
              <w:left w:w="15" w:type="dxa"/>
              <w:bottom w:w="0" w:type="dxa"/>
              <w:right w:w="15" w:type="dxa"/>
            </w:tcMar>
            <w:vAlign w:val="center"/>
            <w:hideMark/>
          </w:tcPr>
          <w:p w14:paraId="7E6D607E" w14:textId="77777777" w:rsidR="0085240F" w:rsidRPr="0085240F" w:rsidRDefault="0085240F">
            <w:pPr>
              <w:jc w:val="center"/>
              <w:rPr>
                <w:rFonts w:ascii="Calibri" w:hAnsi="Calibri" w:cs="Calibri"/>
                <w:b/>
                <w:bCs/>
                <w:color w:val="000000"/>
                <w:sz w:val="22"/>
                <w:szCs w:val="22"/>
                <w:lang w:val="es-PE"/>
              </w:rPr>
            </w:pPr>
            <w:r w:rsidRPr="0085240F">
              <w:rPr>
                <w:rFonts w:ascii="Calibri" w:hAnsi="Calibri" w:cs="Calibri"/>
                <w:b/>
                <w:bCs/>
                <w:color w:val="000000"/>
                <w:sz w:val="22"/>
                <w:szCs w:val="22"/>
                <w:lang w:val="es-PE"/>
              </w:rPr>
              <w:t>Porcentaje (%)</w:t>
            </w:r>
          </w:p>
        </w:tc>
      </w:tr>
      <w:tr w:rsidR="0085240F" w:rsidRPr="0085240F" w14:paraId="7584585A" w14:textId="77777777" w:rsidTr="00112EDE">
        <w:trPr>
          <w:trHeight w:val="600"/>
        </w:trPr>
        <w:tc>
          <w:tcPr>
            <w:tcW w:w="1713" w:type="pct"/>
            <w:tcBorders>
              <w:top w:val="nil"/>
              <w:left w:val="nil"/>
              <w:bottom w:val="nil"/>
              <w:right w:val="nil"/>
            </w:tcBorders>
            <w:shd w:val="clear" w:color="auto" w:fill="auto"/>
            <w:tcMar>
              <w:top w:w="15" w:type="dxa"/>
              <w:left w:w="15" w:type="dxa"/>
              <w:bottom w:w="0" w:type="dxa"/>
              <w:right w:w="15" w:type="dxa"/>
            </w:tcMar>
            <w:vAlign w:val="center"/>
            <w:hideMark/>
          </w:tcPr>
          <w:p w14:paraId="55D07B6D" w14:textId="77777777" w:rsidR="0085240F" w:rsidRPr="0085240F" w:rsidRDefault="0085240F">
            <w:pPr>
              <w:rPr>
                <w:rFonts w:ascii="Calibri" w:hAnsi="Calibri" w:cs="Calibri"/>
                <w:color w:val="000000"/>
                <w:sz w:val="22"/>
                <w:szCs w:val="22"/>
                <w:lang w:val="es-PE"/>
              </w:rPr>
            </w:pPr>
            <w:r w:rsidRPr="0085240F">
              <w:rPr>
                <w:rFonts w:ascii="Calibri" w:hAnsi="Calibri" w:cs="Calibri"/>
                <w:color w:val="000000"/>
                <w:sz w:val="22"/>
                <w:szCs w:val="22"/>
                <w:lang w:val="es-PE"/>
              </w:rPr>
              <w:t>Muy interesado</w:t>
            </w:r>
          </w:p>
        </w:tc>
        <w:tc>
          <w:tcPr>
            <w:tcW w:w="1645" w:type="pct"/>
            <w:tcBorders>
              <w:top w:val="nil"/>
              <w:left w:val="nil"/>
              <w:bottom w:val="nil"/>
              <w:right w:val="nil"/>
            </w:tcBorders>
            <w:shd w:val="clear" w:color="auto" w:fill="auto"/>
            <w:noWrap/>
            <w:tcMar>
              <w:top w:w="15" w:type="dxa"/>
              <w:left w:w="15" w:type="dxa"/>
              <w:bottom w:w="0" w:type="dxa"/>
              <w:right w:w="15" w:type="dxa"/>
            </w:tcMar>
            <w:vAlign w:val="center"/>
            <w:hideMark/>
          </w:tcPr>
          <w:p w14:paraId="3A1BD944" w14:textId="77777777" w:rsidR="0085240F" w:rsidRPr="0085240F" w:rsidRDefault="0085240F">
            <w:pPr>
              <w:jc w:val="center"/>
              <w:rPr>
                <w:rFonts w:ascii="Calibri" w:hAnsi="Calibri" w:cs="Calibri"/>
                <w:color w:val="000000"/>
                <w:sz w:val="22"/>
                <w:szCs w:val="22"/>
                <w:lang w:val="es-PE"/>
              </w:rPr>
            </w:pPr>
            <w:r w:rsidRPr="0085240F">
              <w:rPr>
                <w:rFonts w:ascii="Calibri" w:hAnsi="Calibri" w:cs="Calibri"/>
                <w:color w:val="000000"/>
                <w:sz w:val="22"/>
                <w:szCs w:val="22"/>
                <w:lang w:val="es-PE"/>
              </w:rPr>
              <w:t>80</w:t>
            </w:r>
          </w:p>
        </w:tc>
        <w:tc>
          <w:tcPr>
            <w:tcW w:w="1643" w:type="pct"/>
            <w:tcBorders>
              <w:top w:val="nil"/>
              <w:left w:val="nil"/>
              <w:bottom w:val="nil"/>
              <w:right w:val="nil"/>
            </w:tcBorders>
            <w:shd w:val="clear" w:color="auto" w:fill="auto"/>
            <w:noWrap/>
            <w:tcMar>
              <w:top w:w="15" w:type="dxa"/>
              <w:left w:w="15" w:type="dxa"/>
              <w:bottom w:w="0" w:type="dxa"/>
              <w:right w:w="15" w:type="dxa"/>
            </w:tcMar>
            <w:vAlign w:val="center"/>
            <w:hideMark/>
          </w:tcPr>
          <w:p w14:paraId="596AE948" w14:textId="7255559F" w:rsidR="0085240F" w:rsidRPr="0085240F" w:rsidRDefault="0085240F">
            <w:pPr>
              <w:jc w:val="center"/>
              <w:rPr>
                <w:rFonts w:ascii="Calibri" w:hAnsi="Calibri" w:cs="Calibri"/>
                <w:color w:val="000000"/>
                <w:sz w:val="22"/>
                <w:szCs w:val="22"/>
                <w:lang w:val="es-PE"/>
              </w:rPr>
            </w:pPr>
            <w:r w:rsidRPr="0085240F">
              <w:rPr>
                <w:rFonts w:ascii="Calibri" w:hAnsi="Calibri" w:cs="Calibri"/>
                <w:color w:val="000000"/>
                <w:sz w:val="22"/>
                <w:szCs w:val="22"/>
                <w:lang w:val="es-PE"/>
              </w:rPr>
              <w:t>53</w:t>
            </w:r>
            <w:r w:rsidR="00522FEA">
              <w:rPr>
                <w:rFonts w:ascii="Calibri" w:hAnsi="Calibri" w:cs="Calibri"/>
                <w:color w:val="000000"/>
                <w:sz w:val="22"/>
                <w:szCs w:val="22"/>
                <w:lang w:val="es-PE"/>
              </w:rPr>
              <w:t>.3</w:t>
            </w:r>
            <w:r w:rsidRPr="0085240F">
              <w:rPr>
                <w:rFonts w:ascii="Calibri" w:hAnsi="Calibri" w:cs="Calibri"/>
                <w:color w:val="000000"/>
                <w:sz w:val="22"/>
                <w:szCs w:val="22"/>
                <w:lang w:val="es-PE"/>
              </w:rPr>
              <w:t>%</w:t>
            </w:r>
          </w:p>
        </w:tc>
      </w:tr>
      <w:tr w:rsidR="0085240F" w:rsidRPr="0085240F" w14:paraId="0F28404A" w14:textId="77777777" w:rsidTr="00112EDE">
        <w:trPr>
          <w:trHeight w:val="600"/>
        </w:trPr>
        <w:tc>
          <w:tcPr>
            <w:tcW w:w="1713" w:type="pct"/>
            <w:tcBorders>
              <w:top w:val="nil"/>
              <w:left w:val="nil"/>
              <w:bottom w:val="nil"/>
              <w:right w:val="nil"/>
            </w:tcBorders>
            <w:shd w:val="clear" w:color="auto" w:fill="auto"/>
            <w:tcMar>
              <w:top w:w="15" w:type="dxa"/>
              <w:left w:w="15" w:type="dxa"/>
              <w:bottom w:w="0" w:type="dxa"/>
              <w:right w:w="15" w:type="dxa"/>
            </w:tcMar>
            <w:vAlign w:val="center"/>
            <w:hideMark/>
          </w:tcPr>
          <w:p w14:paraId="713E75CB" w14:textId="77777777" w:rsidR="0085240F" w:rsidRPr="0085240F" w:rsidRDefault="0085240F">
            <w:pPr>
              <w:rPr>
                <w:rFonts w:ascii="Calibri" w:hAnsi="Calibri" w:cs="Calibri"/>
                <w:color w:val="000000"/>
                <w:sz w:val="22"/>
                <w:szCs w:val="22"/>
                <w:lang w:val="es-PE"/>
              </w:rPr>
            </w:pPr>
            <w:r w:rsidRPr="0085240F">
              <w:rPr>
                <w:rFonts w:ascii="Calibri" w:hAnsi="Calibri" w:cs="Calibri"/>
                <w:color w:val="000000"/>
                <w:sz w:val="22"/>
                <w:szCs w:val="22"/>
                <w:lang w:val="es-PE"/>
              </w:rPr>
              <w:t>Medianamente interesado</w:t>
            </w:r>
          </w:p>
        </w:tc>
        <w:tc>
          <w:tcPr>
            <w:tcW w:w="1645" w:type="pct"/>
            <w:tcBorders>
              <w:top w:val="nil"/>
              <w:left w:val="nil"/>
              <w:bottom w:val="nil"/>
              <w:right w:val="nil"/>
            </w:tcBorders>
            <w:shd w:val="clear" w:color="auto" w:fill="auto"/>
            <w:noWrap/>
            <w:tcMar>
              <w:top w:w="15" w:type="dxa"/>
              <w:left w:w="15" w:type="dxa"/>
              <w:bottom w:w="0" w:type="dxa"/>
              <w:right w:w="15" w:type="dxa"/>
            </w:tcMar>
            <w:vAlign w:val="center"/>
            <w:hideMark/>
          </w:tcPr>
          <w:p w14:paraId="0439EBC1" w14:textId="77777777" w:rsidR="0085240F" w:rsidRPr="0085240F" w:rsidRDefault="0085240F">
            <w:pPr>
              <w:jc w:val="center"/>
              <w:rPr>
                <w:rFonts w:ascii="Calibri" w:hAnsi="Calibri" w:cs="Calibri"/>
                <w:color w:val="000000"/>
                <w:sz w:val="22"/>
                <w:szCs w:val="22"/>
                <w:lang w:val="es-PE"/>
              </w:rPr>
            </w:pPr>
            <w:r w:rsidRPr="0085240F">
              <w:rPr>
                <w:rFonts w:ascii="Calibri" w:hAnsi="Calibri" w:cs="Calibri"/>
                <w:color w:val="000000"/>
                <w:sz w:val="22"/>
                <w:szCs w:val="22"/>
                <w:lang w:val="es-PE"/>
              </w:rPr>
              <w:t>50</w:t>
            </w:r>
          </w:p>
        </w:tc>
        <w:tc>
          <w:tcPr>
            <w:tcW w:w="1643" w:type="pct"/>
            <w:tcBorders>
              <w:top w:val="nil"/>
              <w:left w:val="nil"/>
              <w:bottom w:val="nil"/>
              <w:right w:val="nil"/>
            </w:tcBorders>
            <w:shd w:val="clear" w:color="auto" w:fill="auto"/>
            <w:noWrap/>
            <w:tcMar>
              <w:top w:w="15" w:type="dxa"/>
              <w:left w:w="15" w:type="dxa"/>
              <w:bottom w:w="0" w:type="dxa"/>
              <w:right w:w="15" w:type="dxa"/>
            </w:tcMar>
            <w:vAlign w:val="center"/>
            <w:hideMark/>
          </w:tcPr>
          <w:p w14:paraId="3D15FA18" w14:textId="1BD0DA12" w:rsidR="0085240F" w:rsidRPr="0085240F" w:rsidRDefault="0085240F">
            <w:pPr>
              <w:jc w:val="center"/>
              <w:rPr>
                <w:rFonts w:ascii="Calibri" w:hAnsi="Calibri" w:cs="Calibri"/>
                <w:color w:val="000000"/>
                <w:sz w:val="22"/>
                <w:szCs w:val="22"/>
                <w:lang w:val="es-PE"/>
              </w:rPr>
            </w:pPr>
            <w:r w:rsidRPr="0085240F">
              <w:rPr>
                <w:rFonts w:ascii="Calibri" w:hAnsi="Calibri" w:cs="Calibri"/>
                <w:color w:val="000000"/>
                <w:sz w:val="22"/>
                <w:szCs w:val="22"/>
                <w:lang w:val="es-PE"/>
              </w:rPr>
              <w:t>33</w:t>
            </w:r>
            <w:r w:rsidR="00522FEA">
              <w:rPr>
                <w:rFonts w:ascii="Calibri" w:hAnsi="Calibri" w:cs="Calibri"/>
                <w:color w:val="000000"/>
                <w:sz w:val="22"/>
                <w:szCs w:val="22"/>
                <w:lang w:val="es-PE"/>
              </w:rPr>
              <w:t>.3</w:t>
            </w:r>
            <w:r w:rsidRPr="0085240F">
              <w:rPr>
                <w:rFonts w:ascii="Calibri" w:hAnsi="Calibri" w:cs="Calibri"/>
                <w:color w:val="000000"/>
                <w:sz w:val="22"/>
                <w:szCs w:val="22"/>
                <w:lang w:val="es-PE"/>
              </w:rPr>
              <w:t>%</w:t>
            </w:r>
          </w:p>
        </w:tc>
      </w:tr>
      <w:tr w:rsidR="0085240F" w:rsidRPr="0085240F" w14:paraId="7B59DC68" w14:textId="77777777" w:rsidTr="00112EDE">
        <w:trPr>
          <w:trHeight w:val="600"/>
        </w:trPr>
        <w:tc>
          <w:tcPr>
            <w:tcW w:w="1713" w:type="pct"/>
            <w:tcBorders>
              <w:top w:val="nil"/>
              <w:left w:val="nil"/>
              <w:bottom w:val="nil"/>
              <w:right w:val="nil"/>
            </w:tcBorders>
            <w:shd w:val="clear" w:color="auto" w:fill="auto"/>
            <w:tcMar>
              <w:top w:w="15" w:type="dxa"/>
              <w:left w:w="15" w:type="dxa"/>
              <w:bottom w:w="0" w:type="dxa"/>
              <w:right w:w="15" w:type="dxa"/>
            </w:tcMar>
            <w:vAlign w:val="center"/>
            <w:hideMark/>
          </w:tcPr>
          <w:p w14:paraId="16371AFF" w14:textId="77777777" w:rsidR="0085240F" w:rsidRPr="0085240F" w:rsidRDefault="0085240F">
            <w:pPr>
              <w:rPr>
                <w:rFonts w:ascii="Calibri" w:hAnsi="Calibri" w:cs="Calibri"/>
                <w:color w:val="000000"/>
                <w:sz w:val="22"/>
                <w:szCs w:val="22"/>
                <w:lang w:val="es-PE"/>
              </w:rPr>
            </w:pPr>
            <w:r w:rsidRPr="0085240F">
              <w:rPr>
                <w:rFonts w:ascii="Calibri" w:hAnsi="Calibri" w:cs="Calibri"/>
                <w:color w:val="000000"/>
                <w:sz w:val="22"/>
                <w:szCs w:val="22"/>
                <w:lang w:val="es-PE"/>
              </w:rPr>
              <w:t>Poco interesado</w:t>
            </w:r>
          </w:p>
        </w:tc>
        <w:tc>
          <w:tcPr>
            <w:tcW w:w="1645" w:type="pct"/>
            <w:tcBorders>
              <w:top w:val="nil"/>
              <w:left w:val="nil"/>
              <w:bottom w:val="nil"/>
              <w:right w:val="nil"/>
            </w:tcBorders>
            <w:shd w:val="clear" w:color="auto" w:fill="auto"/>
            <w:noWrap/>
            <w:tcMar>
              <w:top w:w="15" w:type="dxa"/>
              <w:left w:w="15" w:type="dxa"/>
              <w:bottom w:w="0" w:type="dxa"/>
              <w:right w:w="15" w:type="dxa"/>
            </w:tcMar>
            <w:vAlign w:val="center"/>
            <w:hideMark/>
          </w:tcPr>
          <w:p w14:paraId="5B136062" w14:textId="77777777" w:rsidR="0085240F" w:rsidRPr="0085240F" w:rsidRDefault="0085240F">
            <w:pPr>
              <w:jc w:val="center"/>
              <w:rPr>
                <w:rFonts w:ascii="Calibri" w:hAnsi="Calibri" w:cs="Calibri"/>
                <w:color w:val="000000"/>
                <w:sz w:val="22"/>
                <w:szCs w:val="22"/>
                <w:lang w:val="es-PE"/>
              </w:rPr>
            </w:pPr>
            <w:r w:rsidRPr="0085240F">
              <w:rPr>
                <w:rFonts w:ascii="Calibri" w:hAnsi="Calibri" w:cs="Calibri"/>
                <w:color w:val="000000"/>
                <w:sz w:val="22"/>
                <w:szCs w:val="22"/>
                <w:lang w:val="es-PE"/>
              </w:rPr>
              <w:t>20</w:t>
            </w:r>
          </w:p>
        </w:tc>
        <w:tc>
          <w:tcPr>
            <w:tcW w:w="1643" w:type="pct"/>
            <w:tcBorders>
              <w:top w:val="nil"/>
              <w:left w:val="nil"/>
              <w:bottom w:val="nil"/>
              <w:right w:val="nil"/>
            </w:tcBorders>
            <w:shd w:val="clear" w:color="auto" w:fill="auto"/>
            <w:noWrap/>
            <w:tcMar>
              <w:top w:w="15" w:type="dxa"/>
              <w:left w:w="15" w:type="dxa"/>
              <w:bottom w:w="0" w:type="dxa"/>
              <w:right w:w="15" w:type="dxa"/>
            </w:tcMar>
            <w:vAlign w:val="center"/>
            <w:hideMark/>
          </w:tcPr>
          <w:p w14:paraId="11656ED7" w14:textId="68183337" w:rsidR="0085240F" w:rsidRPr="0085240F" w:rsidRDefault="0085240F">
            <w:pPr>
              <w:jc w:val="center"/>
              <w:rPr>
                <w:rFonts w:ascii="Calibri" w:hAnsi="Calibri" w:cs="Calibri"/>
                <w:color w:val="000000"/>
                <w:sz w:val="22"/>
                <w:szCs w:val="22"/>
                <w:lang w:val="es-PE"/>
              </w:rPr>
            </w:pPr>
            <w:r w:rsidRPr="0085240F">
              <w:rPr>
                <w:rFonts w:ascii="Calibri" w:hAnsi="Calibri" w:cs="Calibri"/>
                <w:color w:val="000000"/>
                <w:sz w:val="22"/>
                <w:szCs w:val="22"/>
                <w:lang w:val="es-PE"/>
              </w:rPr>
              <w:t>13</w:t>
            </w:r>
            <w:r w:rsidR="00522FEA">
              <w:rPr>
                <w:rFonts w:ascii="Calibri" w:hAnsi="Calibri" w:cs="Calibri"/>
                <w:color w:val="000000"/>
                <w:sz w:val="22"/>
                <w:szCs w:val="22"/>
                <w:lang w:val="es-PE"/>
              </w:rPr>
              <w:t>.3</w:t>
            </w:r>
            <w:r w:rsidRPr="0085240F">
              <w:rPr>
                <w:rFonts w:ascii="Calibri" w:hAnsi="Calibri" w:cs="Calibri"/>
                <w:color w:val="000000"/>
                <w:sz w:val="22"/>
                <w:szCs w:val="22"/>
                <w:lang w:val="es-PE"/>
              </w:rPr>
              <w:t>%</w:t>
            </w:r>
          </w:p>
        </w:tc>
      </w:tr>
      <w:tr w:rsidR="0085240F" w:rsidRPr="0085240F" w14:paraId="1884C9C6" w14:textId="77777777" w:rsidTr="00112EDE">
        <w:trPr>
          <w:trHeight w:val="435"/>
        </w:trPr>
        <w:tc>
          <w:tcPr>
            <w:tcW w:w="1713" w:type="pct"/>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14:paraId="41698BB9" w14:textId="77777777" w:rsidR="0085240F" w:rsidRPr="0085240F" w:rsidRDefault="0085240F">
            <w:pPr>
              <w:rPr>
                <w:rFonts w:ascii="Arial" w:hAnsi="Arial" w:cs="Arial"/>
                <w:color w:val="000000"/>
                <w:sz w:val="20"/>
                <w:szCs w:val="20"/>
                <w:lang w:val="es-PE"/>
              </w:rPr>
            </w:pPr>
            <w:r w:rsidRPr="0085240F">
              <w:rPr>
                <w:rFonts w:ascii="Arial" w:hAnsi="Arial" w:cs="Arial"/>
                <w:color w:val="000000"/>
                <w:sz w:val="20"/>
                <w:szCs w:val="20"/>
                <w:lang w:val="es-PE"/>
              </w:rPr>
              <w:lastRenderedPageBreak/>
              <w:t>Total</w:t>
            </w:r>
          </w:p>
        </w:tc>
        <w:tc>
          <w:tcPr>
            <w:tcW w:w="1645" w:type="pct"/>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0922217C" w14:textId="77777777" w:rsidR="0085240F" w:rsidRPr="0085240F" w:rsidRDefault="0085240F">
            <w:pPr>
              <w:jc w:val="center"/>
              <w:rPr>
                <w:rFonts w:ascii="Arial" w:hAnsi="Arial" w:cs="Arial"/>
                <w:color w:val="000000"/>
                <w:sz w:val="20"/>
                <w:szCs w:val="20"/>
                <w:lang w:val="es-PE"/>
              </w:rPr>
            </w:pPr>
            <w:r w:rsidRPr="0085240F">
              <w:rPr>
                <w:rFonts w:ascii="Arial" w:hAnsi="Arial" w:cs="Arial"/>
                <w:color w:val="000000"/>
                <w:sz w:val="20"/>
                <w:szCs w:val="20"/>
                <w:lang w:val="es-PE"/>
              </w:rPr>
              <w:t>150</w:t>
            </w:r>
          </w:p>
        </w:tc>
        <w:tc>
          <w:tcPr>
            <w:tcW w:w="1643" w:type="pct"/>
            <w:tcBorders>
              <w:top w:val="single" w:sz="4" w:space="0" w:color="auto"/>
              <w:left w:val="nil"/>
              <w:bottom w:val="single" w:sz="4" w:space="0" w:color="auto"/>
              <w:right w:val="nil"/>
            </w:tcBorders>
            <w:shd w:val="clear" w:color="auto" w:fill="auto"/>
            <w:noWrap/>
            <w:tcMar>
              <w:top w:w="15" w:type="dxa"/>
              <w:left w:w="15" w:type="dxa"/>
              <w:bottom w:w="0" w:type="dxa"/>
              <w:right w:w="15" w:type="dxa"/>
            </w:tcMar>
            <w:vAlign w:val="center"/>
            <w:hideMark/>
          </w:tcPr>
          <w:p w14:paraId="7D6B4D63" w14:textId="77777777" w:rsidR="0085240F" w:rsidRPr="0085240F" w:rsidRDefault="0085240F">
            <w:pPr>
              <w:jc w:val="center"/>
              <w:rPr>
                <w:rFonts w:ascii="Arial" w:hAnsi="Arial" w:cs="Arial"/>
                <w:color w:val="000000"/>
                <w:sz w:val="20"/>
                <w:szCs w:val="20"/>
                <w:lang w:val="es-PE"/>
              </w:rPr>
            </w:pPr>
            <w:r w:rsidRPr="0085240F">
              <w:rPr>
                <w:rFonts w:ascii="Arial" w:hAnsi="Arial" w:cs="Arial"/>
                <w:color w:val="000000"/>
                <w:sz w:val="20"/>
                <w:szCs w:val="20"/>
                <w:lang w:val="es-PE"/>
              </w:rPr>
              <w:t>100%</w:t>
            </w:r>
          </w:p>
        </w:tc>
      </w:tr>
    </w:tbl>
    <w:p w14:paraId="5D246E77" w14:textId="3D5BDC9E" w:rsidR="0085240F" w:rsidRDefault="00522FEA" w:rsidP="002D1C36">
      <w:pPr>
        <w:jc w:val="both"/>
        <w:rPr>
          <w:rFonts w:ascii="Arial" w:hAnsi="Arial" w:cs="Arial"/>
          <w:bCs/>
          <w:sz w:val="22"/>
          <w:szCs w:val="22"/>
          <w:lang w:val="es-PE"/>
        </w:rPr>
      </w:pPr>
      <w:r w:rsidRPr="00522FEA">
        <w:rPr>
          <w:rFonts w:ascii="Arial" w:hAnsi="Arial" w:cs="Arial"/>
          <w:bCs/>
          <w:sz w:val="22"/>
          <w:szCs w:val="22"/>
          <w:lang w:val="es-PE"/>
        </w:rPr>
        <w:t>El 53</w:t>
      </w:r>
      <w:r>
        <w:rPr>
          <w:rFonts w:ascii="Arial" w:hAnsi="Arial" w:cs="Arial"/>
          <w:bCs/>
          <w:sz w:val="22"/>
          <w:szCs w:val="22"/>
          <w:lang w:val="es-PE"/>
        </w:rPr>
        <w:t>.3</w:t>
      </w:r>
      <w:r w:rsidRPr="00522FEA">
        <w:rPr>
          <w:rFonts w:ascii="Arial" w:hAnsi="Arial" w:cs="Arial"/>
          <w:bCs/>
          <w:sz w:val="22"/>
          <w:szCs w:val="22"/>
          <w:lang w:val="es-PE"/>
        </w:rPr>
        <w:t> % de los estudiantes se mostró muy interesado en recibir formación práctica sobre minería ética. Esto representa una valiosa oportunidad para implementar programas de formación activa y contextualizada que aborden la realidad de los entornos mineros desde una mirada crítica y ética.</w:t>
      </w:r>
    </w:p>
    <w:p w14:paraId="526179C5" w14:textId="77777777" w:rsidR="00112EDE" w:rsidRDefault="00112EDE" w:rsidP="002D1C36">
      <w:pPr>
        <w:jc w:val="both"/>
        <w:rPr>
          <w:rFonts w:ascii="Arial" w:hAnsi="Arial" w:cs="Arial"/>
          <w:bCs/>
          <w:sz w:val="22"/>
          <w:szCs w:val="22"/>
          <w:lang w:val="es-PE"/>
        </w:rPr>
      </w:pPr>
    </w:p>
    <w:p w14:paraId="6BAF2C02" w14:textId="7FBE9284" w:rsidR="00112EDE" w:rsidRPr="00FA1F84" w:rsidRDefault="00112EDE" w:rsidP="00112EDE">
      <w:pPr>
        <w:jc w:val="both"/>
        <w:rPr>
          <w:rFonts w:ascii="Arial" w:hAnsi="Arial" w:cs="Arial"/>
          <w:i/>
          <w:iCs/>
          <w:sz w:val="22"/>
          <w:szCs w:val="22"/>
          <w:lang w:val="es-PE"/>
        </w:rPr>
      </w:pPr>
      <w:r>
        <w:rPr>
          <w:rFonts w:ascii="Arial" w:hAnsi="Arial" w:cs="Arial"/>
          <w:b/>
          <w:bCs/>
          <w:sz w:val="22"/>
          <w:szCs w:val="22"/>
        </w:rPr>
        <w:t>Gráfico 1</w:t>
      </w:r>
      <w:r w:rsidRPr="00FA1F84">
        <w:rPr>
          <w:rFonts w:ascii="Arial" w:hAnsi="Arial" w:cs="Arial"/>
          <w:b/>
          <w:bCs/>
          <w:sz w:val="22"/>
          <w:szCs w:val="22"/>
        </w:rPr>
        <w:t xml:space="preserve">. </w:t>
      </w:r>
      <w:r>
        <w:rPr>
          <w:rFonts w:ascii="Arial" w:hAnsi="Arial" w:cs="Arial"/>
          <w:i/>
          <w:iCs/>
          <w:sz w:val="22"/>
          <w:szCs w:val="22"/>
          <w:lang w:val="es-PE"/>
        </w:rPr>
        <w:t>Contingencia entre conocimiento ético y actitud frente a minería</w:t>
      </w:r>
    </w:p>
    <w:p w14:paraId="70839C7D" w14:textId="7CC62996" w:rsidR="0085240F" w:rsidRDefault="00F6361C" w:rsidP="002D1C36">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59365F3E" wp14:editId="2E2296C4">
            <wp:extent cx="3165475" cy="2149434"/>
            <wp:effectExtent l="0" t="0" r="0" b="3810"/>
            <wp:docPr id="1129265171" name="Imagen 20" descr="Gráfico, Gráfico de barras,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65171" name="Imagen 20" descr="Gráfico, Gráfico de barras, Gráfico de cajas y bigotes&#10;&#10;El contenido generado por IA puede ser incorrecto."/>
                    <pic:cNvPicPr/>
                  </pic:nvPicPr>
                  <pic:blipFill rotWithShape="1">
                    <a:blip r:embed="rId15" cstate="print">
                      <a:extLst>
                        <a:ext uri="{28A0092B-C50C-407E-A947-70E740481C1C}">
                          <a14:useLocalDpi xmlns:a14="http://schemas.microsoft.com/office/drawing/2010/main" val="0"/>
                        </a:ext>
                      </a:extLst>
                    </a:blip>
                    <a:srcRect t="8152"/>
                    <a:stretch/>
                  </pic:blipFill>
                  <pic:spPr bwMode="auto">
                    <a:xfrm>
                      <a:off x="0" y="0"/>
                      <a:ext cx="3174708" cy="2155704"/>
                    </a:xfrm>
                    <a:prstGeom prst="rect">
                      <a:avLst/>
                    </a:prstGeom>
                    <a:ln>
                      <a:noFill/>
                    </a:ln>
                    <a:extLst>
                      <a:ext uri="{53640926-AAD7-44D8-BBD7-CCE9431645EC}">
                        <a14:shadowObscured xmlns:a14="http://schemas.microsoft.com/office/drawing/2010/main"/>
                      </a:ext>
                    </a:extLst>
                  </pic:spPr>
                </pic:pic>
              </a:graphicData>
            </a:graphic>
          </wp:inline>
        </w:drawing>
      </w:r>
    </w:p>
    <w:p w14:paraId="6F3EF453" w14:textId="0D7F0886" w:rsidR="00F6361C" w:rsidRPr="00112EDE" w:rsidRDefault="00112EDE" w:rsidP="002D1C36">
      <w:pPr>
        <w:jc w:val="both"/>
        <w:rPr>
          <w:rFonts w:ascii="Arial" w:hAnsi="Arial" w:cs="Arial"/>
          <w:bCs/>
          <w:sz w:val="16"/>
          <w:szCs w:val="16"/>
          <w:lang w:val="es-PE"/>
        </w:rPr>
      </w:pPr>
      <w:r w:rsidRPr="00112EDE">
        <w:rPr>
          <w:rFonts w:ascii="Arial" w:hAnsi="Arial" w:cs="Arial"/>
          <w:bCs/>
          <w:i/>
          <w:iCs/>
          <w:sz w:val="16"/>
          <w:szCs w:val="16"/>
          <w:lang w:val="es-PE"/>
        </w:rPr>
        <w:t>Fuente:</w:t>
      </w:r>
      <w:r w:rsidRPr="00112EDE">
        <w:rPr>
          <w:rFonts w:ascii="Arial" w:hAnsi="Arial" w:cs="Arial"/>
          <w:bCs/>
          <w:sz w:val="16"/>
          <w:szCs w:val="16"/>
          <w:lang w:val="es-PE"/>
        </w:rPr>
        <w:t xml:space="preserve"> Instrumentos </w:t>
      </w:r>
      <w:r>
        <w:rPr>
          <w:rFonts w:ascii="Arial" w:hAnsi="Arial" w:cs="Arial"/>
          <w:bCs/>
          <w:sz w:val="16"/>
          <w:szCs w:val="16"/>
          <w:lang w:val="es-PE"/>
        </w:rPr>
        <w:t>a</w:t>
      </w:r>
      <w:r w:rsidRPr="00112EDE">
        <w:rPr>
          <w:rFonts w:ascii="Arial" w:hAnsi="Arial" w:cs="Arial"/>
          <w:bCs/>
          <w:sz w:val="16"/>
          <w:szCs w:val="16"/>
          <w:lang w:val="es-PE"/>
        </w:rPr>
        <w:t>plicados</w:t>
      </w:r>
    </w:p>
    <w:p w14:paraId="0A522C6D" w14:textId="77777777" w:rsidR="00112EDE" w:rsidRDefault="00112EDE" w:rsidP="002D1C36">
      <w:pPr>
        <w:jc w:val="both"/>
        <w:rPr>
          <w:rFonts w:ascii="Arial" w:hAnsi="Arial" w:cs="Arial"/>
          <w:bCs/>
          <w:sz w:val="22"/>
          <w:szCs w:val="22"/>
          <w:lang w:val="es-PE"/>
        </w:rPr>
      </w:pPr>
    </w:p>
    <w:p w14:paraId="77790CFD" w14:textId="03FC8A4C" w:rsidR="00C9346D" w:rsidRDefault="00C9346D" w:rsidP="002D1C36">
      <w:pPr>
        <w:jc w:val="both"/>
        <w:rPr>
          <w:rFonts w:ascii="Arial" w:hAnsi="Arial" w:cs="Arial"/>
          <w:bCs/>
          <w:sz w:val="22"/>
          <w:szCs w:val="22"/>
          <w:lang w:val="es-PE"/>
        </w:rPr>
      </w:pPr>
      <w:r w:rsidRPr="00C9346D">
        <w:rPr>
          <w:rFonts w:ascii="Arial" w:hAnsi="Arial" w:cs="Arial"/>
          <w:bCs/>
          <w:sz w:val="22"/>
          <w:szCs w:val="22"/>
          <w:lang w:val="es-PE"/>
        </w:rPr>
        <w:t>Los datos revelan una correlación positiva entre el nivel de conocimiento ético y una actitud favorable hacia la minería. Los estudiantes con mayor formación ética muestran una actitud positiva (50 %) con mayor frecuencia que aquellos con menor formación. Este hallazgo refuerza la importancia de integrar la ética como eje transversal en el currículo escolar.</w:t>
      </w:r>
    </w:p>
    <w:p w14:paraId="262929DB" w14:textId="77777777" w:rsidR="00112EDE" w:rsidRDefault="00112EDE" w:rsidP="002D1C36">
      <w:pPr>
        <w:jc w:val="both"/>
        <w:rPr>
          <w:rFonts w:ascii="Arial" w:hAnsi="Arial" w:cs="Arial"/>
          <w:bCs/>
          <w:sz w:val="22"/>
          <w:szCs w:val="22"/>
          <w:lang w:val="es-PE"/>
        </w:rPr>
      </w:pPr>
    </w:p>
    <w:p w14:paraId="365BE735" w14:textId="305A7EBC" w:rsidR="00112EDE" w:rsidRPr="00FA1F84" w:rsidRDefault="00112EDE" w:rsidP="00112EDE">
      <w:pPr>
        <w:jc w:val="both"/>
        <w:rPr>
          <w:rFonts w:ascii="Arial" w:hAnsi="Arial" w:cs="Arial"/>
          <w:i/>
          <w:iCs/>
          <w:sz w:val="22"/>
          <w:szCs w:val="22"/>
          <w:lang w:val="es-PE"/>
        </w:rPr>
      </w:pPr>
      <w:r>
        <w:rPr>
          <w:rFonts w:ascii="Arial" w:hAnsi="Arial" w:cs="Arial"/>
          <w:b/>
          <w:bCs/>
          <w:sz w:val="22"/>
          <w:szCs w:val="22"/>
        </w:rPr>
        <w:t>Gráfico 2</w:t>
      </w:r>
      <w:r w:rsidRPr="00FA1F84">
        <w:rPr>
          <w:rFonts w:ascii="Arial" w:hAnsi="Arial" w:cs="Arial"/>
          <w:b/>
          <w:bCs/>
          <w:sz w:val="22"/>
          <w:szCs w:val="22"/>
        </w:rPr>
        <w:t xml:space="preserve">. </w:t>
      </w:r>
      <w:r>
        <w:rPr>
          <w:rFonts w:ascii="Arial" w:hAnsi="Arial" w:cs="Arial"/>
          <w:i/>
          <w:iCs/>
          <w:sz w:val="22"/>
          <w:szCs w:val="22"/>
          <w:lang w:val="es-PE"/>
        </w:rPr>
        <w:t>Distribución general de actitudes frente a la minería</w:t>
      </w:r>
    </w:p>
    <w:p w14:paraId="76F8A120" w14:textId="77777777" w:rsidR="00C9346D" w:rsidRDefault="00C9346D" w:rsidP="002D1C36">
      <w:pPr>
        <w:jc w:val="both"/>
        <w:rPr>
          <w:rFonts w:ascii="Arial" w:hAnsi="Arial" w:cs="Arial"/>
          <w:bCs/>
          <w:sz w:val="22"/>
          <w:szCs w:val="22"/>
          <w:lang w:val="es-PE"/>
        </w:rPr>
      </w:pPr>
    </w:p>
    <w:p w14:paraId="27E4EC49" w14:textId="389E5C0E" w:rsidR="00C9346D" w:rsidRDefault="00522FEA" w:rsidP="002D1C36">
      <w:pPr>
        <w:jc w:val="both"/>
        <w:rPr>
          <w:rFonts w:ascii="Arial" w:hAnsi="Arial" w:cs="Arial"/>
          <w:bCs/>
          <w:sz w:val="22"/>
          <w:szCs w:val="22"/>
          <w:lang w:val="es-PE"/>
        </w:rPr>
      </w:pPr>
      <w:r w:rsidRPr="00522FEA">
        <w:rPr>
          <w:noProof/>
          <w:sz w:val="22"/>
          <w:szCs w:val="22"/>
          <w:lang w:val="en-US" w:eastAsia="en-US"/>
        </w:rPr>
        <w:drawing>
          <wp:inline distT="0" distB="0" distL="0" distR="0" wp14:anchorId="2E3E48E6" wp14:editId="181214C3">
            <wp:extent cx="3166013" cy="1686296"/>
            <wp:effectExtent l="0" t="0" r="0" b="9525"/>
            <wp:docPr id="1" name="Picture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áfico, Gráfico circular&#10;&#10;El contenido generado por IA puede ser incorrecto."/>
                    <pic:cNvPicPr/>
                  </pic:nvPicPr>
                  <pic:blipFill rotWithShape="1">
                    <a:blip r:embed="rId16"/>
                    <a:srcRect t="24005" b="22732"/>
                    <a:stretch/>
                  </pic:blipFill>
                  <pic:spPr bwMode="auto">
                    <a:xfrm>
                      <a:off x="0" y="0"/>
                      <a:ext cx="3166110" cy="1686348"/>
                    </a:xfrm>
                    <a:prstGeom prst="rect">
                      <a:avLst/>
                    </a:prstGeom>
                    <a:ln>
                      <a:noFill/>
                    </a:ln>
                    <a:extLst>
                      <a:ext uri="{53640926-AAD7-44D8-BBD7-CCE9431645EC}">
                        <a14:shadowObscured xmlns:a14="http://schemas.microsoft.com/office/drawing/2010/main"/>
                      </a:ext>
                    </a:extLst>
                  </pic:spPr>
                </pic:pic>
              </a:graphicData>
            </a:graphic>
          </wp:inline>
        </w:drawing>
      </w:r>
    </w:p>
    <w:p w14:paraId="6ABDED89" w14:textId="77777777" w:rsidR="00EF61DE" w:rsidRPr="00112EDE" w:rsidRDefault="00EF61DE" w:rsidP="00EF61DE">
      <w:pPr>
        <w:jc w:val="both"/>
        <w:rPr>
          <w:rFonts w:ascii="Arial" w:hAnsi="Arial" w:cs="Arial"/>
          <w:bCs/>
          <w:sz w:val="16"/>
          <w:szCs w:val="16"/>
          <w:lang w:val="es-PE"/>
        </w:rPr>
      </w:pPr>
      <w:r w:rsidRPr="00112EDE">
        <w:rPr>
          <w:rFonts w:ascii="Arial" w:hAnsi="Arial" w:cs="Arial"/>
          <w:bCs/>
          <w:i/>
          <w:iCs/>
          <w:sz w:val="16"/>
          <w:szCs w:val="16"/>
          <w:lang w:val="es-PE"/>
        </w:rPr>
        <w:t>Fuente:</w:t>
      </w:r>
      <w:r w:rsidRPr="00112EDE">
        <w:rPr>
          <w:rFonts w:ascii="Arial" w:hAnsi="Arial" w:cs="Arial"/>
          <w:bCs/>
          <w:sz w:val="16"/>
          <w:szCs w:val="16"/>
          <w:lang w:val="es-PE"/>
        </w:rPr>
        <w:t xml:space="preserve"> Instrumentos </w:t>
      </w:r>
      <w:r>
        <w:rPr>
          <w:rFonts w:ascii="Arial" w:hAnsi="Arial" w:cs="Arial"/>
          <w:bCs/>
          <w:sz w:val="16"/>
          <w:szCs w:val="16"/>
          <w:lang w:val="es-PE"/>
        </w:rPr>
        <w:t>a</w:t>
      </w:r>
      <w:r w:rsidRPr="00112EDE">
        <w:rPr>
          <w:rFonts w:ascii="Arial" w:hAnsi="Arial" w:cs="Arial"/>
          <w:bCs/>
          <w:sz w:val="16"/>
          <w:szCs w:val="16"/>
          <w:lang w:val="es-PE"/>
        </w:rPr>
        <w:t>plicados</w:t>
      </w:r>
    </w:p>
    <w:p w14:paraId="69B89F23" w14:textId="77777777" w:rsidR="00EF61DE" w:rsidRDefault="00EF61DE" w:rsidP="002D1C36">
      <w:pPr>
        <w:jc w:val="both"/>
        <w:rPr>
          <w:rFonts w:ascii="Arial" w:hAnsi="Arial" w:cs="Arial"/>
          <w:bCs/>
          <w:sz w:val="22"/>
          <w:szCs w:val="22"/>
          <w:lang w:val="es-PE"/>
        </w:rPr>
      </w:pPr>
    </w:p>
    <w:p w14:paraId="71B88167" w14:textId="6C85F298" w:rsidR="00522FEA" w:rsidRDefault="00522FEA" w:rsidP="002D1C36">
      <w:pPr>
        <w:jc w:val="both"/>
        <w:rPr>
          <w:rFonts w:ascii="Arial" w:hAnsi="Arial" w:cs="Arial"/>
          <w:bCs/>
          <w:sz w:val="22"/>
          <w:szCs w:val="22"/>
          <w:lang w:val="es-PE"/>
        </w:rPr>
      </w:pPr>
      <w:r w:rsidRPr="00522FEA">
        <w:rPr>
          <w:rFonts w:ascii="Arial" w:hAnsi="Arial" w:cs="Arial"/>
          <w:bCs/>
          <w:sz w:val="22"/>
          <w:szCs w:val="22"/>
          <w:lang w:val="es-PE"/>
        </w:rPr>
        <w:t>El gráfico evidencia que la mayoría de los estudiantes se posiciona en una actitud neutral (40 %), seguida por una actitud negativa (33.3 %) y positiva (26.7 %). Esta distribución indica un campo fértil para intervenciones pedagógicas que orienten la reflexión crítica y el discernimiento ético en los estudiantes.</w:t>
      </w:r>
    </w:p>
    <w:p w14:paraId="132F10F5" w14:textId="77777777" w:rsidR="00522FEA" w:rsidRDefault="00522FEA" w:rsidP="002D1C36">
      <w:pPr>
        <w:jc w:val="both"/>
        <w:rPr>
          <w:rFonts w:ascii="Arial" w:hAnsi="Arial" w:cs="Arial"/>
          <w:bCs/>
          <w:sz w:val="22"/>
          <w:szCs w:val="22"/>
          <w:lang w:val="es-PE"/>
        </w:rPr>
      </w:pPr>
    </w:p>
    <w:p w14:paraId="46F30B20" w14:textId="77777777" w:rsidR="00EF61DE" w:rsidRDefault="00EF61DE" w:rsidP="002D1C36">
      <w:pPr>
        <w:jc w:val="both"/>
        <w:rPr>
          <w:rFonts w:ascii="Arial" w:hAnsi="Arial" w:cs="Arial"/>
          <w:bCs/>
          <w:sz w:val="22"/>
          <w:szCs w:val="22"/>
          <w:lang w:val="es-PE"/>
        </w:rPr>
      </w:pPr>
    </w:p>
    <w:p w14:paraId="6834982F" w14:textId="77777777" w:rsidR="00EF61DE" w:rsidRDefault="00EF61DE" w:rsidP="002D1C36">
      <w:pPr>
        <w:jc w:val="both"/>
        <w:rPr>
          <w:rFonts w:ascii="Arial" w:hAnsi="Arial" w:cs="Arial"/>
          <w:bCs/>
          <w:sz w:val="22"/>
          <w:szCs w:val="22"/>
          <w:lang w:val="es-PE"/>
        </w:rPr>
      </w:pPr>
    </w:p>
    <w:p w14:paraId="02785CB2" w14:textId="4D20462E" w:rsidR="00112EDE" w:rsidRPr="00FA1F84" w:rsidRDefault="00112EDE" w:rsidP="00112EDE">
      <w:pPr>
        <w:jc w:val="both"/>
        <w:rPr>
          <w:rFonts w:ascii="Arial" w:hAnsi="Arial" w:cs="Arial"/>
          <w:i/>
          <w:iCs/>
          <w:sz w:val="22"/>
          <w:szCs w:val="22"/>
          <w:lang w:val="es-PE"/>
        </w:rPr>
      </w:pPr>
      <w:r>
        <w:rPr>
          <w:rFonts w:ascii="Arial" w:hAnsi="Arial" w:cs="Arial"/>
          <w:b/>
          <w:bCs/>
          <w:sz w:val="22"/>
          <w:szCs w:val="22"/>
        </w:rPr>
        <w:t>Gráfico 3</w:t>
      </w:r>
      <w:r w:rsidRPr="00FA1F84">
        <w:rPr>
          <w:rFonts w:ascii="Arial" w:hAnsi="Arial" w:cs="Arial"/>
          <w:b/>
          <w:bCs/>
          <w:sz w:val="22"/>
          <w:szCs w:val="22"/>
        </w:rPr>
        <w:t xml:space="preserve">. </w:t>
      </w:r>
      <w:r>
        <w:rPr>
          <w:rFonts w:ascii="Arial" w:hAnsi="Arial" w:cs="Arial"/>
          <w:i/>
          <w:iCs/>
          <w:sz w:val="22"/>
          <w:szCs w:val="22"/>
          <w:lang w:val="es-PE"/>
        </w:rPr>
        <w:t>Temas clave en entre vistas cualitativas</w:t>
      </w:r>
    </w:p>
    <w:p w14:paraId="0A15D426" w14:textId="77777777" w:rsidR="00112EDE" w:rsidRDefault="00112EDE" w:rsidP="002D1C36">
      <w:pPr>
        <w:jc w:val="both"/>
        <w:rPr>
          <w:rFonts w:ascii="Arial" w:hAnsi="Arial" w:cs="Arial"/>
          <w:bCs/>
          <w:sz w:val="22"/>
          <w:szCs w:val="22"/>
          <w:lang w:val="es-PE"/>
        </w:rPr>
      </w:pPr>
    </w:p>
    <w:p w14:paraId="12C2D924" w14:textId="5810EF20" w:rsidR="00522FEA" w:rsidRDefault="00522FEA" w:rsidP="002D1C36">
      <w:pPr>
        <w:jc w:val="both"/>
        <w:rPr>
          <w:rFonts w:ascii="Arial" w:hAnsi="Arial" w:cs="Arial"/>
          <w:bCs/>
          <w:sz w:val="22"/>
          <w:szCs w:val="22"/>
          <w:lang w:val="es-PE"/>
        </w:rPr>
      </w:pPr>
      <w:r w:rsidRPr="00522FEA">
        <w:rPr>
          <w:noProof/>
          <w:sz w:val="22"/>
          <w:szCs w:val="22"/>
          <w:lang w:val="en-US" w:eastAsia="en-US"/>
        </w:rPr>
        <w:drawing>
          <wp:inline distT="0" distB="0" distL="0" distR="0" wp14:anchorId="1CB28F8B" wp14:editId="04FF1D34">
            <wp:extent cx="3163154" cy="1971303"/>
            <wp:effectExtent l="0" t="0" r="0" b="0"/>
            <wp:docPr id="2" name="Picture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barras&#10;&#10;El contenido generado por IA puede ser incorrecto."/>
                    <pic:cNvPicPr/>
                  </pic:nvPicPr>
                  <pic:blipFill rotWithShape="1">
                    <a:blip r:embed="rId17"/>
                    <a:srcRect t="8467" b="8961"/>
                    <a:stretch/>
                  </pic:blipFill>
                  <pic:spPr bwMode="auto">
                    <a:xfrm>
                      <a:off x="0" y="0"/>
                      <a:ext cx="3185283" cy="1985094"/>
                    </a:xfrm>
                    <a:prstGeom prst="rect">
                      <a:avLst/>
                    </a:prstGeom>
                    <a:ln>
                      <a:noFill/>
                    </a:ln>
                    <a:extLst>
                      <a:ext uri="{53640926-AAD7-44D8-BBD7-CCE9431645EC}">
                        <a14:shadowObscured xmlns:a14="http://schemas.microsoft.com/office/drawing/2010/main"/>
                      </a:ext>
                    </a:extLst>
                  </pic:spPr>
                </pic:pic>
              </a:graphicData>
            </a:graphic>
          </wp:inline>
        </w:drawing>
      </w:r>
    </w:p>
    <w:p w14:paraId="07B1486C" w14:textId="77777777" w:rsidR="00EF61DE" w:rsidRPr="00112EDE" w:rsidRDefault="00EF61DE" w:rsidP="00EF61DE">
      <w:pPr>
        <w:jc w:val="both"/>
        <w:rPr>
          <w:rFonts w:ascii="Arial" w:hAnsi="Arial" w:cs="Arial"/>
          <w:bCs/>
          <w:sz w:val="16"/>
          <w:szCs w:val="16"/>
          <w:lang w:val="es-PE"/>
        </w:rPr>
      </w:pPr>
      <w:r w:rsidRPr="00112EDE">
        <w:rPr>
          <w:rFonts w:ascii="Arial" w:hAnsi="Arial" w:cs="Arial"/>
          <w:bCs/>
          <w:i/>
          <w:iCs/>
          <w:sz w:val="16"/>
          <w:szCs w:val="16"/>
          <w:lang w:val="es-PE"/>
        </w:rPr>
        <w:t>Fuente:</w:t>
      </w:r>
      <w:r w:rsidRPr="00112EDE">
        <w:rPr>
          <w:rFonts w:ascii="Arial" w:hAnsi="Arial" w:cs="Arial"/>
          <w:bCs/>
          <w:sz w:val="16"/>
          <w:szCs w:val="16"/>
          <w:lang w:val="es-PE"/>
        </w:rPr>
        <w:t xml:space="preserve"> Instrumentos </w:t>
      </w:r>
      <w:r>
        <w:rPr>
          <w:rFonts w:ascii="Arial" w:hAnsi="Arial" w:cs="Arial"/>
          <w:bCs/>
          <w:sz w:val="16"/>
          <w:szCs w:val="16"/>
          <w:lang w:val="es-PE"/>
        </w:rPr>
        <w:t>a</w:t>
      </w:r>
      <w:r w:rsidRPr="00112EDE">
        <w:rPr>
          <w:rFonts w:ascii="Arial" w:hAnsi="Arial" w:cs="Arial"/>
          <w:bCs/>
          <w:sz w:val="16"/>
          <w:szCs w:val="16"/>
          <w:lang w:val="es-PE"/>
        </w:rPr>
        <w:t>plicados</w:t>
      </w:r>
    </w:p>
    <w:p w14:paraId="14BF3DC4" w14:textId="77777777" w:rsidR="00EF61DE" w:rsidRDefault="00EF61DE" w:rsidP="002D1C36">
      <w:pPr>
        <w:jc w:val="both"/>
        <w:rPr>
          <w:rFonts w:ascii="Arial" w:hAnsi="Arial" w:cs="Arial"/>
          <w:bCs/>
          <w:sz w:val="22"/>
          <w:szCs w:val="22"/>
          <w:lang w:val="es-PE"/>
        </w:rPr>
      </w:pPr>
    </w:p>
    <w:p w14:paraId="17B748F4" w14:textId="7DF4005F" w:rsidR="00522FEA" w:rsidRDefault="00522FEA" w:rsidP="002D1C36">
      <w:pPr>
        <w:jc w:val="both"/>
        <w:rPr>
          <w:rFonts w:ascii="Arial" w:hAnsi="Arial" w:cs="Arial"/>
          <w:bCs/>
          <w:sz w:val="22"/>
          <w:szCs w:val="22"/>
          <w:lang w:val="es-PE"/>
        </w:rPr>
      </w:pPr>
      <w:r w:rsidRPr="00522FEA">
        <w:rPr>
          <w:rFonts w:ascii="Arial" w:hAnsi="Arial" w:cs="Arial"/>
          <w:bCs/>
          <w:sz w:val="22"/>
          <w:szCs w:val="22"/>
          <w:lang w:val="es-PE"/>
        </w:rPr>
        <w:t>Desde la perspectiva cualitativa, las entrevistas a docentes y expertos señalaron como temas recurrentes el impacto ambiental, la responsabilidad social, la educación en valores y la necesidad de construir confianza entre empresas y comunidades. Estos resultados enriquecen la comprensión del contexto educativo y confirman la pertinencia de una estrategia formativa integral en zonas de influencia minera.</w:t>
      </w:r>
    </w:p>
    <w:p w14:paraId="210E56D5" w14:textId="77777777" w:rsidR="00522FEA" w:rsidRDefault="00522FEA" w:rsidP="002D1C36">
      <w:pPr>
        <w:jc w:val="both"/>
        <w:rPr>
          <w:rFonts w:ascii="Arial" w:hAnsi="Arial" w:cs="Arial"/>
          <w:bCs/>
          <w:sz w:val="22"/>
          <w:szCs w:val="22"/>
          <w:lang w:val="es-PE"/>
        </w:rPr>
      </w:pPr>
    </w:p>
    <w:p w14:paraId="664B167A" w14:textId="0CEF2DCB" w:rsidR="00F0054E" w:rsidRPr="00F0054E" w:rsidRDefault="00F0054E" w:rsidP="00F0054E">
      <w:pPr>
        <w:jc w:val="both"/>
        <w:rPr>
          <w:rFonts w:ascii="Arial" w:hAnsi="Arial" w:cs="Arial"/>
          <w:bCs/>
          <w:sz w:val="22"/>
          <w:szCs w:val="22"/>
          <w:lang w:val="es-PE"/>
        </w:rPr>
      </w:pPr>
      <w:r>
        <w:rPr>
          <w:rFonts w:ascii="Arial" w:hAnsi="Arial" w:cs="Arial"/>
          <w:bCs/>
          <w:sz w:val="22"/>
          <w:szCs w:val="22"/>
          <w:lang w:val="es-PE"/>
        </w:rPr>
        <w:t xml:space="preserve">Sobre estos resultados, se propone su </w:t>
      </w:r>
      <w:r w:rsidRPr="00F0054E">
        <w:rPr>
          <w:rFonts w:ascii="Arial" w:hAnsi="Arial" w:cs="Arial"/>
          <w:bCs/>
          <w:sz w:val="22"/>
          <w:szCs w:val="22"/>
          <w:lang w:val="es-PE"/>
        </w:rPr>
        <w:t xml:space="preserve">discusión </w:t>
      </w:r>
      <w:r>
        <w:rPr>
          <w:rFonts w:ascii="Arial" w:hAnsi="Arial" w:cs="Arial"/>
          <w:bCs/>
          <w:sz w:val="22"/>
          <w:szCs w:val="22"/>
          <w:lang w:val="es-PE"/>
        </w:rPr>
        <w:t xml:space="preserve">la misma que </w:t>
      </w:r>
      <w:r w:rsidRPr="00F0054E">
        <w:rPr>
          <w:rFonts w:ascii="Arial" w:hAnsi="Arial" w:cs="Arial"/>
          <w:bCs/>
          <w:sz w:val="22"/>
          <w:szCs w:val="22"/>
          <w:lang w:val="es-PE"/>
        </w:rPr>
        <w:t>parte de los objetivos planteados en el estudio, al explorar el impacto de la educación en valores y principios éticos en estudiantes de secundaria en zonas mineras; evaluar cómo dicha educación influye en sus percepciones sobre sostenibilidad y prácticas mineras responsables; identificar su nivel de conocimiento sobre los impactos de la minería; y proponer estrategias educativas para fortalecer la conciencia ética y ambiental.</w:t>
      </w:r>
    </w:p>
    <w:p w14:paraId="69AA2434" w14:textId="77777777" w:rsidR="00F0054E" w:rsidRPr="00F0054E" w:rsidRDefault="00F0054E" w:rsidP="00F0054E">
      <w:pPr>
        <w:jc w:val="both"/>
        <w:rPr>
          <w:rFonts w:ascii="Arial" w:hAnsi="Arial" w:cs="Arial"/>
          <w:bCs/>
          <w:sz w:val="22"/>
          <w:szCs w:val="22"/>
          <w:lang w:val="es-PE"/>
        </w:rPr>
      </w:pPr>
    </w:p>
    <w:p w14:paraId="3F3BCF95" w14:textId="77777777" w:rsidR="00F0054E" w:rsidRPr="00F0054E" w:rsidRDefault="00F0054E" w:rsidP="00F0054E">
      <w:pPr>
        <w:jc w:val="both"/>
        <w:rPr>
          <w:rFonts w:ascii="Arial" w:hAnsi="Arial" w:cs="Arial"/>
          <w:bCs/>
          <w:sz w:val="22"/>
          <w:szCs w:val="22"/>
          <w:lang w:val="es-PE"/>
        </w:rPr>
      </w:pPr>
      <w:r w:rsidRPr="00F0054E">
        <w:rPr>
          <w:rFonts w:ascii="Arial" w:hAnsi="Arial" w:cs="Arial"/>
          <w:bCs/>
          <w:sz w:val="22"/>
          <w:szCs w:val="22"/>
          <w:lang w:val="es-PE"/>
        </w:rPr>
        <w:t>Los resultados muestran que el 43 % de los estudiantes presenta un nivel bajo de conocimiento sobre sostenibilidad y minería, mientras solo el 20 % alcanza un nivel alto. Además, el 53.3 % expresó un alto interés en recibir formación práctica sobre minería ética, y se halló una correlación positiva entre el conocimiento ético y actitudes favorables hacia la minería responsable. A nivel cualitativo, docentes y estudiantes identificaron como temas clave el impacto ambiental, la necesidad de responsabilidad social y el fortalecimiento del vínculo entre empresas mineras y comunidades.</w:t>
      </w:r>
    </w:p>
    <w:p w14:paraId="74976828" w14:textId="77777777" w:rsidR="00F0054E" w:rsidRPr="00F0054E" w:rsidRDefault="00F0054E" w:rsidP="00F0054E">
      <w:pPr>
        <w:jc w:val="both"/>
        <w:rPr>
          <w:rFonts w:ascii="Arial" w:hAnsi="Arial" w:cs="Arial"/>
          <w:bCs/>
          <w:sz w:val="22"/>
          <w:szCs w:val="22"/>
          <w:lang w:val="es-PE"/>
        </w:rPr>
      </w:pPr>
    </w:p>
    <w:p w14:paraId="6F83CF59" w14:textId="77777777" w:rsidR="00F0054E" w:rsidRPr="00F0054E" w:rsidRDefault="00F0054E" w:rsidP="00F0054E">
      <w:pPr>
        <w:jc w:val="both"/>
        <w:rPr>
          <w:rFonts w:ascii="Arial" w:hAnsi="Arial" w:cs="Arial"/>
          <w:bCs/>
          <w:sz w:val="22"/>
          <w:szCs w:val="22"/>
          <w:lang w:val="es-PE"/>
        </w:rPr>
      </w:pPr>
      <w:r w:rsidRPr="00F0054E">
        <w:rPr>
          <w:rFonts w:ascii="Arial" w:hAnsi="Arial" w:cs="Arial"/>
          <w:bCs/>
          <w:sz w:val="22"/>
          <w:szCs w:val="22"/>
          <w:lang w:val="es-PE"/>
        </w:rPr>
        <w:t xml:space="preserve">Estos hallazgos son concordantes con lo afirmado por </w:t>
      </w:r>
      <w:proofErr w:type="spellStart"/>
      <w:r w:rsidRPr="00F0054E">
        <w:rPr>
          <w:rFonts w:ascii="Arial" w:hAnsi="Arial" w:cs="Arial"/>
          <w:bCs/>
          <w:sz w:val="22"/>
          <w:szCs w:val="22"/>
          <w:lang w:val="es-PE"/>
        </w:rPr>
        <w:t>Magazzino</w:t>
      </w:r>
      <w:proofErr w:type="spellEnd"/>
      <w:r w:rsidRPr="00F0054E">
        <w:rPr>
          <w:rFonts w:ascii="Arial" w:hAnsi="Arial" w:cs="Arial"/>
          <w:bCs/>
          <w:sz w:val="22"/>
          <w:szCs w:val="22"/>
          <w:lang w:val="es-PE"/>
        </w:rPr>
        <w:t xml:space="preserve"> et al. (2025), quien sostiene que la educación no solo cumple una función informativa, </w:t>
      </w:r>
      <w:r w:rsidRPr="00F0054E">
        <w:rPr>
          <w:rFonts w:ascii="Arial" w:hAnsi="Arial" w:cs="Arial"/>
          <w:bCs/>
          <w:sz w:val="22"/>
          <w:szCs w:val="22"/>
          <w:lang w:val="es-PE"/>
        </w:rPr>
        <w:lastRenderedPageBreak/>
        <w:t>sino que es un mecanismo esencial para generar vínculos de confianza entre empresas y comunidades. La coincidencia radica en que ambos estudios destacan la función de la educación no solo como transmisora de información, sino como herramienta transformadora de relaciones sociales y productivas. En el presente estudio, la baja comprensión sobre la sostenibilidad indica una oportunidad pedagógica para ampliar el impacto de los contenidos curriculares hacia temas de responsabilidad corporativa y ética minera.</w:t>
      </w:r>
    </w:p>
    <w:p w14:paraId="2EB67D3F" w14:textId="77777777" w:rsidR="00F0054E" w:rsidRPr="00F0054E" w:rsidRDefault="00F0054E" w:rsidP="00F0054E">
      <w:pPr>
        <w:jc w:val="both"/>
        <w:rPr>
          <w:rFonts w:ascii="Arial" w:hAnsi="Arial" w:cs="Arial"/>
          <w:bCs/>
          <w:sz w:val="22"/>
          <w:szCs w:val="22"/>
          <w:lang w:val="es-PE"/>
        </w:rPr>
      </w:pPr>
    </w:p>
    <w:p w14:paraId="29EFB3BA" w14:textId="77777777" w:rsidR="00F0054E" w:rsidRPr="00F0054E" w:rsidRDefault="00F0054E" w:rsidP="00F0054E">
      <w:pPr>
        <w:jc w:val="both"/>
        <w:rPr>
          <w:rFonts w:ascii="Arial" w:hAnsi="Arial" w:cs="Arial"/>
          <w:bCs/>
          <w:sz w:val="22"/>
          <w:szCs w:val="22"/>
          <w:lang w:val="es-PE"/>
        </w:rPr>
      </w:pPr>
      <w:r w:rsidRPr="00F0054E">
        <w:rPr>
          <w:rFonts w:ascii="Arial" w:hAnsi="Arial" w:cs="Arial"/>
          <w:bCs/>
          <w:sz w:val="22"/>
          <w:szCs w:val="22"/>
          <w:lang w:val="es-PE"/>
        </w:rPr>
        <w:t xml:space="preserve">Asimismo, la disposición de los estudiantes a participar en formación práctica guarda estrecha relación con lo planteado por </w:t>
      </w:r>
      <w:proofErr w:type="spellStart"/>
      <w:r w:rsidRPr="00F0054E">
        <w:rPr>
          <w:rFonts w:ascii="Arial" w:hAnsi="Arial" w:cs="Arial"/>
          <w:bCs/>
          <w:sz w:val="22"/>
          <w:szCs w:val="22"/>
          <w:lang w:val="es-PE"/>
        </w:rPr>
        <w:t>Sorooshian</w:t>
      </w:r>
      <w:proofErr w:type="spellEnd"/>
      <w:r w:rsidRPr="00F0054E">
        <w:rPr>
          <w:rFonts w:ascii="Arial" w:hAnsi="Arial" w:cs="Arial"/>
          <w:bCs/>
          <w:sz w:val="22"/>
          <w:szCs w:val="22"/>
          <w:lang w:val="es-PE"/>
        </w:rPr>
        <w:t xml:space="preserve"> (2025), quien resalta que una mayor inclusión de las comunidades mediante la conciencia socioambiental fortalece la confianza entre empresas y actores locales. La coincidencia se explica porque en ambos contextos se reconoce que la participación no puede limitarse a la consulta pasiva, sino que debe incluirse desde los procesos formativos en edades tempranas, preparando a los futuros ciudadanos para la toma de decisiones informadas y colaborativas.</w:t>
      </w:r>
    </w:p>
    <w:p w14:paraId="6BCEB83D" w14:textId="77777777" w:rsidR="00F0054E" w:rsidRPr="00F0054E" w:rsidRDefault="00F0054E" w:rsidP="00F0054E">
      <w:pPr>
        <w:jc w:val="both"/>
        <w:rPr>
          <w:rFonts w:ascii="Arial" w:hAnsi="Arial" w:cs="Arial"/>
          <w:bCs/>
          <w:sz w:val="22"/>
          <w:szCs w:val="22"/>
          <w:lang w:val="es-PE"/>
        </w:rPr>
      </w:pPr>
    </w:p>
    <w:p w14:paraId="747EFBE9" w14:textId="77777777" w:rsidR="00F0054E" w:rsidRPr="00F0054E" w:rsidRDefault="00F0054E" w:rsidP="00F0054E">
      <w:pPr>
        <w:jc w:val="both"/>
        <w:rPr>
          <w:rFonts w:ascii="Arial" w:hAnsi="Arial" w:cs="Arial"/>
          <w:bCs/>
          <w:sz w:val="22"/>
          <w:szCs w:val="22"/>
          <w:lang w:val="es-PE"/>
        </w:rPr>
      </w:pPr>
      <w:r w:rsidRPr="00F0054E">
        <w:rPr>
          <w:rFonts w:ascii="Arial" w:hAnsi="Arial" w:cs="Arial"/>
          <w:bCs/>
          <w:sz w:val="22"/>
          <w:szCs w:val="22"/>
          <w:lang w:val="es-PE"/>
        </w:rPr>
        <w:t>En cuanto a la correlación entre formación ética y actitudes positivas hacia la minería, los resultados dialogan con el planteamiento de Doyle et al. (2025), quien destaca que los modelos de madurez socioambiental en minería se benefician de una cultura organizacional cimentada en la educación ética. En el presente estudio, los estudiantes que internalizan valores como la equidad, el respeto al medio ambiente y la justicia social, son más capaces de adoptar posturas críticas pero constructivas frente a la minería. Esta coincidencia se justifica en el marco del aprendizaje moral cognitivo, donde los juicios éticos complejos requieren formación previa para superar percepciones dicotómicas.</w:t>
      </w:r>
    </w:p>
    <w:p w14:paraId="46930E4F" w14:textId="77777777" w:rsidR="00F0054E" w:rsidRPr="00F0054E" w:rsidRDefault="00F0054E" w:rsidP="00F0054E">
      <w:pPr>
        <w:jc w:val="both"/>
        <w:rPr>
          <w:rFonts w:ascii="Arial" w:hAnsi="Arial" w:cs="Arial"/>
          <w:bCs/>
          <w:sz w:val="22"/>
          <w:szCs w:val="22"/>
          <w:lang w:val="es-PE"/>
        </w:rPr>
      </w:pPr>
    </w:p>
    <w:p w14:paraId="1298BF80" w14:textId="77777777" w:rsidR="00F0054E" w:rsidRPr="00F0054E" w:rsidRDefault="00F0054E" w:rsidP="00F0054E">
      <w:pPr>
        <w:jc w:val="both"/>
        <w:rPr>
          <w:rFonts w:ascii="Arial" w:hAnsi="Arial" w:cs="Arial"/>
          <w:bCs/>
          <w:sz w:val="22"/>
          <w:szCs w:val="22"/>
          <w:lang w:val="es-PE"/>
        </w:rPr>
      </w:pPr>
      <w:r w:rsidRPr="00F0054E">
        <w:rPr>
          <w:rFonts w:ascii="Arial" w:hAnsi="Arial" w:cs="Arial"/>
          <w:bCs/>
          <w:sz w:val="22"/>
          <w:szCs w:val="22"/>
          <w:lang w:val="es-PE"/>
        </w:rPr>
        <w:t xml:space="preserve">Desde el enfoque cualitativo, los hallazgos coinciden con lo planteado por </w:t>
      </w:r>
      <w:proofErr w:type="spellStart"/>
      <w:r w:rsidRPr="00F0054E">
        <w:rPr>
          <w:rFonts w:ascii="Arial" w:hAnsi="Arial" w:cs="Arial"/>
          <w:bCs/>
          <w:sz w:val="22"/>
          <w:szCs w:val="22"/>
          <w:lang w:val="es-PE"/>
        </w:rPr>
        <w:t>Adu-Baffour</w:t>
      </w:r>
      <w:proofErr w:type="spellEnd"/>
      <w:r w:rsidRPr="00F0054E">
        <w:rPr>
          <w:rFonts w:ascii="Arial" w:hAnsi="Arial" w:cs="Arial"/>
          <w:bCs/>
          <w:sz w:val="22"/>
          <w:szCs w:val="22"/>
          <w:lang w:val="es-PE"/>
        </w:rPr>
        <w:t xml:space="preserve"> et al. (2025), quien subraya la relevancia de programas educativos que promuevan el uso responsable del suelo y la restauración ambiental. La recurrencia de temas como la desconfianza hacia las empresas, el impacto ambiental y la responsabilidad compartida, revela una sensibilidad creciente en los actores escolares frente a la complejidad del fenómeno minero. Esta concordancia se explica porque ambos estudios comprenden la educación como una herramienta para transformar la percepción del entorno en contextos históricamente marcados por el conflicto extractivo.</w:t>
      </w:r>
    </w:p>
    <w:p w14:paraId="08F739F7" w14:textId="77777777" w:rsidR="00F0054E" w:rsidRPr="00F0054E" w:rsidRDefault="00F0054E" w:rsidP="00F0054E">
      <w:pPr>
        <w:jc w:val="both"/>
        <w:rPr>
          <w:rFonts w:ascii="Arial" w:hAnsi="Arial" w:cs="Arial"/>
          <w:bCs/>
          <w:sz w:val="22"/>
          <w:szCs w:val="22"/>
          <w:lang w:val="es-PE"/>
        </w:rPr>
      </w:pPr>
    </w:p>
    <w:p w14:paraId="0F776F82" w14:textId="77777777" w:rsidR="00F0054E" w:rsidRPr="00F0054E" w:rsidRDefault="00F0054E" w:rsidP="00F0054E">
      <w:pPr>
        <w:jc w:val="both"/>
        <w:rPr>
          <w:rFonts w:ascii="Arial" w:hAnsi="Arial" w:cs="Arial"/>
          <w:bCs/>
          <w:sz w:val="22"/>
          <w:szCs w:val="22"/>
          <w:lang w:val="es-PE"/>
        </w:rPr>
      </w:pPr>
      <w:r w:rsidRPr="00F0054E">
        <w:rPr>
          <w:rFonts w:ascii="Arial" w:hAnsi="Arial" w:cs="Arial"/>
          <w:bCs/>
          <w:sz w:val="22"/>
          <w:szCs w:val="22"/>
          <w:lang w:val="es-PE"/>
        </w:rPr>
        <w:t xml:space="preserve">Sin embargo, a diferencia de lo identificado por </w:t>
      </w:r>
      <w:proofErr w:type="spellStart"/>
      <w:r w:rsidRPr="00F0054E">
        <w:rPr>
          <w:rFonts w:ascii="Arial" w:hAnsi="Arial" w:cs="Arial"/>
          <w:bCs/>
          <w:sz w:val="22"/>
          <w:szCs w:val="22"/>
          <w:lang w:val="es-PE"/>
        </w:rPr>
        <w:t>Komba</w:t>
      </w:r>
      <w:proofErr w:type="spellEnd"/>
      <w:r w:rsidRPr="00F0054E">
        <w:rPr>
          <w:rFonts w:ascii="Arial" w:hAnsi="Arial" w:cs="Arial"/>
          <w:bCs/>
          <w:sz w:val="22"/>
          <w:szCs w:val="22"/>
          <w:lang w:val="es-PE"/>
        </w:rPr>
        <w:t xml:space="preserve"> et al. (2025), quien señala que los informes de sostenibilidad de las empresas mineras priorizan el enfoque ambiental sobre el social, el presente estudio visibiliza que desde la comunidad educativa existe una preocupación más amplia por la dimensión social, ética y comunitaria. Esta discrepancia puede explicarse por el punto de vista desde el cual se recolectan los datos: mientras </w:t>
      </w:r>
      <w:proofErr w:type="spellStart"/>
      <w:r w:rsidRPr="00F0054E">
        <w:rPr>
          <w:rFonts w:ascii="Arial" w:hAnsi="Arial" w:cs="Arial"/>
          <w:bCs/>
          <w:sz w:val="22"/>
          <w:szCs w:val="22"/>
          <w:lang w:val="es-PE"/>
        </w:rPr>
        <w:t>Komba</w:t>
      </w:r>
      <w:proofErr w:type="spellEnd"/>
      <w:r w:rsidRPr="00F0054E">
        <w:rPr>
          <w:rFonts w:ascii="Arial" w:hAnsi="Arial" w:cs="Arial"/>
          <w:bCs/>
          <w:sz w:val="22"/>
          <w:szCs w:val="22"/>
          <w:lang w:val="es-PE"/>
        </w:rPr>
        <w:t xml:space="preserve"> et al. analizan documentación institucional, este estudio se centra en percepciones directas de actores escolares, lo que permite visibilizar demandas que podrían no estar reflejadas en los reportes oficiales.</w:t>
      </w:r>
    </w:p>
    <w:p w14:paraId="73FD793C" w14:textId="77777777" w:rsidR="00F0054E" w:rsidRPr="00F0054E" w:rsidRDefault="00F0054E" w:rsidP="00F0054E">
      <w:pPr>
        <w:jc w:val="both"/>
        <w:rPr>
          <w:rFonts w:ascii="Arial" w:hAnsi="Arial" w:cs="Arial"/>
          <w:bCs/>
          <w:sz w:val="22"/>
          <w:szCs w:val="22"/>
          <w:lang w:val="es-PE"/>
        </w:rPr>
      </w:pPr>
    </w:p>
    <w:p w14:paraId="35D4D405" w14:textId="5E20D6AD" w:rsidR="00E77D13" w:rsidRPr="000270E6" w:rsidRDefault="00F0054E" w:rsidP="00F0054E">
      <w:pPr>
        <w:jc w:val="both"/>
        <w:rPr>
          <w:rFonts w:ascii="Arial" w:hAnsi="Arial" w:cs="Arial"/>
          <w:bCs/>
          <w:sz w:val="22"/>
          <w:szCs w:val="22"/>
          <w:lang w:val="es-PE"/>
        </w:rPr>
      </w:pPr>
      <w:r w:rsidRPr="00F0054E">
        <w:rPr>
          <w:rFonts w:ascii="Arial" w:hAnsi="Arial" w:cs="Arial"/>
          <w:bCs/>
          <w:sz w:val="22"/>
          <w:szCs w:val="22"/>
          <w:lang w:val="es-PE"/>
        </w:rPr>
        <w:t>En suma, la discusión revela que la educación ética y en sostenibilidad no solo mejora la comprensión de los estudiantes sobre la minería, sino que también propicia actitudes más responsables, críticas y abiertas al diálogo. La coherencia con autores internacionales confirma la validez del enfoque adoptado, mientras que las diferencias identificadas subrayan la necesidad de integrar la voz de las comunidades escolares en el diseño de políticas de responsabilidad social empresarial. Así, este estudio no solo valida teorías existentes, sino que contribuye con evidencia local al debate sobre la gobernanza socioambiental en contextos extractivos.</w:t>
      </w:r>
    </w:p>
    <w:p w14:paraId="002C7898" w14:textId="77777777" w:rsidR="00E77D13" w:rsidRPr="000270E6" w:rsidRDefault="00E77D13" w:rsidP="00F0054E">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2D4879CF" w14:textId="77777777" w:rsidR="00F0054E" w:rsidRPr="00F0054E" w:rsidRDefault="00F0054E" w:rsidP="00F0054E">
      <w:pPr>
        <w:jc w:val="both"/>
        <w:rPr>
          <w:rFonts w:ascii="Arial" w:hAnsi="Arial" w:cs="Arial"/>
          <w:bCs/>
          <w:sz w:val="22"/>
          <w:szCs w:val="22"/>
          <w:lang w:val="es-PE"/>
        </w:rPr>
      </w:pPr>
      <w:r w:rsidRPr="00F0054E">
        <w:rPr>
          <w:rFonts w:ascii="Arial" w:hAnsi="Arial" w:cs="Arial"/>
          <w:bCs/>
          <w:sz w:val="22"/>
          <w:szCs w:val="22"/>
          <w:lang w:val="es-PE"/>
        </w:rPr>
        <w:t>Los hallazgos del presente estudio permiten concluir que la educación en valores y principios éticos constituye una estrategia fundamental para fortalecer la sostenibilidad y la licencia social en zonas mineras. En contextos como Arequipa, donde coexisten los beneficios económicos de la minería con impactos ambientales y tensiones sociales, la intervención educativa dirigida a estudiantes de secundaria se configura como un mecanismo efectivo para promover una ciudadanía informada, crítica y comprometida con su entorno.</w:t>
      </w:r>
    </w:p>
    <w:p w14:paraId="07673EB5" w14:textId="77777777" w:rsidR="00F0054E" w:rsidRDefault="00F0054E" w:rsidP="00F0054E">
      <w:pPr>
        <w:jc w:val="both"/>
        <w:rPr>
          <w:rFonts w:ascii="Arial" w:hAnsi="Arial" w:cs="Arial"/>
          <w:bCs/>
          <w:sz w:val="22"/>
          <w:szCs w:val="22"/>
          <w:lang w:val="es-PE"/>
        </w:rPr>
      </w:pPr>
    </w:p>
    <w:p w14:paraId="5075C0A2" w14:textId="28D17AF8" w:rsidR="00F0054E" w:rsidRPr="00F0054E" w:rsidRDefault="00F0054E" w:rsidP="00F0054E">
      <w:pPr>
        <w:jc w:val="both"/>
        <w:rPr>
          <w:rFonts w:ascii="Arial" w:hAnsi="Arial" w:cs="Arial"/>
          <w:bCs/>
          <w:sz w:val="22"/>
          <w:szCs w:val="22"/>
          <w:lang w:val="es-PE"/>
        </w:rPr>
      </w:pPr>
      <w:r w:rsidRPr="00F0054E">
        <w:rPr>
          <w:rFonts w:ascii="Arial" w:hAnsi="Arial" w:cs="Arial"/>
          <w:bCs/>
          <w:sz w:val="22"/>
          <w:szCs w:val="22"/>
          <w:lang w:val="es-PE"/>
        </w:rPr>
        <w:t>Se comprobó que los estudiantes que accedieron a contenidos vinculados a ética y sostenibilidad mostraron actitudes más equilibradas frente a la minería, en contraste con aquellos que carecían de dicha formación. Además, la alta disposición del alumnado a participar en actividades formativas prácticas revela una apertura hacia procesos educativos activos, contextualizados y transformadores. Esta evidencia refuerza el rol de la educación como puente entre el conocimiento técnico y la responsabilidad social, y como herramienta para prevenir conflictos y fomentar la corresponsabilidad comunitaria.</w:t>
      </w:r>
    </w:p>
    <w:p w14:paraId="2F753E6C" w14:textId="77777777" w:rsidR="00F0054E" w:rsidRDefault="00F0054E" w:rsidP="00F0054E">
      <w:pPr>
        <w:jc w:val="both"/>
        <w:rPr>
          <w:rFonts w:ascii="Arial" w:hAnsi="Arial" w:cs="Arial"/>
          <w:bCs/>
          <w:sz w:val="22"/>
          <w:szCs w:val="22"/>
          <w:lang w:val="es-PE"/>
        </w:rPr>
      </w:pPr>
    </w:p>
    <w:p w14:paraId="506BD6CD" w14:textId="1EDD6B97" w:rsidR="00F0054E" w:rsidRPr="00F0054E" w:rsidRDefault="00F0054E" w:rsidP="00F0054E">
      <w:pPr>
        <w:jc w:val="both"/>
        <w:rPr>
          <w:rFonts w:ascii="Arial" w:hAnsi="Arial" w:cs="Arial"/>
          <w:bCs/>
          <w:sz w:val="22"/>
          <w:szCs w:val="22"/>
          <w:lang w:val="es-PE"/>
        </w:rPr>
      </w:pPr>
      <w:r w:rsidRPr="00F0054E">
        <w:rPr>
          <w:rFonts w:ascii="Arial" w:hAnsi="Arial" w:cs="Arial"/>
          <w:bCs/>
          <w:sz w:val="22"/>
          <w:szCs w:val="22"/>
          <w:lang w:val="es-PE"/>
        </w:rPr>
        <w:lastRenderedPageBreak/>
        <w:t>Desde la dimensión cualitativa, las percepciones recogidas en entrevistas y grupos focales coinciden en la necesidad urgente de consolidar un currículo que integre de manera transversal temas de sostenibilidad, responsabilidad empresarial y ética pública. El involucramiento de los actores escolares en el análisis del contexto minero demuestra que la escuela puede y debe actuar como un agente clave en la gobernanza local y en la construcción de una cultura de diálogo.</w:t>
      </w:r>
    </w:p>
    <w:p w14:paraId="55DFD36E" w14:textId="77777777" w:rsidR="00F0054E" w:rsidRDefault="00F0054E" w:rsidP="00F0054E">
      <w:pPr>
        <w:jc w:val="both"/>
        <w:rPr>
          <w:rFonts w:ascii="Arial" w:hAnsi="Arial" w:cs="Arial"/>
          <w:bCs/>
          <w:sz w:val="22"/>
          <w:szCs w:val="22"/>
          <w:lang w:val="es-PE"/>
        </w:rPr>
      </w:pPr>
    </w:p>
    <w:p w14:paraId="5C2B0B47" w14:textId="3DCCDE17" w:rsidR="00F0054E" w:rsidRPr="00F0054E" w:rsidRDefault="00F0054E" w:rsidP="00F0054E">
      <w:pPr>
        <w:jc w:val="both"/>
        <w:rPr>
          <w:rFonts w:ascii="Arial" w:hAnsi="Arial" w:cs="Arial"/>
          <w:bCs/>
          <w:sz w:val="22"/>
          <w:szCs w:val="22"/>
          <w:lang w:val="es-PE"/>
        </w:rPr>
      </w:pPr>
      <w:r>
        <w:rPr>
          <w:rFonts w:ascii="Arial" w:hAnsi="Arial" w:cs="Arial"/>
          <w:bCs/>
          <w:sz w:val="22"/>
          <w:szCs w:val="22"/>
          <w:lang w:val="es-PE"/>
        </w:rPr>
        <w:t xml:space="preserve">Sobre estos hallazgos, se recomienda </w:t>
      </w:r>
      <w:r w:rsidRPr="00F0054E">
        <w:rPr>
          <w:rFonts w:ascii="Arial" w:hAnsi="Arial" w:cs="Arial"/>
          <w:bCs/>
          <w:sz w:val="22"/>
          <w:szCs w:val="22"/>
          <w:lang w:val="es-PE"/>
        </w:rPr>
        <w:t>incluir de forma sistemática en los programas escolares contenidos relacionados con minería responsable, ética ambiental y ciudadanía sostenible, especialmente en regiones con fuerte presencia de actividad extractiva.</w:t>
      </w:r>
    </w:p>
    <w:p w14:paraId="430DF994" w14:textId="77777777" w:rsidR="00F0054E" w:rsidRDefault="00F0054E" w:rsidP="00F0054E">
      <w:pPr>
        <w:jc w:val="both"/>
        <w:rPr>
          <w:rFonts w:ascii="Arial" w:hAnsi="Arial" w:cs="Arial"/>
          <w:bCs/>
          <w:sz w:val="22"/>
          <w:szCs w:val="22"/>
          <w:lang w:val="es-PE"/>
        </w:rPr>
      </w:pPr>
    </w:p>
    <w:p w14:paraId="7A5C8C4A" w14:textId="1F4AC939" w:rsidR="00F0054E" w:rsidRPr="00F0054E" w:rsidRDefault="00F0054E" w:rsidP="00F0054E">
      <w:pPr>
        <w:jc w:val="both"/>
        <w:rPr>
          <w:rFonts w:ascii="Arial" w:hAnsi="Arial" w:cs="Arial"/>
          <w:bCs/>
          <w:sz w:val="22"/>
          <w:szCs w:val="22"/>
          <w:lang w:val="es-PE"/>
        </w:rPr>
      </w:pPr>
      <w:r>
        <w:rPr>
          <w:rFonts w:ascii="Arial" w:hAnsi="Arial" w:cs="Arial"/>
          <w:bCs/>
          <w:sz w:val="22"/>
          <w:szCs w:val="22"/>
          <w:lang w:val="es-PE"/>
        </w:rPr>
        <w:t xml:space="preserve">Adicionalmente, será </w:t>
      </w:r>
      <w:r w:rsidRPr="00F0054E">
        <w:rPr>
          <w:rFonts w:ascii="Arial" w:hAnsi="Arial" w:cs="Arial"/>
          <w:bCs/>
          <w:sz w:val="22"/>
          <w:szCs w:val="22"/>
          <w:lang w:val="es-PE"/>
        </w:rPr>
        <w:t>necesario diseñar experiencias educativas prácticas, como visitas guiadas a operaciones mineras responsables, análisis de estudios de caso y proyectos de aula basados en problemas del entorno local.</w:t>
      </w:r>
    </w:p>
    <w:p w14:paraId="5BCB0953" w14:textId="77777777" w:rsidR="00F0054E" w:rsidRDefault="00F0054E" w:rsidP="00F0054E">
      <w:pPr>
        <w:jc w:val="both"/>
        <w:rPr>
          <w:rFonts w:ascii="Arial" w:hAnsi="Arial" w:cs="Arial"/>
          <w:bCs/>
          <w:sz w:val="22"/>
          <w:szCs w:val="22"/>
          <w:lang w:val="es-PE"/>
        </w:rPr>
      </w:pPr>
    </w:p>
    <w:p w14:paraId="4B7EE97E" w14:textId="3DF9CD31" w:rsidR="00F0054E" w:rsidRPr="00F0054E" w:rsidRDefault="00F0054E" w:rsidP="00F0054E">
      <w:pPr>
        <w:jc w:val="both"/>
        <w:rPr>
          <w:rFonts w:ascii="Arial" w:hAnsi="Arial" w:cs="Arial"/>
          <w:bCs/>
          <w:sz w:val="22"/>
          <w:szCs w:val="22"/>
          <w:lang w:val="es-PE"/>
        </w:rPr>
      </w:pPr>
      <w:r>
        <w:rPr>
          <w:rFonts w:ascii="Arial" w:hAnsi="Arial" w:cs="Arial"/>
          <w:bCs/>
          <w:sz w:val="22"/>
          <w:szCs w:val="22"/>
          <w:lang w:val="es-PE"/>
        </w:rPr>
        <w:t xml:space="preserve">Otro aliciente sería </w:t>
      </w:r>
      <w:r w:rsidRPr="00F0054E">
        <w:rPr>
          <w:rFonts w:ascii="Arial" w:hAnsi="Arial" w:cs="Arial"/>
          <w:bCs/>
          <w:sz w:val="22"/>
          <w:szCs w:val="22"/>
          <w:lang w:val="es-PE"/>
        </w:rPr>
        <w:t>establecer alianzas entre instituciones educativas, empresas mineras y organizaciones sociales para desarrollar programas de formación, diálogo y corresponsabilidad que refuercen la licencia social y la cultura de sostenibilidad.</w:t>
      </w:r>
    </w:p>
    <w:p w14:paraId="7AD454E2" w14:textId="77777777" w:rsidR="00F0054E" w:rsidRDefault="00F0054E" w:rsidP="00F0054E">
      <w:pPr>
        <w:jc w:val="both"/>
        <w:rPr>
          <w:rFonts w:ascii="Arial" w:hAnsi="Arial" w:cs="Arial"/>
          <w:bCs/>
          <w:sz w:val="22"/>
          <w:szCs w:val="22"/>
          <w:lang w:val="es-PE"/>
        </w:rPr>
      </w:pPr>
    </w:p>
    <w:p w14:paraId="5ED0754B" w14:textId="1EEFB958" w:rsidR="00F0054E" w:rsidRPr="00F0054E" w:rsidRDefault="00F0054E" w:rsidP="00F0054E">
      <w:pPr>
        <w:jc w:val="both"/>
        <w:rPr>
          <w:rFonts w:ascii="Arial" w:hAnsi="Arial" w:cs="Arial"/>
          <w:bCs/>
          <w:sz w:val="22"/>
          <w:szCs w:val="22"/>
          <w:lang w:val="es-PE"/>
        </w:rPr>
      </w:pPr>
      <w:r>
        <w:rPr>
          <w:rFonts w:ascii="Arial" w:hAnsi="Arial" w:cs="Arial"/>
          <w:bCs/>
          <w:sz w:val="22"/>
          <w:szCs w:val="22"/>
          <w:lang w:val="es-PE"/>
        </w:rPr>
        <w:t>Se añade que l</w:t>
      </w:r>
      <w:r w:rsidRPr="00F0054E">
        <w:rPr>
          <w:rFonts w:ascii="Arial" w:hAnsi="Arial" w:cs="Arial"/>
          <w:bCs/>
          <w:sz w:val="22"/>
          <w:szCs w:val="22"/>
          <w:lang w:val="es-PE"/>
        </w:rPr>
        <w:t>os docentes deben ser preparados para facilitar procesos educativos con enfoque socioambiental, dotándolos de herramientas pedagógicas y conocimientos actualizados sobre ética, desarrollo sostenible y conflictos socioambientales.</w:t>
      </w:r>
    </w:p>
    <w:p w14:paraId="1D00E5AB" w14:textId="77777777" w:rsidR="00F0054E" w:rsidRDefault="00F0054E" w:rsidP="00F0054E">
      <w:pPr>
        <w:jc w:val="both"/>
        <w:rPr>
          <w:rFonts w:ascii="Arial" w:hAnsi="Arial" w:cs="Arial"/>
          <w:bCs/>
          <w:sz w:val="22"/>
          <w:szCs w:val="22"/>
          <w:lang w:val="es-PE"/>
        </w:rPr>
      </w:pPr>
    </w:p>
    <w:p w14:paraId="0573C1E6" w14:textId="5E0382EA" w:rsidR="002D1C36" w:rsidRPr="000270E6" w:rsidRDefault="00F0054E" w:rsidP="002D1C36">
      <w:pPr>
        <w:jc w:val="both"/>
        <w:rPr>
          <w:rFonts w:ascii="Arial" w:hAnsi="Arial" w:cs="Arial"/>
          <w:bCs/>
          <w:sz w:val="22"/>
          <w:szCs w:val="22"/>
          <w:lang w:val="es-PE"/>
        </w:rPr>
      </w:pPr>
      <w:r>
        <w:rPr>
          <w:rFonts w:ascii="Arial" w:hAnsi="Arial" w:cs="Arial"/>
          <w:bCs/>
          <w:sz w:val="22"/>
          <w:szCs w:val="22"/>
          <w:lang w:val="es-PE"/>
        </w:rPr>
        <w:t>Como consecuencia, s</w:t>
      </w:r>
      <w:r w:rsidRPr="00F0054E">
        <w:rPr>
          <w:rFonts w:ascii="Arial" w:hAnsi="Arial" w:cs="Arial"/>
          <w:bCs/>
          <w:sz w:val="22"/>
          <w:szCs w:val="22"/>
          <w:lang w:val="es-PE"/>
        </w:rPr>
        <w:t>e recomienda implementar mecanismos de evaluación que permitan monitorear el impacto de las estrategias educativas en la percepción y compromiso de los estudiantes con su entorno, promoviendo ajustes e innovaciones continuas</w:t>
      </w:r>
      <w:r w:rsidR="002D1C36" w:rsidRPr="000270E6">
        <w:rPr>
          <w:rFonts w:ascii="Arial" w:hAnsi="Arial" w:cs="Arial"/>
          <w:bCs/>
          <w:sz w:val="22"/>
          <w:szCs w:val="22"/>
          <w:lang w:val="es-PE"/>
        </w:rPr>
        <w:t>.</w:t>
      </w:r>
    </w:p>
    <w:p w14:paraId="5A4EE2AB" w14:textId="62F08EF6" w:rsidR="002D1C36" w:rsidRPr="000270E6" w:rsidRDefault="002D1C36" w:rsidP="002D1C36">
      <w:pPr>
        <w:jc w:val="both"/>
        <w:rPr>
          <w:rFonts w:ascii="Arial" w:hAnsi="Arial" w:cs="Arial"/>
          <w:bCs/>
          <w:sz w:val="22"/>
          <w:szCs w:val="22"/>
          <w:lang w:val="es-PE"/>
        </w:rPr>
      </w:pPr>
    </w:p>
    <w:p w14:paraId="0346E950" w14:textId="0100687F" w:rsidR="006178C0" w:rsidRPr="00487FF9" w:rsidRDefault="00F0054E" w:rsidP="006178C0">
      <w:pPr>
        <w:jc w:val="both"/>
        <w:rPr>
          <w:rFonts w:ascii="Arial" w:hAnsi="Arial" w:cs="Arial"/>
          <w:b/>
          <w:bCs/>
          <w:sz w:val="22"/>
          <w:szCs w:val="22"/>
          <w:lang w:val="pt-BR"/>
        </w:rPr>
      </w:pPr>
      <w:r w:rsidRPr="00487FF9">
        <w:rPr>
          <w:rFonts w:ascii="Arial" w:hAnsi="Arial" w:cs="Arial"/>
          <w:b/>
          <w:bCs/>
          <w:sz w:val="22"/>
          <w:szCs w:val="22"/>
          <w:lang w:val="pt-BR"/>
        </w:rPr>
        <w:t>6</w:t>
      </w:r>
      <w:r w:rsidR="00EC5D28" w:rsidRPr="00487FF9">
        <w:rPr>
          <w:rFonts w:ascii="Arial" w:hAnsi="Arial" w:cs="Arial"/>
          <w:b/>
          <w:bCs/>
          <w:sz w:val="22"/>
          <w:szCs w:val="22"/>
          <w:lang w:val="pt-BR"/>
        </w:rPr>
        <w:t xml:space="preserve">. </w:t>
      </w:r>
      <w:r w:rsidR="00180629" w:rsidRPr="00487FF9">
        <w:rPr>
          <w:rFonts w:ascii="Arial" w:hAnsi="Arial" w:cs="Arial"/>
          <w:b/>
          <w:bCs/>
          <w:sz w:val="22"/>
          <w:szCs w:val="22"/>
          <w:lang w:val="pt-BR"/>
        </w:rPr>
        <w:t>Referencias bibliográficas</w:t>
      </w:r>
    </w:p>
    <w:p w14:paraId="52714C79" w14:textId="77777777" w:rsidR="006178C0" w:rsidRPr="00487FF9" w:rsidRDefault="006178C0" w:rsidP="006178C0">
      <w:pPr>
        <w:jc w:val="both"/>
        <w:rPr>
          <w:rFonts w:ascii="Arial" w:hAnsi="Arial" w:cs="Arial"/>
          <w:b/>
          <w:bCs/>
          <w:sz w:val="22"/>
          <w:szCs w:val="22"/>
          <w:lang w:val="pt-BR"/>
        </w:rPr>
      </w:pPr>
    </w:p>
    <w:p w14:paraId="18CA96F3" w14:textId="6D78308E" w:rsidR="00112EDE" w:rsidRPr="00112EDE" w:rsidRDefault="008005B7" w:rsidP="00B04835">
      <w:pPr>
        <w:widowControl w:val="0"/>
        <w:autoSpaceDE w:val="0"/>
        <w:autoSpaceDN w:val="0"/>
        <w:adjustRightInd w:val="0"/>
        <w:ind w:left="480" w:hanging="480"/>
        <w:jc w:val="both"/>
        <w:rPr>
          <w:rFonts w:ascii="Arial" w:hAnsi="Arial" w:cs="Arial"/>
          <w:noProof/>
          <w:sz w:val="22"/>
        </w:rPr>
      </w:pPr>
      <w:r>
        <w:rPr>
          <w:rFonts w:ascii="Arial" w:hAnsi="Arial" w:cs="Arial"/>
          <w:bCs/>
          <w:sz w:val="22"/>
          <w:szCs w:val="22"/>
          <w:lang w:val="es-PE"/>
        </w:rPr>
        <w:fldChar w:fldCharType="begin" w:fldLock="1"/>
      </w:r>
      <w:r w:rsidRPr="00487FF9">
        <w:rPr>
          <w:rFonts w:ascii="Arial" w:hAnsi="Arial" w:cs="Arial"/>
          <w:bCs/>
          <w:sz w:val="22"/>
          <w:szCs w:val="22"/>
          <w:lang w:val="en-US"/>
        </w:rPr>
        <w:instrText xml:space="preserve">ADDIN Mendeley Bibliography CSL_BIBLIOGRAPHY </w:instrText>
      </w:r>
      <w:r>
        <w:rPr>
          <w:rFonts w:ascii="Arial" w:hAnsi="Arial" w:cs="Arial"/>
          <w:bCs/>
          <w:sz w:val="22"/>
          <w:szCs w:val="22"/>
          <w:lang w:val="es-PE"/>
        </w:rPr>
        <w:fldChar w:fldCharType="separate"/>
      </w:r>
      <w:r w:rsidR="00112EDE" w:rsidRPr="00112EDE">
        <w:rPr>
          <w:rFonts w:ascii="Arial" w:hAnsi="Arial" w:cs="Arial"/>
          <w:noProof/>
          <w:sz w:val="22"/>
        </w:rPr>
        <w:t xml:space="preserve">Adu-Baffour, F., Daum, T., Obeng, E. A., Bosch, C., &amp; Birner, R. (2025). Who cleans up the mess? Exploring community-based solutions for rehabilitating Ghana’s artisanal and small-scale mining lands. </w:t>
      </w:r>
      <w:r w:rsidR="00112EDE" w:rsidRPr="00112EDE">
        <w:rPr>
          <w:rFonts w:ascii="Arial" w:hAnsi="Arial" w:cs="Arial"/>
          <w:i/>
          <w:iCs/>
          <w:noProof/>
          <w:sz w:val="22"/>
        </w:rPr>
        <w:t>Environmental Development</w:t>
      </w:r>
      <w:r w:rsidR="00112EDE" w:rsidRPr="00112EDE">
        <w:rPr>
          <w:rFonts w:ascii="Arial" w:hAnsi="Arial" w:cs="Arial"/>
          <w:noProof/>
          <w:sz w:val="22"/>
        </w:rPr>
        <w:t xml:space="preserve">, </w:t>
      </w:r>
      <w:r w:rsidR="00112EDE" w:rsidRPr="00112EDE">
        <w:rPr>
          <w:rFonts w:ascii="Arial" w:hAnsi="Arial" w:cs="Arial"/>
          <w:i/>
          <w:iCs/>
          <w:noProof/>
          <w:sz w:val="22"/>
        </w:rPr>
        <w:t>55</w:t>
      </w:r>
      <w:r w:rsidR="00112EDE" w:rsidRPr="00112EDE">
        <w:rPr>
          <w:rFonts w:ascii="Arial" w:hAnsi="Arial" w:cs="Arial"/>
          <w:noProof/>
          <w:sz w:val="22"/>
        </w:rPr>
        <w:t>, 101239. https://doi.org/10.1016/j.envdev.2025.101239</w:t>
      </w:r>
    </w:p>
    <w:p w14:paraId="2F0DA8A4"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Boafo, J., &amp; Arthur-Holmes, F. (2025). Sustainability transition paradox: Emerging dimensions of illegal artisanal and small-scale mining of critical minerals in Africa. </w:t>
      </w:r>
      <w:r w:rsidRPr="00112EDE">
        <w:rPr>
          <w:rFonts w:ascii="Arial" w:hAnsi="Arial" w:cs="Arial"/>
          <w:i/>
          <w:iCs/>
          <w:noProof/>
          <w:sz w:val="22"/>
        </w:rPr>
        <w:t>Resources Policy</w:t>
      </w:r>
      <w:r w:rsidRPr="00112EDE">
        <w:rPr>
          <w:rFonts w:ascii="Arial" w:hAnsi="Arial" w:cs="Arial"/>
          <w:noProof/>
          <w:sz w:val="22"/>
        </w:rPr>
        <w:t xml:space="preserve">, </w:t>
      </w:r>
      <w:r w:rsidRPr="00112EDE">
        <w:rPr>
          <w:rFonts w:ascii="Arial" w:hAnsi="Arial" w:cs="Arial"/>
          <w:i/>
          <w:iCs/>
          <w:noProof/>
          <w:sz w:val="22"/>
        </w:rPr>
        <w:t>108</w:t>
      </w:r>
      <w:r w:rsidRPr="00112EDE">
        <w:rPr>
          <w:rFonts w:ascii="Arial" w:hAnsi="Arial" w:cs="Arial"/>
          <w:noProof/>
          <w:sz w:val="22"/>
        </w:rPr>
        <w:t>(March), 105673. https://doi.org/10.1016/j.resourpol.2025.105673</w:t>
      </w:r>
    </w:p>
    <w:p w14:paraId="3A0B768B"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Born, K. (2025). Adoption of circular economy practices in the mining sector: Evidence from Chile. </w:t>
      </w:r>
      <w:r w:rsidRPr="00112EDE">
        <w:rPr>
          <w:rFonts w:ascii="Arial" w:hAnsi="Arial" w:cs="Arial"/>
          <w:i/>
          <w:iCs/>
          <w:noProof/>
          <w:sz w:val="22"/>
        </w:rPr>
        <w:t>Resources Policy</w:t>
      </w:r>
      <w:r w:rsidRPr="00112EDE">
        <w:rPr>
          <w:rFonts w:ascii="Arial" w:hAnsi="Arial" w:cs="Arial"/>
          <w:noProof/>
          <w:sz w:val="22"/>
        </w:rPr>
        <w:t xml:space="preserve">, </w:t>
      </w:r>
      <w:r w:rsidRPr="00112EDE">
        <w:rPr>
          <w:rFonts w:ascii="Arial" w:hAnsi="Arial" w:cs="Arial"/>
          <w:i/>
          <w:iCs/>
          <w:noProof/>
          <w:sz w:val="22"/>
        </w:rPr>
        <w:t>102</w:t>
      </w:r>
      <w:r w:rsidRPr="00112EDE">
        <w:rPr>
          <w:rFonts w:ascii="Arial" w:hAnsi="Arial" w:cs="Arial"/>
          <w:noProof/>
          <w:sz w:val="22"/>
        </w:rPr>
        <w:t>(November 2024), 105514. https://doi.org/10.1016/j.resourpol.2025.105514</w:t>
      </w:r>
    </w:p>
    <w:p w14:paraId="64CF799A"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Doyle, K., Moore, K., &amp; Foster, P. (2025). Criteria-driven socio-environmental maturity modelling for mining: driving positive sustainability attitudes and perceptions at diverse operational scales. </w:t>
      </w:r>
      <w:r w:rsidRPr="00112EDE">
        <w:rPr>
          <w:rFonts w:ascii="Arial" w:hAnsi="Arial" w:cs="Arial"/>
          <w:i/>
          <w:iCs/>
          <w:noProof/>
          <w:sz w:val="22"/>
        </w:rPr>
        <w:t>Resources Policy</w:t>
      </w:r>
      <w:r w:rsidRPr="00112EDE">
        <w:rPr>
          <w:rFonts w:ascii="Arial" w:hAnsi="Arial" w:cs="Arial"/>
          <w:noProof/>
          <w:sz w:val="22"/>
        </w:rPr>
        <w:t xml:space="preserve">, </w:t>
      </w:r>
      <w:r w:rsidRPr="00112EDE">
        <w:rPr>
          <w:rFonts w:ascii="Arial" w:hAnsi="Arial" w:cs="Arial"/>
          <w:i/>
          <w:iCs/>
          <w:noProof/>
          <w:sz w:val="22"/>
        </w:rPr>
        <w:t>105</w:t>
      </w:r>
      <w:r w:rsidRPr="00112EDE">
        <w:rPr>
          <w:rFonts w:ascii="Arial" w:hAnsi="Arial" w:cs="Arial"/>
          <w:noProof/>
          <w:sz w:val="22"/>
        </w:rPr>
        <w:t>(January), 105606. https://doi.org/10.1016/j.resourpol.2025.105606</w:t>
      </w:r>
    </w:p>
    <w:p w14:paraId="0678F140"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Komba, B. P., Chattha, M. W. A., Fatima, A., Thomson, P. C., González, L. A., &amp; Hyder, M. F. (2025). Assessing the environmental, economic, and social impacts of industrial mining on agricultural communities in Sierra Leone: A sustainable approach using PLS-SEM. </w:t>
      </w:r>
      <w:r w:rsidRPr="00112EDE">
        <w:rPr>
          <w:rFonts w:ascii="Arial" w:hAnsi="Arial" w:cs="Arial"/>
          <w:i/>
          <w:iCs/>
          <w:noProof/>
          <w:sz w:val="22"/>
        </w:rPr>
        <w:t>Cleaner and Responsible Consumption</w:t>
      </w:r>
      <w:r w:rsidRPr="00112EDE">
        <w:rPr>
          <w:rFonts w:ascii="Arial" w:hAnsi="Arial" w:cs="Arial"/>
          <w:noProof/>
          <w:sz w:val="22"/>
        </w:rPr>
        <w:t xml:space="preserve">, </w:t>
      </w:r>
      <w:r w:rsidRPr="00112EDE">
        <w:rPr>
          <w:rFonts w:ascii="Arial" w:hAnsi="Arial" w:cs="Arial"/>
          <w:i/>
          <w:iCs/>
          <w:noProof/>
          <w:sz w:val="22"/>
        </w:rPr>
        <w:t>16</w:t>
      </w:r>
      <w:r w:rsidRPr="00112EDE">
        <w:rPr>
          <w:rFonts w:ascii="Arial" w:hAnsi="Arial" w:cs="Arial"/>
          <w:noProof/>
          <w:sz w:val="22"/>
        </w:rPr>
        <w:t>(November 2024). https://doi.org/10.1016/j.clrc.2025.100250</w:t>
      </w:r>
    </w:p>
    <w:p w14:paraId="68CBD1BB"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Magazzino, C., Haroon, M., &amp; Zeo, X. (2025). Greening the mines: Managing efficiency, environmental impact, and ecology in Chinese mining regions. </w:t>
      </w:r>
      <w:r w:rsidRPr="00112EDE">
        <w:rPr>
          <w:rFonts w:ascii="Arial" w:hAnsi="Arial" w:cs="Arial"/>
          <w:i/>
          <w:iCs/>
          <w:noProof/>
          <w:sz w:val="22"/>
        </w:rPr>
        <w:t>Resources Policy</w:t>
      </w:r>
      <w:r w:rsidRPr="00112EDE">
        <w:rPr>
          <w:rFonts w:ascii="Arial" w:hAnsi="Arial" w:cs="Arial"/>
          <w:noProof/>
          <w:sz w:val="22"/>
        </w:rPr>
        <w:t xml:space="preserve">, </w:t>
      </w:r>
      <w:r w:rsidRPr="00112EDE">
        <w:rPr>
          <w:rFonts w:ascii="Arial" w:hAnsi="Arial" w:cs="Arial"/>
          <w:i/>
          <w:iCs/>
          <w:noProof/>
          <w:sz w:val="22"/>
        </w:rPr>
        <w:t>103</w:t>
      </w:r>
      <w:r w:rsidRPr="00112EDE">
        <w:rPr>
          <w:rFonts w:ascii="Arial" w:hAnsi="Arial" w:cs="Arial"/>
          <w:noProof/>
          <w:sz w:val="22"/>
        </w:rPr>
        <w:t>(March), 105564. https://doi.org/10.1016/j.resourpol.2025.105564</w:t>
      </w:r>
    </w:p>
    <w:p w14:paraId="6E39D696"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Mavroudi, M., Tost, M., Eckl, M., Ammerer, G., &amp; Barakos, G. (2025). The role of earth observation technologies in enhancing social acceptance of mining operations. </w:t>
      </w:r>
      <w:r w:rsidRPr="00112EDE">
        <w:rPr>
          <w:rFonts w:ascii="Arial" w:hAnsi="Arial" w:cs="Arial"/>
          <w:i/>
          <w:iCs/>
          <w:noProof/>
          <w:sz w:val="22"/>
        </w:rPr>
        <w:t>Extractive Industries and Society</w:t>
      </w:r>
      <w:r w:rsidRPr="00112EDE">
        <w:rPr>
          <w:rFonts w:ascii="Arial" w:hAnsi="Arial" w:cs="Arial"/>
          <w:noProof/>
          <w:sz w:val="22"/>
        </w:rPr>
        <w:t xml:space="preserve">, </w:t>
      </w:r>
      <w:r w:rsidRPr="00112EDE">
        <w:rPr>
          <w:rFonts w:ascii="Arial" w:hAnsi="Arial" w:cs="Arial"/>
          <w:i/>
          <w:iCs/>
          <w:noProof/>
          <w:sz w:val="22"/>
        </w:rPr>
        <w:t>23</w:t>
      </w:r>
      <w:r w:rsidRPr="00112EDE">
        <w:rPr>
          <w:rFonts w:ascii="Arial" w:hAnsi="Arial" w:cs="Arial"/>
          <w:noProof/>
          <w:sz w:val="22"/>
        </w:rPr>
        <w:t>(March), 101689. https://doi.org/10.1016/j.exis.2025.101689</w:t>
      </w:r>
    </w:p>
    <w:p w14:paraId="3BEA28A9"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Mishra, P. P., Sravan, C., &amp; Shivali, R. (2025). Circular economy in the Indian extractive industry: A preliminary analytical assessment of the major mining companies. </w:t>
      </w:r>
      <w:r w:rsidRPr="00112EDE">
        <w:rPr>
          <w:rFonts w:ascii="Arial" w:hAnsi="Arial" w:cs="Arial"/>
          <w:i/>
          <w:iCs/>
          <w:noProof/>
          <w:sz w:val="22"/>
        </w:rPr>
        <w:t>Cleaner Waste Systems</w:t>
      </w:r>
      <w:r w:rsidRPr="00112EDE">
        <w:rPr>
          <w:rFonts w:ascii="Arial" w:hAnsi="Arial" w:cs="Arial"/>
          <w:noProof/>
          <w:sz w:val="22"/>
        </w:rPr>
        <w:t xml:space="preserve">, </w:t>
      </w:r>
      <w:r w:rsidRPr="00112EDE">
        <w:rPr>
          <w:rFonts w:ascii="Arial" w:hAnsi="Arial" w:cs="Arial"/>
          <w:i/>
          <w:iCs/>
          <w:noProof/>
          <w:sz w:val="22"/>
        </w:rPr>
        <w:t>11</w:t>
      </w:r>
      <w:r w:rsidRPr="00112EDE">
        <w:rPr>
          <w:rFonts w:ascii="Arial" w:hAnsi="Arial" w:cs="Arial"/>
          <w:noProof/>
          <w:sz w:val="22"/>
        </w:rPr>
        <w:t>(February), 100287. https://doi.org/10.1016/j.clwas.2025.100287</w:t>
      </w:r>
    </w:p>
    <w:p w14:paraId="2126B217"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Murphy, M., &amp; Bertignoll, H. (2025). Shaping the future of mining; Balancing responsible extraction of resources and related social impacts through the PRO SLO education initiative. </w:t>
      </w:r>
      <w:r w:rsidRPr="00112EDE">
        <w:rPr>
          <w:rFonts w:ascii="Arial" w:hAnsi="Arial" w:cs="Arial"/>
          <w:i/>
          <w:iCs/>
          <w:noProof/>
          <w:sz w:val="22"/>
        </w:rPr>
        <w:t>Procedia Computer Science</w:t>
      </w:r>
      <w:r w:rsidRPr="00112EDE">
        <w:rPr>
          <w:rFonts w:ascii="Arial" w:hAnsi="Arial" w:cs="Arial"/>
          <w:noProof/>
          <w:sz w:val="22"/>
        </w:rPr>
        <w:t xml:space="preserve">, </w:t>
      </w:r>
      <w:r w:rsidRPr="00112EDE">
        <w:rPr>
          <w:rFonts w:ascii="Arial" w:hAnsi="Arial" w:cs="Arial"/>
          <w:i/>
          <w:iCs/>
          <w:noProof/>
          <w:sz w:val="22"/>
        </w:rPr>
        <w:t>253</w:t>
      </w:r>
      <w:r w:rsidRPr="00112EDE">
        <w:rPr>
          <w:rFonts w:ascii="Arial" w:hAnsi="Arial" w:cs="Arial"/>
          <w:noProof/>
          <w:sz w:val="22"/>
        </w:rPr>
        <w:t>(2024), 1584–1590. https://doi.org/10.1016/j.procs.2025.01.220</w:t>
      </w:r>
    </w:p>
    <w:p w14:paraId="648AD5E6"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Pineda Terreros, J. A. (2024). Estrategia de promoción de inversiones mineras y la sostenibilidad del sector minero, Perú - 2024. </w:t>
      </w:r>
      <w:r w:rsidRPr="00112EDE">
        <w:rPr>
          <w:rFonts w:ascii="Arial" w:hAnsi="Arial" w:cs="Arial"/>
          <w:i/>
          <w:iCs/>
          <w:noProof/>
          <w:sz w:val="22"/>
        </w:rPr>
        <w:t>Earth Institute</w:t>
      </w:r>
      <w:r w:rsidRPr="00112EDE">
        <w:rPr>
          <w:rFonts w:ascii="Arial" w:hAnsi="Arial" w:cs="Arial"/>
          <w:noProof/>
          <w:sz w:val="22"/>
        </w:rPr>
        <w:t xml:space="preserve">, </w:t>
      </w:r>
      <w:r w:rsidRPr="00112EDE">
        <w:rPr>
          <w:rFonts w:ascii="Arial" w:hAnsi="Arial" w:cs="Arial"/>
          <w:i/>
          <w:iCs/>
          <w:noProof/>
          <w:sz w:val="22"/>
        </w:rPr>
        <w:t>1</w:t>
      </w:r>
      <w:r w:rsidRPr="00112EDE">
        <w:rPr>
          <w:rFonts w:ascii="Arial" w:hAnsi="Arial" w:cs="Arial"/>
          <w:noProof/>
          <w:sz w:val="22"/>
        </w:rPr>
        <w:t>(1), 52–74. https://doi.org/10.71018/eij.2024.07</w:t>
      </w:r>
    </w:p>
    <w:p w14:paraId="3D3CC593"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Ponce-Llanco, F. D. M., Quispe-Aponte, W. P., </w:t>
      </w:r>
      <w:r w:rsidRPr="00112EDE">
        <w:rPr>
          <w:rFonts w:ascii="Arial" w:hAnsi="Arial" w:cs="Arial"/>
          <w:noProof/>
          <w:sz w:val="22"/>
        </w:rPr>
        <w:lastRenderedPageBreak/>
        <w:t xml:space="preserve">Ortiz-Taipe, M., Pérez-Ccama, R., &amp; Ñahuincopa-Taipe, J. (2024). Minería con Conciencia: Sostenible y Responsabilidad Social. </w:t>
      </w:r>
      <w:r w:rsidRPr="00112EDE">
        <w:rPr>
          <w:rFonts w:ascii="Arial" w:hAnsi="Arial" w:cs="Arial"/>
          <w:i/>
          <w:iCs/>
          <w:noProof/>
          <w:sz w:val="22"/>
        </w:rPr>
        <w:t>Scientific Research Journal2</w:t>
      </w:r>
      <w:r w:rsidRPr="00112EDE">
        <w:rPr>
          <w:rFonts w:ascii="Arial" w:hAnsi="Arial" w:cs="Arial"/>
          <w:noProof/>
          <w:sz w:val="22"/>
        </w:rPr>
        <w:t xml:space="preserve">, </w:t>
      </w:r>
      <w:r w:rsidRPr="00112EDE">
        <w:rPr>
          <w:rFonts w:ascii="Arial" w:hAnsi="Arial" w:cs="Arial"/>
          <w:i/>
          <w:iCs/>
          <w:noProof/>
          <w:sz w:val="22"/>
        </w:rPr>
        <w:t>4</w:t>
      </w:r>
      <w:r w:rsidRPr="00112EDE">
        <w:rPr>
          <w:rFonts w:ascii="Arial" w:hAnsi="Arial" w:cs="Arial"/>
          <w:noProof/>
          <w:sz w:val="22"/>
        </w:rPr>
        <w:t>, 111–126. https://doi.org/https://doi.org/10.53942/srjcidi.v4i8.232</w:t>
      </w:r>
    </w:p>
    <w:p w14:paraId="5F747D41"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Sorooshian, S. (2025). Exploration of socio-environmental solutions in the mining industry in comparison to other industries: A data-driven unveiling perceptions. </w:t>
      </w:r>
      <w:r w:rsidRPr="00112EDE">
        <w:rPr>
          <w:rFonts w:ascii="Arial" w:hAnsi="Arial" w:cs="Arial"/>
          <w:i/>
          <w:iCs/>
          <w:noProof/>
          <w:sz w:val="22"/>
        </w:rPr>
        <w:t>Resources Policy</w:t>
      </w:r>
      <w:r w:rsidRPr="00112EDE">
        <w:rPr>
          <w:rFonts w:ascii="Arial" w:hAnsi="Arial" w:cs="Arial"/>
          <w:noProof/>
          <w:sz w:val="22"/>
        </w:rPr>
        <w:t xml:space="preserve">, </w:t>
      </w:r>
      <w:r w:rsidRPr="00112EDE">
        <w:rPr>
          <w:rFonts w:ascii="Arial" w:hAnsi="Arial" w:cs="Arial"/>
          <w:i/>
          <w:iCs/>
          <w:noProof/>
          <w:sz w:val="22"/>
        </w:rPr>
        <w:t>104</w:t>
      </w:r>
      <w:r w:rsidRPr="00112EDE">
        <w:rPr>
          <w:rFonts w:ascii="Arial" w:hAnsi="Arial" w:cs="Arial"/>
          <w:noProof/>
          <w:sz w:val="22"/>
        </w:rPr>
        <w:t>(March), 105594. https://doi.org/10.1016/j.resourpol.2025.105594</w:t>
      </w:r>
    </w:p>
    <w:p w14:paraId="12F61330" w14:textId="77777777" w:rsidR="00112EDE" w:rsidRPr="00112EDE" w:rsidRDefault="00112EDE" w:rsidP="00B04835">
      <w:pPr>
        <w:widowControl w:val="0"/>
        <w:autoSpaceDE w:val="0"/>
        <w:autoSpaceDN w:val="0"/>
        <w:adjustRightInd w:val="0"/>
        <w:ind w:left="480" w:hanging="480"/>
        <w:jc w:val="both"/>
        <w:rPr>
          <w:rFonts w:ascii="Arial" w:hAnsi="Arial" w:cs="Arial"/>
          <w:noProof/>
          <w:sz w:val="22"/>
        </w:rPr>
      </w:pPr>
      <w:r w:rsidRPr="00112EDE">
        <w:rPr>
          <w:rFonts w:ascii="Arial" w:hAnsi="Arial" w:cs="Arial"/>
          <w:noProof/>
          <w:sz w:val="22"/>
        </w:rPr>
        <w:t xml:space="preserve">Trinh, A. D., Nguyen, N. L., Do, T. N., Watson, A., Stockinger, M., &amp; Stumpp, C. (2025). Are hydropower dams and sand mining responsible for hydrological change in the Red river (Asia)? </w:t>
      </w:r>
      <w:r w:rsidRPr="00112EDE">
        <w:rPr>
          <w:rFonts w:ascii="Arial" w:hAnsi="Arial" w:cs="Arial"/>
          <w:i/>
          <w:iCs/>
          <w:noProof/>
          <w:sz w:val="22"/>
        </w:rPr>
        <w:t>Journal of Asian Earth Sciences: X</w:t>
      </w:r>
      <w:r w:rsidRPr="00112EDE">
        <w:rPr>
          <w:rFonts w:ascii="Arial" w:hAnsi="Arial" w:cs="Arial"/>
          <w:noProof/>
          <w:sz w:val="22"/>
        </w:rPr>
        <w:t xml:space="preserve">, </w:t>
      </w:r>
      <w:r w:rsidRPr="00112EDE">
        <w:rPr>
          <w:rFonts w:ascii="Arial" w:hAnsi="Arial" w:cs="Arial"/>
          <w:i/>
          <w:iCs/>
          <w:noProof/>
          <w:sz w:val="22"/>
        </w:rPr>
        <w:t>13</w:t>
      </w:r>
      <w:r w:rsidRPr="00112EDE">
        <w:rPr>
          <w:rFonts w:ascii="Arial" w:hAnsi="Arial" w:cs="Arial"/>
          <w:noProof/>
          <w:sz w:val="22"/>
        </w:rPr>
        <w:t>(March), 100192. https://doi.org/10.1016/j.jaesx.2025.100192</w:t>
      </w:r>
    </w:p>
    <w:p w14:paraId="0E9D7108" w14:textId="5F12BA8E" w:rsidR="008B48C8" w:rsidRPr="00487FF9" w:rsidRDefault="008005B7" w:rsidP="00837CF7">
      <w:pPr>
        <w:ind w:left="142" w:hanging="142"/>
        <w:jc w:val="both"/>
        <w:rPr>
          <w:rFonts w:ascii="Arial" w:hAnsi="Arial" w:cs="Arial"/>
          <w:b/>
          <w:bCs/>
          <w:sz w:val="22"/>
          <w:szCs w:val="22"/>
          <w:lang w:val="en-US"/>
        </w:rPr>
      </w:pPr>
      <w:r>
        <w:rPr>
          <w:rFonts w:ascii="Arial" w:hAnsi="Arial" w:cs="Arial"/>
          <w:bCs/>
          <w:sz w:val="22"/>
          <w:szCs w:val="22"/>
          <w:lang w:val="es-PE"/>
        </w:rPr>
        <w:fldChar w:fldCharType="end"/>
      </w:r>
    </w:p>
    <w:p w14:paraId="3F9FAC7C" w14:textId="77777777" w:rsidR="00975533" w:rsidRPr="00487FF9" w:rsidRDefault="00975533" w:rsidP="00DF7695">
      <w:pPr>
        <w:ind w:left="142" w:hanging="142"/>
        <w:jc w:val="both"/>
        <w:rPr>
          <w:rFonts w:ascii="Arial" w:hAnsi="Arial" w:cs="Arial"/>
          <w:bCs/>
          <w:sz w:val="22"/>
          <w:szCs w:val="22"/>
          <w:lang w:val="en-US"/>
        </w:rPr>
      </w:pPr>
    </w:p>
    <w:p w14:paraId="0DDFAD87" w14:textId="77777777" w:rsidR="00B04835" w:rsidRDefault="00B04835" w:rsidP="00B04835">
      <w:pPr>
        <w:widowControl w:val="0"/>
        <w:autoSpaceDE w:val="0"/>
        <w:autoSpaceDN w:val="0"/>
        <w:adjustRightInd w:val="0"/>
        <w:jc w:val="both"/>
        <w:rPr>
          <w:rFonts w:ascii="Arial" w:hAnsi="Arial" w:cs="Arial"/>
          <w:bCs/>
          <w:sz w:val="22"/>
          <w:szCs w:val="22"/>
          <w:lang w:val="es-PE"/>
        </w:rPr>
      </w:pPr>
    </w:p>
    <w:p w14:paraId="74F97D05" w14:textId="77777777" w:rsidR="00B04835" w:rsidRDefault="00B04835" w:rsidP="00B04835">
      <w:pPr>
        <w:widowControl w:val="0"/>
        <w:autoSpaceDE w:val="0"/>
        <w:autoSpaceDN w:val="0"/>
        <w:adjustRightInd w:val="0"/>
        <w:jc w:val="both"/>
        <w:rPr>
          <w:rFonts w:ascii="Arial" w:hAnsi="Arial" w:cs="Arial"/>
          <w:bCs/>
          <w:sz w:val="22"/>
          <w:szCs w:val="22"/>
          <w:lang w:val="es-PE"/>
        </w:rPr>
      </w:pPr>
    </w:p>
    <w:p w14:paraId="4231DF2C" w14:textId="77777777" w:rsidR="00B04835" w:rsidRDefault="00B04835" w:rsidP="00B04835">
      <w:pPr>
        <w:widowControl w:val="0"/>
        <w:autoSpaceDE w:val="0"/>
        <w:autoSpaceDN w:val="0"/>
        <w:adjustRightInd w:val="0"/>
        <w:jc w:val="both"/>
        <w:rPr>
          <w:rFonts w:ascii="Arial" w:hAnsi="Arial" w:cs="Arial"/>
          <w:bCs/>
          <w:sz w:val="22"/>
          <w:szCs w:val="22"/>
          <w:lang w:val="es-PE"/>
        </w:rPr>
      </w:pPr>
    </w:p>
    <w:p w14:paraId="7F3AFAEB" w14:textId="77777777" w:rsidR="00B04835" w:rsidRDefault="00B04835" w:rsidP="00B04835">
      <w:pPr>
        <w:widowControl w:val="0"/>
        <w:autoSpaceDE w:val="0"/>
        <w:autoSpaceDN w:val="0"/>
        <w:adjustRightInd w:val="0"/>
        <w:jc w:val="both"/>
        <w:rPr>
          <w:rFonts w:ascii="Arial" w:hAnsi="Arial" w:cs="Arial"/>
          <w:bCs/>
          <w:sz w:val="22"/>
          <w:szCs w:val="22"/>
          <w:lang w:val="es-PE"/>
        </w:rPr>
      </w:pPr>
    </w:p>
    <w:p w14:paraId="1A2FD6ED" w14:textId="0E4B7101" w:rsidR="00180629" w:rsidRPr="000270E6" w:rsidRDefault="00D41078" w:rsidP="00B04835">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Rafael Romero Carazas</w:t>
      </w:r>
    </w:p>
    <w:p w14:paraId="264EF5ED" w14:textId="0BFFCD5F" w:rsidR="00D41078" w:rsidRDefault="00D41078" w:rsidP="00B04835">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Posd</w:t>
      </w:r>
      <w:r w:rsidRPr="00D41078">
        <w:rPr>
          <w:rFonts w:ascii="Arial" w:hAnsi="Arial" w:cs="Arial"/>
          <w:bCs/>
          <w:sz w:val="22"/>
          <w:szCs w:val="22"/>
          <w:lang w:val="es-PE"/>
        </w:rPr>
        <w:t>octora</w:t>
      </w:r>
      <w:r>
        <w:rPr>
          <w:rFonts w:ascii="Arial" w:hAnsi="Arial" w:cs="Arial"/>
          <w:bCs/>
          <w:sz w:val="22"/>
          <w:szCs w:val="22"/>
          <w:lang w:val="es-PE"/>
        </w:rPr>
        <w:t>do</w:t>
      </w:r>
      <w:r w:rsidRPr="00D41078">
        <w:rPr>
          <w:rFonts w:ascii="Arial" w:hAnsi="Arial" w:cs="Arial"/>
          <w:bCs/>
          <w:sz w:val="22"/>
          <w:szCs w:val="22"/>
          <w:lang w:val="es-PE"/>
        </w:rPr>
        <w:t xml:space="preserve"> en Filosofía </w:t>
      </w:r>
      <w:r>
        <w:rPr>
          <w:rFonts w:ascii="Arial" w:hAnsi="Arial" w:cs="Arial"/>
          <w:bCs/>
          <w:sz w:val="22"/>
          <w:szCs w:val="22"/>
          <w:lang w:val="es-PE"/>
        </w:rPr>
        <w:t xml:space="preserve">e investigación </w:t>
      </w:r>
      <w:r w:rsidRPr="00D41078">
        <w:rPr>
          <w:rFonts w:ascii="Arial" w:hAnsi="Arial" w:cs="Arial"/>
          <w:bCs/>
          <w:sz w:val="22"/>
          <w:szCs w:val="22"/>
          <w:lang w:val="es-PE"/>
        </w:rPr>
        <w:t xml:space="preserve">Contador Público, investigador y docente universitario. Director de </w:t>
      </w:r>
      <w:r>
        <w:rPr>
          <w:rFonts w:ascii="Arial" w:hAnsi="Arial" w:cs="Arial"/>
          <w:bCs/>
          <w:sz w:val="22"/>
          <w:szCs w:val="22"/>
          <w:lang w:val="es-PE"/>
        </w:rPr>
        <w:t>ITATE</w:t>
      </w:r>
      <w:r w:rsidRPr="00D41078">
        <w:rPr>
          <w:rFonts w:ascii="Arial" w:hAnsi="Arial" w:cs="Arial"/>
          <w:bCs/>
          <w:sz w:val="22"/>
          <w:szCs w:val="22"/>
          <w:lang w:val="es-PE"/>
        </w:rPr>
        <w:t xml:space="preserve"> </w:t>
      </w:r>
      <w:r>
        <w:rPr>
          <w:rFonts w:ascii="Arial" w:hAnsi="Arial" w:cs="Arial"/>
          <w:bCs/>
          <w:sz w:val="22"/>
          <w:szCs w:val="22"/>
          <w:lang w:val="es-PE"/>
        </w:rPr>
        <w:t>e investigador</w:t>
      </w:r>
      <w:r w:rsidRPr="00D41078">
        <w:rPr>
          <w:rFonts w:ascii="Arial" w:hAnsi="Arial" w:cs="Arial"/>
          <w:bCs/>
          <w:sz w:val="22"/>
          <w:szCs w:val="22"/>
          <w:lang w:val="es-PE"/>
        </w:rPr>
        <w:t xml:space="preserve"> RENACYT. Experto en investigación científica, auditoría, gestión pública y tecnologías. Doctorando en </w:t>
      </w:r>
      <w:r w:rsidR="00B04835">
        <w:rPr>
          <w:rFonts w:ascii="Arial" w:hAnsi="Arial" w:cs="Arial"/>
          <w:bCs/>
          <w:sz w:val="22"/>
          <w:szCs w:val="22"/>
          <w:lang w:val="es-PE"/>
        </w:rPr>
        <w:t>pensamiento complejo e investigación transdisciplinar</w:t>
      </w:r>
      <w:r w:rsidRPr="00D41078">
        <w:rPr>
          <w:rFonts w:ascii="Arial" w:hAnsi="Arial" w:cs="Arial"/>
          <w:bCs/>
          <w:sz w:val="22"/>
          <w:szCs w:val="22"/>
          <w:lang w:val="es-PE"/>
        </w:rPr>
        <w:t xml:space="preserve">, revisor de artículos indexados y </w:t>
      </w:r>
      <w:r w:rsidR="00B04835">
        <w:rPr>
          <w:rFonts w:ascii="Arial" w:hAnsi="Arial" w:cs="Arial"/>
          <w:bCs/>
          <w:sz w:val="22"/>
          <w:szCs w:val="22"/>
          <w:lang w:val="es-PE"/>
        </w:rPr>
        <w:t>mentor</w:t>
      </w:r>
      <w:r w:rsidRPr="00D41078">
        <w:rPr>
          <w:rFonts w:ascii="Arial" w:hAnsi="Arial" w:cs="Arial"/>
          <w:bCs/>
          <w:sz w:val="22"/>
          <w:szCs w:val="22"/>
          <w:lang w:val="es-PE"/>
        </w:rPr>
        <w:t xml:space="preserve"> de tesis. Conferencista con tr</w:t>
      </w:r>
      <w:r w:rsidR="00B04835">
        <w:rPr>
          <w:rFonts w:ascii="Arial" w:hAnsi="Arial" w:cs="Arial"/>
          <w:bCs/>
          <w:sz w:val="22"/>
          <w:szCs w:val="22"/>
          <w:lang w:val="es-PE"/>
        </w:rPr>
        <w:t>ayectoria en investigación.</w:t>
      </w:r>
    </w:p>
    <w:p w14:paraId="593CF034" w14:textId="77777777" w:rsidR="00180629" w:rsidRPr="000270E6" w:rsidRDefault="00180629" w:rsidP="00B04835">
      <w:pPr>
        <w:widowControl w:val="0"/>
        <w:autoSpaceDE w:val="0"/>
        <w:autoSpaceDN w:val="0"/>
        <w:adjustRightInd w:val="0"/>
        <w:jc w:val="both"/>
        <w:rPr>
          <w:rFonts w:ascii="Arial" w:hAnsi="Arial" w:cs="Arial"/>
          <w:bCs/>
          <w:sz w:val="22"/>
          <w:szCs w:val="22"/>
          <w:lang w:val="es-PE"/>
        </w:rPr>
      </w:pPr>
    </w:p>
    <w:p w14:paraId="5E0ED3B3" w14:textId="791537D8" w:rsidR="00975533" w:rsidRPr="000270E6" w:rsidRDefault="00D41078" w:rsidP="00B04835">
      <w:pPr>
        <w:widowControl w:val="0"/>
        <w:autoSpaceDE w:val="0"/>
        <w:autoSpaceDN w:val="0"/>
        <w:adjustRightInd w:val="0"/>
        <w:jc w:val="both"/>
        <w:rPr>
          <w:rFonts w:ascii="Arial" w:hAnsi="Arial" w:cs="Arial"/>
          <w:bCs/>
          <w:sz w:val="22"/>
          <w:szCs w:val="22"/>
          <w:lang w:val="es-PE"/>
        </w:rPr>
      </w:pPr>
      <w:r w:rsidRPr="00D41078">
        <w:rPr>
          <w:rFonts w:ascii="Arial" w:hAnsi="Arial" w:cs="Arial"/>
          <w:bCs/>
          <w:sz w:val="22"/>
          <w:szCs w:val="22"/>
          <w:lang w:val="es-PE"/>
        </w:rPr>
        <w:t>David Hugo Bernedo Moreira</w:t>
      </w:r>
    </w:p>
    <w:p w14:paraId="1FCF5E32" w14:textId="0512B186" w:rsidR="00180629" w:rsidRDefault="00D41078" w:rsidP="00B04835">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D</w:t>
      </w:r>
      <w:r w:rsidRPr="00D41078">
        <w:rPr>
          <w:rFonts w:ascii="Arial" w:hAnsi="Arial" w:cs="Arial"/>
          <w:bCs/>
          <w:sz w:val="22"/>
          <w:szCs w:val="22"/>
          <w:lang w:val="es-PE"/>
        </w:rPr>
        <w:t>octor en Filosofía y Gestión Pública. Contador Público, investigador y docente universitario. Director de ISAIDE-Bolivia y miembro del RENACYT. Experto en investigación científica, auditoría, gestión pública y tecnologías. Doctorando en Educación, revisor de artículos indexados y asesor de tesis. Conferencista con trayectoria en instituciones públicas y privadas.</w:t>
      </w:r>
    </w:p>
    <w:p w14:paraId="5CFF4664" w14:textId="77777777" w:rsidR="00D41078" w:rsidRPr="000270E6" w:rsidRDefault="00D41078" w:rsidP="00B04835">
      <w:pPr>
        <w:widowControl w:val="0"/>
        <w:autoSpaceDE w:val="0"/>
        <w:autoSpaceDN w:val="0"/>
        <w:adjustRightInd w:val="0"/>
        <w:jc w:val="both"/>
        <w:rPr>
          <w:rFonts w:ascii="Arial" w:hAnsi="Arial" w:cs="Arial"/>
          <w:bCs/>
          <w:sz w:val="22"/>
          <w:szCs w:val="22"/>
          <w:lang w:val="es-PE"/>
        </w:rPr>
      </w:pPr>
    </w:p>
    <w:p w14:paraId="754B90FE" w14:textId="00317247" w:rsidR="004C3B69" w:rsidRPr="000270E6" w:rsidRDefault="00B04835" w:rsidP="00B04835">
      <w:pPr>
        <w:widowControl w:val="0"/>
        <w:autoSpaceDE w:val="0"/>
        <w:autoSpaceDN w:val="0"/>
        <w:adjustRightInd w:val="0"/>
        <w:jc w:val="both"/>
        <w:rPr>
          <w:rFonts w:ascii="Arial" w:hAnsi="Arial" w:cs="Arial"/>
          <w:bCs/>
          <w:sz w:val="22"/>
          <w:szCs w:val="22"/>
          <w:lang w:val="es-PE"/>
        </w:rPr>
      </w:pPr>
      <w:r w:rsidRPr="00B04835">
        <w:rPr>
          <w:rFonts w:ascii="Arial" w:hAnsi="Arial" w:cs="Arial"/>
          <w:bCs/>
          <w:sz w:val="22"/>
          <w:szCs w:val="22"/>
          <w:lang w:val="es-PE"/>
        </w:rPr>
        <w:t>Ana Sofia Villanueva Salas</w:t>
      </w:r>
    </w:p>
    <w:p w14:paraId="7C7F6B3F" w14:textId="01182965" w:rsidR="00E84004" w:rsidRPr="000270E6" w:rsidRDefault="00D41078" w:rsidP="00B04835">
      <w:pPr>
        <w:jc w:val="both"/>
        <w:rPr>
          <w:rFonts w:ascii="Arial" w:hAnsi="Arial" w:cs="Arial"/>
          <w:bCs/>
          <w:sz w:val="22"/>
          <w:szCs w:val="22"/>
          <w:lang w:val="es-PE"/>
        </w:rPr>
      </w:pPr>
      <w:r w:rsidRPr="00D41078">
        <w:rPr>
          <w:rFonts w:ascii="Arial" w:hAnsi="Arial" w:cs="Arial"/>
          <w:bCs/>
          <w:sz w:val="22"/>
          <w:szCs w:val="22"/>
          <w:lang w:val="es-PE"/>
        </w:rPr>
        <w:t>Contador público, especialista en estudios de</w:t>
      </w:r>
      <w:r>
        <w:rPr>
          <w:rFonts w:ascii="Arial" w:hAnsi="Arial" w:cs="Arial"/>
          <w:bCs/>
          <w:sz w:val="22"/>
          <w:szCs w:val="22"/>
          <w:lang w:val="es-PE"/>
        </w:rPr>
        <w:t xml:space="preserve"> </w:t>
      </w:r>
      <w:r w:rsidRPr="00D41078">
        <w:rPr>
          <w:rFonts w:ascii="Arial" w:hAnsi="Arial" w:cs="Arial"/>
          <w:bCs/>
          <w:sz w:val="22"/>
          <w:szCs w:val="22"/>
          <w:lang w:val="es-PE"/>
        </w:rPr>
        <w:t>sostenibilidad y relaciones comunitarias.</w:t>
      </w: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0F14B702" w14:textId="287DCAEE" w:rsidR="00904E24" w:rsidRPr="000270E6" w:rsidRDefault="00904E24" w:rsidP="00B04835">
      <w:pPr>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7052B" w14:textId="77777777" w:rsidR="00AD6C53" w:rsidRDefault="00AD6C53" w:rsidP="004D469A">
      <w:r>
        <w:separator/>
      </w:r>
    </w:p>
  </w:endnote>
  <w:endnote w:type="continuationSeparator" w:id="0">
    <w:p w14:paraId="5BE9F3FC" w14:textId="77777777" w:rsidR="00AD6C53" w:rsidRDefault="00AD6C53"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DFD0F" w14:textId="77777777" w:rsidR="00AD6C53" w:rsidRDefault="00AD6C53" w:rsidP="004D469A">
      <w:r>
        <w:separator/>
      </w:r>
    </w:p>
  </w:footnote>
  <w:footnote w:type="continuationSeparator" w:id="0">
    <w:p w14:paraId="6BBF2B3C" w14:textId="77777777" w:rsidR="00AD6C53" w:rsidRDefault="00AD6C53"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2586"/>
    <w:rsid w:val="00057373"/>
    <w:rsid w:val="000703C0"/>
    <w:rsid w:val="0009392A"/>
    <w:rsid w:val="000A177C"/>
    <w:rsid w:val="000A599E"/>
    <w:rsid w:val="000B39B6"/>
    <w:rsid w:val="000B54FF"/>
    <w:rsid w:val="000B788F"/>
    <w:rsid w:val="000D0B73"/>
    <w:rsid w:val="000D0D3A"/>
    <w:rsid w:val="000E010F"/>
    <w:rsid w:val="000F3514"/>
    <w:rsid w:val="00112EDE"/>
    <w:rsid w:val="001165BD"/>
    <w:rsid w:val="00122588"/>
    <w:rsid w:val="00134BD0"/>
    <w:rsid w:val="00140898"/>
    <w:rsid w:val="00156239"/>
    <w:rsid w:val="00164968"/>
    <w:rsid w:val="00180629"/>
    <w:rsid w:val="0018131B"/>
    <w:rsid w:val="00191841"/>
    <w:rsid w:val="001928B8"/>
    <w:rsid w:val="001A607C"/>
    <w:rsid w:val="001B2427"/>
    <w:rsid w:val="001B3D61"/>
    <w:rsid w:val="001B74FB"/>
    <w:rsid w:val="001D0826"/>
    <w:rsid w:val="001D5AA2"/>
    <w:rsid w:val="001F29ED"/>
    <w:rsid w:val="001F63C4"/>
    <w:rsid w:val="001F7167"/>
    <w:rsid w:val="00205A18"/>
    <w:rsid w:val="002201FE"/>
    <w:rsid w:val="00232224"/>
    <w:rsid w:val="002419CB"/>
    <w:rsid w:val="002525E1"/>
    <w:rsid w:val="002641B3"/>
    <w:rsid w:val="002A29DF"/>
    <w:rsid w:val="002A5DFE"/>
    <w:rsid w:val="002A766D"/>
    <w:rsid w:val="002B26C7"/>
    <w:rsid w:val="002B5475"/>
    <w:rsid w:val="002C3EBB"/>
    <w:rsid w:val="002C69E5"/>
    <w:rsid w:val="002C76C4"/>
    <w:rsid w:val="002D1C36"/>
    <w:rsid w:val="002D240B"/>
    <w:rsid w:val="002E385F"/>
    <w:rsid w:val="00307578"/>
    <w:rsid w:val="00314F9E"/>
    <w:rsid w:val="00324786"/>
    <w:rsid w:val="00337295"/>
    <w:rsid w:val="00344C46"/>
    <w:rsid w:val="00353633"/>
    <w:rsid w:val="003608C3"/>
    <w:rsid w:val="00363841"/>
    <w:rsid w:val="0036489F"/>
    <w:rsid w:val="00381D7F"/>
    <w:rsid w:val="003B2FF6"/>
    <w:rsid w:val="003B66C8"/>
    <w:rsid w:val="003B6E44"/>
    <w:rsid w:val="003C6D44"/>
    <w:rsid w:val="003D271C"/>
    <w:rsid w:val="003D3A4A"/>
    <w:rsid w:val="003E1474"/>
    <w:rsid w:val="003F080D"/>
    <w:rsid w:val="0040606A"/>
    <w:rsid w:val="00427100"/>
    <w:rsid w:val="0043413E"/>
    <w:rsid w:val="00436119"/>
    <w:rsid w:val="00437503"/>
    <w:rsid w:val="00441B34"/>
    <w:rsid w:val="00445BC3"/>
    <w:rsid w:val="00446E15"/>
    <w:rsid w:val="00457C46"/>
    <w:rsid w:val="00460D0B"/>
    <w:rsid w:val="00486035"/>
    <w:rsid w:val="00487FF9"/>
    <w:rsid w:val="00493C85"/>
    <w:rsid w:val="00497A33"/>
    <w:rsid w:val="004A163F"/>
    <w:rsid w:val="004A3665"/>
    <w:rsid w:val="004B1948"/>
    <w:rsid w:val="004B4A18"/>
    <w:rsid w:val="004B4C0C"/>
    <w:rsid w:val="004B5FEB"/>
    <w:rsid w:val="004C3B69"/>
    <w:rsid w:val="004D0689"/>
    <w:rsid w:val="004D469A"/>
    <w:rsid w:val="004D59AC"/>
    <w:rsid w:val="004E233B"/>
    <w:rsid w:val="005218B6"/>
    <w:rsid w:val="00522C8C"/>
    <w:rsid w:val="00522FEA"/>
    <w:rsid w:val="005505E2"/>
    <w:rsid w:val="005631EB"/>
    <w:rsid w:val="005A352B"/>
    <w:rsid w:val="005B08EB"/>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95E87"/>
    <w:rsid w:val="007A1D98"/>
    <w:rsid w:val="007B0955"/>
    <w:rsid w:val="007B6BEA"/>
    <w:rsid w:val="007C23EB"/>
    <w:rsid w:val="007C43A2"/>
    <w:rsid w:val="007D2A73"/>
    <w:rsid w:val="007F5F63"/>
    <w:rsid w:val="008005B7"/>
    <w:rsid w:val="00801EF5"/>
    <w:rsid w:val="0080535A"/>
    <w:rsid w:val="00806B88"/>
    <w:rsid w:val="008206B5"/>
    <w:rsid w:val="0083236A"/>
    <w:rsid w:val="00836571"/>
    <w:rsid w:val="00837CF7"/>
    <w:rsid w:val="008401EB"/>
    <w:rsid w:val="00846114"/>
    <w:rsid w:val="0085240F"/>
    <w:rsid w:val="0085424E"/>
    <w:rsid w:val="00854AC0"/>
    <w:rsid w:val="008621F2"/>
    <w:rsid w:val="00862C5C"/>
    <w:rsid w:val="0087565A"/>
    <w:rsid w:val="008764A7"/>
    <w:rsid w:val="008804AB"/>
    <w:rsid w:val="00892562"/>
    <w:rsid w:val="008B48C8"/>
    <w:rsid w:val="008C3927"/>
    <w:rsid w:val="008E7344"/>
    <w:rsid w:val="00904E24"/>
    <w:rsid w:val="009148C8"/>
    <w:rsid w:val="00935156"/>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D6C53"/>
    <w:rsid w:val="00AE6C05"/>
    <w:rsid w:val="00AF2A3B"/>
    <w:rsid w:val="00AF3FFE"/>
    <w:rsid w:val="00AF51EF"/>
    <w:rsid w:val="00B04835"/>
    <w:rsid w:val="00B12D23"/>
    <w:rsid w:val="00B37EDA"/>
    <w:rsid w:val="00B529EF"/>
    <w:rsid w:val="00B53F71"/>
    <w:rsid w:val="00B559F1"/>
    <w:rsid w:val="00B656AE"/>
    <w:rsid w:val="00B87F71"/>
    <w:rsid w:val="00BA086E"/>
    <w:rsid w:val="00BA65D9"/>
    <w:rsid w:val="00BC4D43"/>
    <w:rsid w:val="00BD20B8"/>
    <w:rsid w:val="00BE1453"/>
    <w:rsid w:val="00BF491E"/>
    <w:rsid w:val="00C17BFC"/>
    <w:rsid w:val="00C200FC"/>
    <w:rsid w:val="00C249F1"/>
    <w:rsid w:val="00C41CD8"/>
    <w:rsid w:val="00C749F3"/>
    <w:rsid w:val="00C90525"/>
    <w:rsid w:val="00C9346D"/>
    <w:rsid w:val="00CA3055"/>
    <w:rsid w:val="00CA54CA"/>
    <w:rsid w:val="00CB3683"/>
    <w:rsid w:val="00CB609F"/>
    <w:rsid w:val="00CD32FC"/>
    <w:rsid w:val="00CD49AC"/>
    <w:rsid w:val="00CE075D"/>
    <w:rsid w:val="00D07BEB"/>
    <w:rsid w:val="00D30982"/>
    <w:rsid w:val="00D34811"/>
    <w:rsid w:val="00D409A3"/>
    <w:rsid w:val="00D41078"/>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080D"/>
    <w:rsid w:val="00ED4000"/>
    <w:rsid w:val="00EE71EA"/>
    <w:rsid w:val="00EF61DE"/>
    <w:rsid w:val="00F0054E"/>
    <w:rsid w:val="00F025B2"/>
    <w:rsid w:val="00F120BB"/>
    <w:rsid w:val="00F17BB0"/>
    <w:rsid w:val="00F26353"/>
    <w:rsid w:val="00F40CD7"/>
    <w:rsid w:val="00F5238F"/>
    <w:rsid w:val="00F54F9D"/>
    <w:rsid w:val="00F6361C"/>
    <w:rsid w:val="00F702E2"/>
    <w:rsid w:val="00F7409F"/>
    <w:rsid w:val="00F83459"/>
    <w:rsid w:val="00F857C3"/>
    <w:rsid w:val="00F87168"/>
    <w:rsid w:val="00F97E1E"/>
    <w:rsid w:val="00FA1F84"/>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Refdecomentario">
    <w:name w:val="annotation reference"/>
    <w:basedOn w:val="Fuentedeprrafopredeter"/>
    <w:uiPriority w:val="99"/>
    <w:semiHidden/>
    <w:unhideWhenUsed/>
    <w:rsid w:val="00487FF9"/>
    <w:rPr>
      <w:sz w:val="16"/>
      <w:szCs w:val="16"/>
    </w:rPr>
  </w:style>
  <w:style w:type="paragraph" w:styleId="Textocomentario">
    <w:name w:val="annotation text"/>
    <w:basedOn w:val="Normal"/>
    <w:link w:val="TextocomentarioCar"/>
    <w:uiPriority w:val="99"/>
    <w:semiHidden/>
    <w:unhideWhenUsed/>
    <w:rsid w:val="00487FF9"/>
    <w:rPr>
      <w:sz w:val="20"/>
      <w:szCs w:val="20"/>
    </w:rPr>
  </w:style>
  <w:style w:type="character" w:customStyle="1" w:styleId="TextocomentarioCar">
    <w:name w:val="Texto comentario Car"/>
    <w:basedOn w:val="Fuentedeprrafopredeter"/>
    <w:link w:val="Textocomentario"/>
    <w:uiPriority w:val="99"/>
    <w:semiHidden/>
    <w:rsid w:val="00487FF9"/>
  </w:style>
  <w:style w:type="paragraph" w:styleId="Asuntodelcomentario">
    <w:name w:val="annotation subject"/>
    <w:basedOn w:val="Textocomentario"/>
    <w:next w:val="Textocomentario"/>
    <w:link w:val="AsuntodelcomentarioCar"/>
    <w:uiPriority w:val="99"/>
    <w:semiHidden/>
    <w:unhideWhenUsed/>
    <w:rsid w:val="00487FF9"/>
    <w:rPr>
      <w:b/>
      <w:bCs/>
    </w:rPr>
  </w:style>
  <w:style w:type="character" w:customStyle="1" w:styleId="AsuntodelcomentarioCar">
    <w:name w:val="Asunto del comentario Car"/>
    <w:basedOn w:val="TextocomentarioCar"/>
    <w:link w:val="Asuntodelcomentario"/>
    <w:uiPriority w:val="99"/>
    <w:semiHidden/>
    <w:rsid w:val="00487FF9"/>
    <w:rPr>
      <w:b/>
      <w:bCs/>
    </w:rPr>
  </w:style>
  <w:style w:type="character" w:styleId="Mencinsinresolver">
    <w:name w:val="Unresolved Mention"/>
    <w:basedOn w:val="Fuentedeprrafopredeter"/>
    <w:uiPriority w:val="99"/>
    <w:semiHidden/>
    <w:unhideWhenUsed/>
    <w:rsid w:val="00487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30745">
      <w:bodyDiv w:val="1"/>
      <w:marLeft w:val="0"/>
      <w:marRight w:val="0"/>
      <w:marTop w:val="0"/>
      <w:marBottom w:val="0"/>
      <w:divBdr>
        <w:top w:val="none" w:sz="0" w:space="0" w:color="auto"/>
        <w:left w:val="none" w:sz="0" w:space="0" w:color="auto"/>
        <w:bottom w:val="none" w:sz="0" w:space="0" w:color="auto"/>
        <w:right w:val="none" w:sz="0" w:space="0" w:color="auto"/>
      </w:divBdr>
      <w:divsChild>
        <w:div w:id="1601908159">
          <w:marLeft w:val="0"/>
          <w:marRight w:val="0"/>
          <w:marTop w:val="0"/>
          <w:marBottom w:val="0"/>
          <w:divBdr>
            <w:top w:val="none" w:sz="0" w:space="0" w:color="auto"/>
            <w:left w:val="none" w:sz="0" w:space="0" w:color="auto"/>
            <w:bottom w:val="none" w:sz="0" w:space="0" w:color="auto"/>
            <w:right w:val="none" w:sz="0" w:space="0" w:color="auto"/>
          </w:divBdr>
          <w:divsChild>
            <w:div w:id="1301611629">
              <w:marLeft w:val="0"/>
              <w:marRight w:val="0"/>
              <w:marTop w:val="0"/>
              <w:marBottom w:val="0"/>
              <w:divBdr>
                <w:top w:val="none" w:sz="0" w:space="0" w:color="auto"/>
                <w:left w:val="none" w:sz="0" w:space="0" w:color="auto"/>
                <w:bottom w:val="none" w:sz="0" w:space="0" w:color="auto"/>
                <w:right w:val="none" w:sz="0" w:space="0" w:color="auto"/>
              </w:divBdr>
              <w:divsChild>
                <w:div w:id="807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441443">
      <w:bodyDiv w:val="1"/>
      <w:marLeft w:val="0"/>
      <w:marRight w:val="0"/>
      <w:marTop w:val="0"/>
      <w:marBottom w:val="0"/>
      <w:divBdr>
        <w:top w:val="none" w:sz="0" w:space="0" w:color="auto"/>
        <w:left w:val="none" w:sz="0" w:space="0" w:color="auto"/>
        <w:bottom w:val="none" w:sz="0" w:space="0" w:color="auto"/>
        <w:right w:val="none" w:sz="0" w:space="0" w:color="auto"/>
      </w:divBdr>
      <w:divsChild>
        <w:div w:id="1092123523">
          <w:marLeft w:val="0"/>
          <w:marRight w:val="0"/>
          <w:marTop w:val="0"/>
          <w:marBottom w:val="0"/>
          <w:divBdr>
            <w:top w:val="none" w:sz="0" w:space="0" w:color="auto"/>
            <w:left w:val="none" w:sz="0" w:space="0" w:color="auto"/>
            <w:bottom w:val="none" w:sz="0" w:space="0" w:color="auto"/>
            <w:right w:val="none" w:sz="0" w:space="0" w:color="auto"/>
          </w:divBdr>
          <w:divsChild>
            <w:div w:id="1339850706">
              <w:marLeft w:val="0"/>
              <w:marRight w:val="0"/>
              <w:marTop w:val="0"/>
              <w:marBottom w:val="0"/>
              <w:divBdr>
                <w:top w:val="none" w:sz="0" w:space="0" w:color="auto"/>
                <w:left w:val="none" w:sz="0" w:space="0" w:color="auto"/>
                <w:bottom w:val="none" w:sz="0" w:space="0" w:color="auto"/>
                <w:right w:val="none" w:sz="0" w:space="0" w:color="auto"/>
              </w:divBdr>
              <w:divsChild>
                <w:div w:id="1345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31310">
      <w:bodyDiv w:val="1"/>
      <w:marLeft w:val="0"/>
      <w:marRight w:val="0"/>
      <w:marTop w:val="0"/>
      <w:marBottom w:val="0"/>
      <w:divBdr>
        <w:top w:val="none" w:sz="0" w:space="0" w:color="auto"/>
        <w:left w:val="none" w:sz="0" w:space="0" w:color="auto"/>
        <w:bottom w:val="none" w:sz="0" w:space="0" w:color="auto"/>
        <w:right w:val="none" w:sz="0" w:space="0" w:color="auto"/>
      </w:divBdr>
      <w:divsChild>
        <w:div w:id="285360013">
          <w:marLeft w:val="0"/>
          <w:marRight w:val="0"/>
          <w:marTop w:val="0"/>
          <w:marBottom w:val="0"/>
          <w:divBdr>
            <w:top w:val="none" w:sz="0" w:space="0" w:color="auto"/>
            <w:left w:val="none" w:sz="0" w:space="0" w:color="auto"/>
            <w:bottom w:val="none" w:sz="0" w:space="0" w:color="auto"/>
            <w:right w:val="none" w:sz="0" w:space="0" w:color="auto"/>
          </w:divBdr>
          <w:divsChild>
            <w:div w:id="1762947554">
              <w:marLeft w:val="0"/>
              <w:marRight w:val="0"/>
              <w:marTop w:val="0"/>
              <w:marBottom w:val="0"/>
              <w:divBdr>
                <w:top w:val="none" w:sz="0" w:space="0" w:color="auto"/>
                <w:left w:val="none" w:sz="0" w:space="0" w:color="auto"/>
                <w:bottom w:val="none" w:sz="0" w:space="0" w:color="auto"/>
                <w:right w:val="none" w:sz="0" w:space="0" w:color="auto"/>
              </w:divBdr>
              <w:divsChild>
                <w:div w:id="16317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657980">
      <w:bodyDiv w:val="1"/>
      <w:marLeft w:val="0"/>
      <w:marRight w:val="0"/>
      <w:marTop w:val="0"/>
      <w:marBottom w:val="0"/>
      <w:divBdr>
        <w:top w:val="none" w:sz="0" w:space="0" w:color="auto"/>
        <w:left w:val="none" w:sz="0" w:space="0" w:color="auto"/>
        <w:bottom w:val="none" w:sz="0" w:space="0" w:color="auto"/>
        <w:right w:val="none" w:sz="0" w:space="0" w:color="auto"/>
      </w:divBdr>
    </w:div>
    <w:div w:id="650985422">
      <w:bodyDiv w:val="1"/>
      <w:marLeft w:val="0"/>
      <w:marRight w:val="0"/>
      <w:marTop w:val="0"/>
      <w:marBottom w:val="0"/>
      <w:divBdr>
        <w:top w:val="none" w:sz="0" w:space="0" w:color="auto"/>
        <w:left w:val="none" w:sz="0" w:space="0" w:color="auto"/>
        <w:bottom w:val="none" w:sz="0" w:space="0" w:color="auto"/>
        <w:right w:val="none" w:sz="0" w:space="0" w:color="auto"/>
      </w:divBdr>
      <w:divsChild>
        <w:div w:id="885027305">
          <w:marLeft w:val="0"/>
          <w:marRight w:val="0"/>
          <w:marTop w:val="0"/>
          <w:marBottom w:val="0"/>
          <w:divBdr>
            <w:top w:val="none" w:sz="0" w:space="0" w:color="auto"/>
            <w:left w:val="none" w:sz="0" w:space="0" w:color="auto"/>
            <w:bottom w:val="none" w:sz="0" w:space="0" w:color="auto"/>
            <w:right w:val="none" w:sz="0" w:space="0" w:color="auto"/>
          </w:divBdr>
          <w:divsChild>
            <w:div w:id="1647589698">
              <w:marLeft w:val="0"/>
              <w:marRight w:val="0"/>
              <w:marTop w:val="0"/>
              <w:marBottom w:val="0"/>
              <w:divBdr>
                <w:top w:val="none" w:sz="0" w:space="0" w:color="auto"/>
                <w:left w:val="none" w:sz="0" w:space="0" w:color="auto"/>
                <w:bottom w:val="none" w:sz="0" w:space="0" w:color="auto"/>
                <w:right w:val="none" w:sz="0" w:space="0" w:color="auto"/>
              </w:divBdr>
              <w:divsChild>
                <w:div w:id="193058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11351">
      <w:bodyDiv w:val="1"/>
      <w:marLeft w:val="0"/>
      <w:marRight w:val="0"/>
      <w:marTop w:val="0"/>
      <w:marBottom w:val="0"/>
      <w:divBdr>
        <w:top w:val="none" w:sz="0" w:space="0" w:color="auto"/>
        <w:left w:val="none" w:sz="0" w:space="0" w:color="auto"/>
        <w:bottom w:val="none" w:sz="0" w:space="0" w:color="auto"/>
        <w:right w:val="none" w:sz="0" w:space="0" w:color="auto"/>
      </w:divBdr>
    </w:div>
    <w:div w:id="840970677">
      <w:bodyDiv w:val="1"/>
      <w:marLeft w:val="0"/>
      <w:marRight w:val="0"/>
      <w:marTop w:val="0"/>
      <w:marBottom w:val="0"/>
      <w:divBdr>
        <w:top w:val="none" w:sz="0" w:space="0" w:color="auto"/>
        <w:left w:val="none" w:sz="0" w:space="0" w:color="auto"/>
        <w:bottom w:val="none" w:sz="0" w:space="0" w:color="auto"/>
        <w:right w:val="none" w:sz="0" w:space="0" w:color="auto"/>
      </w:divBdr>
      <w:divsChild>
        <w:div w:id="755171416">
          <w:marLeft w:val="0"/>
          <w:marRight w:val="0"/>
          <w:marTop w:val="0"/>
          <w:marBottom w:val="0"/>
          <w:divBdr>
            <w:top w:val="none" w:sz="0" w:space="0" w:color="auto"/>
            <w:left w:val="none" w:sz="0" w:space="0" w:color="auto"/>
            <w:bottom w:val="none" w:sz="0" w:space="0" w:color="auto"/>
            <w:right w:val="none" w:sz="0" w:space="0" w:color="auto"/>
          </w:divBdr>
          <w:divsChild>
            <w:div w:id="1865710318">
              <w:marLeft w:val="0"/>
              <w:marRight w:val="0"/>
              <w:marTop w:val="0"/>
              <w:marBottom w:val="0"/>
              <w:divBdr>
                <w:top w:val="none" w:sz="0" w:space="0" w:color="auto"/>
                <w:left w:val="none" w:sz="0" w:space="0" w:color="auto"/>
                <w:bottom w:val="none" w:sz="0" w:space="0" w:color="auto"/>
                <w:right w:val="none" w:sz="0" w:space="0" w:color="auto"/>
              </w:divBdr>
              <w:divsChild>
                <w:div w:id="118262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80315">
      <w:bodyDiv w:val="1"/>
      <w:marLeft w:val="0"/>
      <w:marRight w:val="0"/>
      <w:marTop w:val="0"/>
      <w:marBottom w:val="0"/>
      <w:divBdr>
        <w:top w:val="none" w:sz="0" w:space="0" w:color="auto"/>
        <w:left w:val="none" w:sz="0" w:space="0" w:color="auto"/>
        <w:bottom w:val="none" w:sz="0" w:space="0" w:color="auto"/>
        <w:right w:val="none" w:sz="0" w:space="0" w:color="auto"/>
      </w:divBdr>
      <w:divsChild>
        <w:div w:id="1625425398">
          <w:marLeft w:val="0"/>
          <w:marRight w:val="0"/>
          <w:marTop w:val="0"/>
          <w:marBottom w:val="0"/>
          <w:divBdr>
            <w:top w:val="none" w:sz="0" w:space="0" w:color="auto"/>
            <w:left w:val="none" w:sz="0" w:space="0" w:color="auto"/>
            <w:bottom w:val="none" w:sz="0" w:space="0" w:color="auto"/>
            <w:right w:val="none" w:sz="0" w:space="0" w:color="auto"/>
          </w:divBdr>
          <w:divsChild>
            <w:div w:id="693190076">
              <w:marLeft w:val="0"/>
              <w:marRight w:val="0"/>
              <w:marTop w:val="0"/>
              <w:marBottom w:val="0"/>
              <w:divBdr>
                <w:top w:val="none" w:sz="0" w:space="0" w:color="auto"/>
                <w:left w:val="none" w:sz="0" w:space="0" w:color="auto"/>
                <w:bottom w:val="none" w:sz="0" w:space="0" w:color="auto"/>
                <w:right w:val="none" w:sz="0" w:space="0" w:color="auto"/>
              </w:divBdr>
              <w:divsChild>
                <w:div w:id="63428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073777">
      <w:bodyDiv w:val="1"/>
      <w:marLeft w:val="0"/>
      <w:marRight w:val="0"/>
      <w:marTop w:val="0"/>
      <w:marBottom w:val="0"/>
      <w:divBdr>
        <w:top w:val="none" w:sz="0" w:space="0" w:color="auto"/>
        <w:left w:val="none" w:sz="0" w:space="0" w:color="auto"/>
        <w:bottom w:val="none" w:sz="0" w:space="0" w:color="auto"/>
        <w:right w:val="none" w:sz="0" w:space="0" w:color="auto"/>
      </w:divBdr>
      <w:divsChild>
        <w:div w:id="436104268">
          <w:marLeft w:val="0"/>
          <w:marRight w:val="0"/>
          <w:marTop w:val="0"/>
          <w:marBottom w:val="0"/>
          <w:divBdr>
            <w:top w:val="none" w:sz="0" w:space="0" w:color="auto"/>
            <w:left w:val="none" w:sz="0" w:space="0" w:color="auto"/>
            <w:bottom w:val="none" w:sz="0" w:space="0" w:color="auto"/>
            <w:right w:val="none" w:sz="0" w:space="0" w:color="auto"/>
          </w:divBdr>
          <w:divsChild>
            <w:div w:id="1734814083">
              <w:marLeft w:val="0"/>
              <w:marRight w:val="0"/>
              <w:marTop w:val="0"/>
              <w:marBottom w:val="0"/>
              <w:divBdr>
                <w:top w:val="none" w:sz="0" w:space="0" w:color="auto"/>
                <w:left w:val="none" w:sz="0" w:space="0" w:color="auto"/>
                <w:bottom w:val="none" w:sz="0" w:space="0" w:color="auto"/>
                <w:right w:val="none" w:sz="0" w:space="0" w:color="auto"/>
              </w:divBdr>
              <w:divsChild>
                <w:div w:id="182184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309941">
      <w:bodyDiv w:val="1"/>
      <w:marLeft w:val="0"/>
      <w:marRight w:val="0"/>
      <w:marTop w:val="0"/>
      <w:marBottom w:val="0"/>
      <w:divBdr>
        <w:top w:val="none" w:sz="0" w:space="0" w:color="auto"/>
        <w:left w:val="none" w:sz="0" w:space="0" w:color="auto"/>
        <w:bottom w:val="none" w:sz="0" w:space="0" w:color="auto"/>
        <w:right w:val="none" w:sz="0" w:space="0" w:color="auto"/>
      </w:divBdr>
      <w:divsChild>
        <w:div w:id="1056051843">
          <w:marLeft w:val="0"/>
          <w:marRight w:val="0"/>
          <w:marTop w:val="0"/>
          <w:marBottom w:val="0"/>
          <w:divBdr>
            <w:top w:val="none" w:sz="0" w:space="0" w:color="auto"/>
            <w:left w:val="none" w:sz="0" w:space="0" w:color="auto"/>
            <w:bottom w:val="none" w:sz="0" w:space="0" w:color="auto"/>
            <w:right w:val="none" w:sz="0" w:space="0" w:color="auto"/>
          </w:divBdr>
          <w:divsChild>
            <w:div w:id="545870258">
              <w:marLeft w:val="0"/>
              <w:marRight w:val="0"/>
              <w:marTop w:val="0"/>
              <w:marBottom w:val="0"/>
              <w:divBdr>
                <w:top w:val="none" w:sz="0" w:space="0" w:color="auto"/>
                <w:left w:val="none" w:sz="0" w:space="0" w:color="auto"/>
                <w:bottom w:val="none" w:sz="0" w:space="0" w:color="auto"/>
                <w:right w:val="none" w:sz="0" w:space="0" w:color="auto"/>
              </w:divBdr>
              <w:divsChild>
                <w:div w:id="77235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20299">
      <w:bodyDiv w:val="1"/>
      <w:marLeft w:val="0"/>
      <w:marRight w:val="0"/>
      <w:marTop w:val="0"/>
      <w:marBottom w:val="0"/>
      <w:divBdr>
        <w:top w:val="none" w:sz="0" w:space="0" w:color="auto"/>
        <w:left w:val="none" w:sz="0" w:space="0" w:color="auto"/>
        <w:bottom w:val="none" w:sz="0" w:space="0" w:color="auto"/>
        <w:right w:val="none" w:sz="0" w:space="0" w:color="auto"/>
      </w:divBdr>
      <w:divsChild>
        <w:div w:id="1609193467">
          <w:marLeft w:val="0"/>
          <w:marRight w:val="0"/>
          <w:marTop w:val="0"/>
          <w:marBottom w:val="0"/>
          <w:divBdr>
            <w:top w:val="none" w:sz="0" w:space="0" w:color="auto"/>
            <w:left w:val="none" w:sz="0" w:space="0" w:color="auto"/>
            <w:bottom w:val="none" w:sz="0" w:space="0" w:color="auto"/>
            <w:right w:val="none" w:sz="0" w:space="0" w:color="auto"/>
          </w:divBdr>
          <w:divsChild>
            <w:div w:id="1484346636">
              <w:marLeft w:val="0"/>
              <w:marRight w:val="0"/>
              <w:marTop w:val="0"/>
              <w:marBottom w:val="0"/>
              <w:divBdr>
                <w:top w:val="none" w:sz="0" w:space="0" w:color="auto"/>
                <w:left w:val="none" w:sz="0" w:space="0" w:color="auto"/>
                <w:bottom w:val="none" w:sz="0" w:space="0" w:color="auto"/>
                <w:right w:val="none" w:sz="0" w:space="0" w:color="auto"/>
              </w:divBdr>
              <w:divsChild>
                <w:div w:id="207299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7678">
      <w:bodyDiv w:val="1"/>
      <w:marLeft w:val="0"/>
      <w:marRight w:val="0"/>
      <w:marTop w:val="0"/>
      <w:marBottom w:val="0"/>
      <w:divBdr>
        <w:top w:val="none" w:sz="0" w:space="0" w:color="auto"/>
        <w:left w:val="none" w:sz="0" w:space="0" w:color="auto"/>
        <w:bottom w:val="none" w:sz="0" w:space="0" w:color="auto"/>
        <w:right w:val="none" w:sz="0" w:space="0" w:color="auto"/>
      </w:divBdr>
      <w:divsChild>
        <w:div w:id="835460634">
          <w:marLeft w:val="0"/>
          <w:marRight w:val="0"/>
          <w:marTop w:val="0"/>
          <w:marBottom w:val="0"/>
          <w:divBdr>
            <w:top w:val="none" w:sz="0" w:space="0" w:color="auto"/>
            <w:left w:val="none" w:sz="0" w:space="0" w:color="auto"/>
            <w:bottom w:val="none" w:sz="0" w:space="0" w:color="auto"/>
            <w:right w:val="none" w:sz="0" w:space="0" w:color="auto"/>
          </w:divBdr>
          <w:divsChild>
            <w:div w:id="2124425023">
              <w:marLeft w:val="0"/>
              <w:marRight w:val="0"/>
              <w:marTop w:val="0"/>
              <w:marBottom w:val="0"/>
              <w:divBdr>
                <w:top w:val="none" w:sz="0" w:space="0" w:color="auto"/>
                <w:left w:val="none" w:sz="0" w:space="0" w:color="auto"/>
                <w:bottom w:val="none" w:sz="0" w:space="0" w:color="auto"/>
                <w:right w:val="none" w:sz="0" w:space="0" w:color="auto"/>
              </w:divBdr>
              <w:divsChild>
                <w:div w:id="19215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550464">
      <w:bodyDiv w:val="1"/>
      <w:marLeft w:val="0"/>
      <w:marRight w:val="0"/>
      <w:marTop w:val="0"/>
      <w:marBottom w:val="0"/>
      <w:divBdr>
        <w:top w:val="none" w:sz="0" w:space="0" w:color="auto"/>
        <w:left w:val="none" w:sz="0" w:space="0" w:color="auto"/>
        <w:bottom w:val="none" w:sz="0" w:space="0" w:color="auto"/>
        <w:right w:val="none" w:sz="0" w:space="0" w:color="auto"/>
      </w:divBdr>
      <w:divsChild>
        <w:div w:id="2070421929">
          <w:marLeft w:val="0"/>
          <w:marRight w:val="0"/>
          <w:marTop w:val="0"/>
          <w:marBottom w:val="0"/>
          <w:divBdr>
            <w:top w:val="none" w:sz="0" w:space="0" w:color="auto"/>
            <w:left w:val="none" w:sz="0" w:space="0" w:color="auto"/>
            <w:bottom w:val="none" w:sz="0" w:space="0" w:color="auto"/>
            <w:right w:val="none" w:sz="0" w:space="0" w:color="auto"/>
          </w:divBdr>
          <w:divsChild>
            <w:div w:id="655644444">
              <w:marLeft w:val="0"/>
              <w:marRight w:val="0"/>
              <w:marTop w:val="0"/>
              <w:marBottom w:val="0"/>
              <w:divBdr>
                <w:top w:val="none" w:sz="0" w:space="0" w:color="auto"/>
                <w:left w:val="none" w:sz="0" w:space="0" w:color="auto"/>
                <w:bottom w:val="none" w:sz="0" w:space="0" w:color="auto"/>
                <w:right w:val="none" w:sz="0" w:space="0" w:color="auto"/>
              </w:divBdr>
              <w:divsChild>
                <w:div w:id="20385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89184">
      <w:bodyDiv w:val="1"/>
      <w:marLeft w:val="0"/>
      <w:marRight w:val="0"/>
      <w:marTop w:val="0"/>
      <w:marBottom w:val="0"/>
      <w:divBdr>
        <w:top w:val="none" w:sz="0" w:space="0" w:color="auto"/>
        <w:left w:val="none" w:sz="0" w:space="0" w:color="auto"/>
        <w:bottom w:val="none" w:sz="0" w:space="0" w:color="auto"/>
        <w:right w:val="none" w:sz="0" w:space="0" w:color="auto"/>
      </w:divBdr>
      <w:divsChild>
        <w:div w:id="368795924">
          <w:marLeft w:val="0"/>
          <w:marRight w:val="0"/>
          <w:marTop w:val="0"/>
          <w:marBottom w:val="0"/>
          <w:divBdr>
            <w:top w:val="none" w:sz="0" w:space="0" w:color="auto"/>
            <w:left w:val="none" w:sz="0" w:space="0" w:color="auto"/>
            <w:bottom w:val="none" w:sz="0" w:space="0" w:color="auto"/>
            <w:right w:val="none" w:sz="0" w:space="0" w:color="auto"/>
          </w:divBdr>
          <w:divsChild>
            <w:div w:id="1757020424">
              <w:marLeft w:val="0"/>
              <w:marRight w:val="0"/>
              <w:marTop w:val="0"/>
              <w:marBottom w:val="0"/>
              <w:divBdr>
                <w:top w:val="none" w:sz="0" w:space="0" w:color="auto"/>
                <w:left w:val="none" w:sz="0" w:space="0" w:color="auto"/>
                <w:bottom w:val="none" w:sz="0" w:space="0" w:color="auto"/>
                <w:right w:val="none" w:sz="0" w:space="0" w:color="auto"/>
              </w:divBdr>
              <w:divsChild>
                <w:div w:id="14663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988979">
      <w:bodyDiv w:val="1"/>
      <w:marLeft w:val="0"/>
      <w:marRight w:val="0"/>
      <w:marTop w:val="0"/>
      <w:marBottom w:val="0"/>
      <w:divBdr>
        <w:top w:val="none" w:sz="0" w:space="0" w:color="auto"/>
        <w:left w:val="none" w:sz="0" w:space="0" w:color="auto"/>
        <w:bottom w:val="none" w:sz="0" w:space="0" w:color="auto"/>
        <w:right w:val="none" w:sz="0" w:space="0" w:color="auto"/>
      </w:divBdr>
      <w:divsChild>
        <w:div w:id="769156088">
          <w:marLeft w:val="0"/>
          <w:marRight w:val="0"/>
          <w:marTop w:val="0"/>
          <w:marBottom w:val="0"/>
          <w:divBdr>
            <w:top w:val="none" w:sz="0" w:space="0" w:color="auto"/>
            <w:left w:val="none" w:sz="0" w:space="0" w:color="auto"/>
            <w:bottom w:val="none" w:sz="0" w:space="0" w:color="auto"/>
            <w:right w:val="none" w:sz="0" w:space="0" w:color="auto"/>
          </w:divBdr>
          <w:divsChild>
            <w:div w:id="2017220392">
              <w:marLeft w:val="0"/>
              <w:marRight w:val="0"/>
              <w:marTop w:val="0"/>
              <w:marBottom w:val="0"/>
              <w:divBdr>
                <w:top w:val="none" w:sz="0" w:space="0" w:color="auto"/>
                <w:left w:val="none" w:sz="0" w:space="0" w:color="auto"/>
                <w:bottom w:val="none" w:sz="0" w:space="0" w:color="auto"/>
                <w:right w:val="none" w:sz="0" w:space="0" w:color="auto"/>
              </w:divBdr>
              <w:divsChild>
                <w:div w:id="13230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54023">
      <w:bodyDiv w:val="1"/>
      <w:marLeft w:val="0"/>
      <w:marRight w:val="0"/>
      <w:marTop w:val="0"/>
      <w:marBottom w:val="0"/>
      <w:divBdr>
        <w:top w:val="none" w:sz="0" w:space="0" w:color="auto"/>
        <w:left w:val="none" w:sz="0" w:space="0" w:color="auto"/>
        <w:bottom w:val="none" w:sz="0" w:space="0" w:color="auto"/>
        <w:right w:val="none" w:sz="0" w:space="0" w:color="auto"/>
      </w:divBdr>
      <w:divsChild>
        <w:div w:id="999776011">
          <w:marLeft w:val="0"/>
          <w:marRight w:val="0"/>
          <w:marTop w:val="0"/>
          <w:marBottom w:val="0"/>
          <w:divBdr>
            <w:top w:val="none" w:sz="0" w:space="0" w:color="auto"/>
            <w:left w:val="none" w:sz="0" w:space="0" w:color="auto"/>
            <w:bottom w:val="none" w:sz="0" w:space="0" w:color="auto"/>
            <w:right w:val="none" w:sz="0" w:space="0" w:color="auto"/>
          </w:divBdr>
          <w:divsChild>
            <w:div w:id="1715235345">
              <w:marLeft w:val="0"/>
              <w:marRight w:val="0"/>
              <w:marTop w:val="0"/>
              <w:marBottom w:val="0"/>
              <w:divBdr>
                <w:top w:val="none" w:sz="0" w:space="0" w:color="auto"/>
                <w:left w:val="none" w:sz="0" w:space="0" w:color="auto"/>
                <w:bottom w:val="none" w:sz="0" w:space="0" w:color="auto"/>
                <w:right w:val="none" w:sz="0" w:space="0" w:color="auto"/>
              </w:divBdr>
              <w:divsChild>
                <w:div w:id="104313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80249">
      <w:bodyDiv w:val="1"/>
      <w:marLeft w:val="0"/>
      <w:marRight w:val="0"/>
      <w:marTop w:val="0"/>
      <w:marBottom w:val="0"/>
      <w:divBdr>
        <w:top w:val="none" w:sz="0" w:space="0" w:color="auto"/>
        <w:left w:val="none" w:sz="0" w:space="0" w:color="auto"/>
        <w:bottom w:val="none" w:sz="0" w:space="0" w:color="auto"/>
        <w:right w:val="none" w:sz="0" w:space="0" w:color="auto"/>
      </w:divBdr>
      <w:divsChild>
        <w:div w:id="961035357">
          <w:marLeft w:val="0"/>
          <w:marRight w:val="0"/>
          <w:marTop w:val="0"/>
          <w:marBottom w:val="0"/>
          <w:divBdr>
            <w:top w:val="none" w:sz="0" w:space="0" w:color="auto"/>
            <w:left w:val="none" w:sz="0" w:space="0" w:color="auto"/>
            <w:bottom w:val="none" w:sz="0" w:space="0" w:color="auto"/>
            <w:right w:val="none" w:sz="0" w:space="0" w:color="auto"/>
          </w:divBdr>
          <w:divsChild>
            <w:div w:id="1831435007">
              <w:marLeft w:val="0"/>
              <w:marRight w:val="0"/>
              <w:marTop w:val="0"/>
              <w:marBottom w:val="0"/>
              <w:divBdr>
                <w:top w:val="none" w:sz="0" w:space="0" w:color="auto"/>
                <w:left w:val="none" w:sz="0" w:space="0" w:color="auto"/>
                <w:bottom w:val="none" w:sz="0" w:space="0" w:color="auto"/>
                <w:right w:val="none" w:sz="0" w:space="0" w:color="auto"/>
              </w:divBdr>
              <w:divsChild>
                <w:div w:id="7459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43653">
      <w:bodyDiv w:val="1"/>
      <w:marLeft w:val="0"/>
      <w:marRight w:val="0"/>
      <w:marTop w:val="0"/>
      <w:marBottom w:val="0"/>
      <w:divBdr>
        <w:top w:val="none" w:sz="0" w:space="0" w:color="auto"/>
        <w:left w:val="none" w:sz="0" w:space="0" w:color="auto"/>
        <w:bottom w:val="none" w:sz="0" w:space="0" w:color="auto"/>
        <w:right w:val="none" w:sz="0" w:space="0" w:color="auto"/>
      </w:divBdr>
      <w:divsChild>
        <w:div w:id="897590360">
          <w:marLeft w:val="0"/>
          <w:marRight w:val="0"/>
          <w:marTop w:val="0"/>
          <w:marBottom w:val="0"/>
          <w:divBdr>
            <w:top w:val="none" w:sz="0" w:space="0" w:color="auto"/>
            <w:left w:val="none" w:sz="0" w:space="0" w:color="auto"/>
            <w:bottom w:val="none" w:sz="0" w:space="0" w:color="auto"/>
            <w:right w:val="none" w:sz="0" w:space="0" w:color="auto"/>
          </w:divBdr>
          <w:divsChild>
            <w:div w:id="29767058">
              <w:marLeft w:val="0"/>
              <w:marRight w:val="0"/>
              <w:marTop w:val="0"/>
              <w:marBottom w:val="0"/>
              <w:divBdr>
                <w:top w:val="none" w:sz="0" w:space="0" w:color="auto"/>
                <w:left w:val="none" w:sz="0" w:space="0" w:color="auto"/>
                <w:bottom w:val="none" w:sz="0" w:space="0" w:color="auto"/>
                <w:right w:val="none" w:sz="0" w:space="0" w:color="auto"/>
              </w:divBdr>
              <w:divsChild>
                <w:div w:id="186327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1657">
      <w:bodyDiv w:val="1"/>
      <w:marLeft w:val="0"/>
      <w:marRight w:val="0"/>
      <w:marTop w:val="0"/>
      <w:marBottom w:val="0"/>
      <w:divBdr>
        <w:top w:val="none" w:sz="0" w:space="0" w:color="auto"/>
        <w:left w:val="none" w:sz="0" w:space="0" w:color="auto"/>
        <w:bottom w:val="none" w:sz="0" w:space="0" w:color="auto"/>
        <w:right w:val="none" w:sz="0" w:space="0" w:color="auto"/>
      </w:divBdr>
      <w:divsChild>
        <w:div w:id="550000992">
          <w:marLeft w:val="0"/>
          <w:marRight w:val="0"/>
          <w:marTop w:val="0"/>
          <w:marBottom w:val="0"/>
          <w:divBdr>
            <w:top w:val="none" w:sz="0" w:space="0" w:color="auto"/>
            <w:left w:val="none" w:sz="0" w:space="0" w:color="auto"/>
            <w:bottom w:val="none" w:sz="0" w:space="0" w:color="auto"/>
            <w:right w:val="none" w:sz="0" w:space="0" w:color="auto"/>
          </w:divBdr>
          <w:divsChild>
            <w:div w:id="740063291">
              <w:marLeft w:val="0"/>
              <w:marRight w:val="0"/>
              <w:marTop w:val="0"/>
              <w:marBottom w:val="0"/>
              <w:divBdr>
                <w:top w:val="none" w:sz="0" w:space="0" w:color="auto"/>
                <w:left w:val="none" w:sz="0" w:space="0" w:color="auto"/>
                <w:bottom w:val="none" w:sz="0" w:space="0" w:color="auto"/>
                <w:right w:val="none" w:sz="0" w:space="0" w:color="auto"/>
              </w:divBdr>
              <w:divsChild>
                <w:div w:id="172486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0802">
      <w:bodyDiv w:val="1"/>
      <w:marLeft w:val="0"/>
      <w:marRight w:val="0"/>
      <w:marTop w:val="0"/>
      <w:marBottom w:val="0"/>
      <w:divBdr>
        <w:top w:val="none" w:sz="0" w:space="0" w:color="auto"/>
        <w:left w:val="none" w:sz="0" w:space="0" w:color="auto"/>
        <w:bottom w:val="none" w:sz="0" w:space="0" w:color="auto"/>
        <w:right w:val="none" w:sz="0" w:space="0" w:color="auto"/>
      </w:divBdr>
      <w:divsChild>
        <w:div w:id="1499272109">
          <w:marLeft w:val="0"/>
          <w:marRight w:val="0"/>
          <w:marTop w:val="0"/>
          <w:marBottom w:val="0"/>
          <w:divBdr>
            <w:top w:val="none" w:sz="0" w:space="0" w:color="auto"/>
            <w:left w:val="none" w:sz="0" w:space="0" w:color="auto"/>
            <w:bottom w:val="none" w:sz="0" w:space="0" w:color="auto"/>
            <w:right w:val="none" w:sz="0" w:space="0" w:color="auto"/>
          </w:divBdr>
          <w:divsChild>
            <w:div w:id="1703359928">
              <w:marLeft w:val="0"/>
              <w:marRight w:val="0"/>
              <w:marTop w:val="0"/>
              <w:marBottom w:val="0"/>
              <w:divBdr>
                <w:top w:val="none" w:sz="0" w:space="0" w:color="auto"/>
                <w:left w:val="none" w:sz="0" w:space="0" w:color="auto"/>
                <w:bottom w:val="none" w:sz="0" w:space="0" w:color="auto"/>
                <w:right w:val="none" w:sz="0" w:space="0" w:color="auto"/>
              </w:divBdr>
              <w:divsChild>
                <w:div w:id="83854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32250">
      <w:bodyDiv w:val="1"/>
      <w:marLeft w:val="0"/>
      <w:marRight w:val="0"/>
      <w:marTop w:val="0"/>
      <w:marBottom w:val="0"/>
      <w:divBdr>
        <w:top w:val="none" w:sz="0" w:space="0" w:color="auto"/>
        <w:left w:val="none" w:sz="0" w:space="0" w:color="auto"/>
        <w:bottom w:val="none" w:sz="0" w:space="0" w:color="auto"/>
        <w:right w:val="none" w:sz="0" w:space="0" w:color="auto"/>
      </w:divBdr>
      <w:divsChild>
        <w:div w:id="1068723550">
          <w:marLeft w:val="0"/>
          <w:marRight w:val="0"/>
          <w:marTop w:val="0"/>
          <w:marBottom w:val="0"/>
          <w:divBdr>
            <w:top w:val="none" w:sz="0" w:space="0" w:color="auto"/>
            <w:left w:val="none" w:sz="0" w:space="0" w:color="auto"/>
            <w:bottom w:val="none" w:sz="0" w:space="0" w:color="auto"/>
            <w:right w:val="none" w:sz="0" w:space="0" w:color="auto"/>
          </w:divBdr>
          <w:divsChild>
            <w:div w:id="1467354501">
              <w:marLeft w:val="0"/>
              <w:marRight w:val="0"/>
              <w:marTop w:val="0"/>
              <w:marBottom w:val="0"/>
              <w:divBdr>
                <w:top w:val="none" w:sz="0" w:space="0" w:color="auto"/>
                <w:left w:val="none" w:sz="0" w:space="0" w:color="auto"/>
                <w:bottom w:val="none" w:sz="0" w:space="0" w:color="auto"/>
                <w:right w:val="none" w:sz="0" w:space="0" w:color="auto"/>
              </w:divBdr>
              <w:divsChild>
                <w:div w:id="6198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144582">
      <w:bodyDiv w:val="1"/>
      <w:marLeft w:val="0"/>
      <w:marRight w:val="0"/>
      <w:marTop w:val="0"/>
      <w:marBottom w:val="0"/>
      <w:divBdr>
        <w:top w:val="none" w:sz="0" w:space="0" w:color="auto"/>
        <w:left w:val="none" w:sz="0" w:space="0" w:color="auto"/>
        <w:bottom w:val="none" w:sz="0" w:space="0" w:color="auto"/>
        <w:right w:val="none" w:sz="0" w:space="0" w:color="auto"/>
      </w:divBdr>
      <w:divsChild>
        <w:div w:id="1470784752">
          <w:marLeft w:val="0"/>
          <w:marRight w:val="0"/>
          <w:marTop w:val="0"/>
          <w:marBottom w:val="0"/>
          <w:divBdr>
            <w:top w:val="none" w:sz="0" w:space="0" w:color="auto"/>
            <w:left w:val="none" w:sz="0" w:space="0" w:color="auto"/>
            <w:bottom w:val="none" w:sz="0" w:space="0" w:color="auto"/>
            <w:right w:val="none" w:sz="0" w:space="0" w:color="auto"/>
          </w:divBdr>
          <w:divsChild>
            <w:div w:id="854659292">
              <w:marLeft w:val="0"/>
              <w:marRight w:val="0"/>
              <w:marTop w:val="0"/>
              <w:marBottom w:val="0"/>
              <w:divBdr>
                <w:top w:val="none" w:sz="0" w:space="0" w:color="auto"/>
                <w:left w:val="none" w:sz="0" w:space="0" w:color="auto"/>
                <w:bottom w:val="none" w:sz="0" w:space="0" w:color="auto"/>
                <w:right w:val="none" w:sz="0" w:space="0" w:color="auto"/>
              </w:divBdr>
              <w:divsChild>
                <w:div w:id="3881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85488">
      <w:bodyDiv w:val="1"/>
      <w:marLeft w:val="0"/>
      <w:marRight w:val="0"/>
      <w:marTop w:val="0"/>
      <w:marBottom w:val="0"/>
      <w:divBdr>
        <w:top w:val="none" w:sz="0" w:space="0" w:color="auto"/>
        <w:left w:val="none" w:sz="0" w:space="0" w:color="auto"/>
        <w:bottom w:val="none" w:sz="0" w:space="0" w:color="auto"/>
        <w:right w:val="none" w:sz="0" w:space="0" w:color="auto"/>
      </w:divBdr>
      <w:divsChild>
        <w:div w:id="87430462">
          <w:marLeft w:val="0"/>
          <w:marRight w:val="0"/>
          <w:marTop w:val="0"/>
          <w:marBottom w:val="0"/>
          <w:divBdr>
            <w:top w:val="none" w:sz="0" w:space="0" w:color="auto"/>
            <w:left w:val="none" w:sz="0" w:space="0" w:color="auto"/>
            <w:bottom w:val="none" w:sz="0" w:space="0" w:color="auto"/>
            <w:right w:val="none" w:sz="0" w:space="0" w:color="auto"/>
          </w:divBdr>
          <w:divsChild>
            <w:div w:id="473301689">
              <w:marLeft w:val="0"/>
              <w:marRight w:val="0"/>
              <w:marTop w:val="0"/>
              <w:marBottom w:val="0"/>
              <w:divBdr>
                <w:top w:val="none" w:sz="0" w:space="0" w:color="auto"/>
                <w:left w:val="none" w:sz="0" w:space="0" w:color="auto"/>
                <w:bottom w:val="none" w:sz="0" w:space="0" w:color="auto"/>
                <w:right w:val="none" w:sz="0" w:space="0" w:color="auto"/>
              </w:divBdr>
              <w:divsChild>
                <w:div w:id="147275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052817">
      <w:bodyDiv w:val="1"/>
      <w:marLeft w:val="0"/>
      <w:marRight w:val="0"/>
      <w:marTop w:val="0"/>
      <w:marBottom w:val="0"/>
      <w:divBdr>
        <w:top w:val="none" w:sz="0" w:space="0" w:color="auto"/>
        <w:left w:val="none" w:sz="0" w:space="0" w:color="auto"/>
        <w:bottom w:val="none" w:sz="0" w:space="0" w:color="auto"/>
        <w:right w:val="none" w:sz="0" w:space="0" w:color="auto"/>
      </w:divBdr>
    </w:div>
    <w:div w:id="2139906351">
      <w:bodyDiv w:val="1"/>
      <w:marLeft w:val="0"/>
      <w:marRight w:val="0"/>
      <w:marTop w:val="0"/>
      <w:marBottom w:val="0"/>
      <w:divBdr>
        <w:top w:val="none" w:sz="0" w:space="0" w:color="auto"/>
        <w:left w:val="none" w:sz="0" w:space="0" w:color="auto"/>
        <w:bottom w:val="none" w:sz="0" w:space="0" w:color="auto"/>
        <w:right w:val="none" w:sz="0" w:space="0" w:color="auto"/>
      </w:divBdr>
      <w:divsChild>
        <w:div w:id="947854918">
          <w:marLeft w:val="0"/>
          <w:marRight w:val="0"/>
          <w:marTop w:val="0"/>
          <w:marBottom w:val="0"/>
          <w:divBdr>
            <w:top w:val="none" w:sz="0" w:space="0" w:color="auto"/>
            <w:left w:val="none" w:sz="0" w:space="0" w:color="auto"/>
            <w:bottom w:val="none" w:sz="0" w:space="0" w:color="auto"/>
            <w:right w:val="none" w:sz="0" w:space="0" w:color="auto"/>
          </w:divBdr>
          <w:divsChild>
            <w:div w:id="1112825961">
              <w:marLeft w:val="0"/>
              <w:marRight w:val="0"/>
              <w:marTop w:val="0"/>
              <w:marBottom w:val="0"/>
              <w:divBdr>
                <w:top w:val="none" w:sz="0" w:space="0" w:color="auto"/>
                <w:left w:val="none" w:sz="0" w:space="0" w:color="auto"/>
                <w:bottom w:val="none" w:sz="0" w:space="0" w:color="auto"/>
                <w:right w:val="none" w:sz="0" w:space="0" w:color="auto"/>
              </w:divBdr>
              <w:divsChild>
                <w:div w:id="137056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177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faelromerocarazas@gmail.com"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mailto:anasofiavillasalas92@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avidbm@upeu.edu.pe" TargetMode="External"/><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1E5E6-CE19-40BC-93E9-99A8A6288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8</Pages>
  <Words>11527</Words>
  <Characters>63404</Characters>
  <Application>Microsoft Office Word</Application>
  <DocSecurity>0</DocSecurity>
  <Lines>528</Lines>
  <Paragraphs>149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74782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Docente - Rafael Romero Carazas</cp:lastModifiedBy>
  <cp:revision>17</cp:revision>
  <cp:lastPrinted>2025-07-18T15:33:00Z</cp:lastPrinted>
  <dcterms:created xsi:type="dcterms:W3CDTF">2025-07-18T10:24:00Z</dcterms:created>
  <dcterms:modified xsi:type="dcterms:W3CDTF">2025-07-19T02:09:00Z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b7040399-fd95-3ca5-8bf2-666fcbd0a040</vt:lpwstr>
  </property>
  <property fmtid="{D5CDD505-2E9C-101B-9397-08002B2CF9AE}" pid="24" name="Mendeley Citation Style_1">
    <vt:lpwstr>http://www.zotero.org/styles/apa</vt:lpwstr>
  </property>
</Properties>
</file>