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BB93E" w14:textId="7710597A" w:rsidR="005152C7" w:rsidRPr="001E628A" w:rsidRDefault="00036FCC" w:rsidP="00AB57FE">
      <w:pPr>
        <w:spacing w:line="360" w:lineRule="auto"/>
        <w:jc w:val="both"/>
        <w:rPr>
          <w:rFonts w:ascii="Arial" w:hAnsi="Arial" w:cs="Arial"/>
          <w:b/>
          <w:bCs/>
        </w:rPr>
      </w:pPr>
      <w:r w:rsidRPr="001E628A">
        <w:rPr>
          <w:rFonts w:ascii="Arial" w:hAnsi="Arial" w:cs="Arial"/>
          <w:b/>
          <w:bCs/>
        </w:rPr>
        <w:t xml:space="preserve">Título: </w:t>
      </w:r>
      <w:r w:rsidR="005152C7" w:rsidRPr="001E628A">
        <w:rPr>
          <w:rFonts w:ascii="Arial" w:hAnsi="Arial" w:cs="Arial"/>
          <w:b/>
          <w:bCs/>
        </w:rPr>
        <w:t>Gestión del Riesgo sísmico en operaciones mineras de altos esfuerzos</w:t>
      </w:r>
    </w:p>
    <w:p w14:paraId="23381EFB" w14:textId="60D6FB09" w:rsidR="001E628A" w:rsidRDefault="001E628A" w:rsidP="00AB57FE">
      <w:pPr>
        <w:spacing w:line="360" w:lineRule="auto"/>
        <w:jc w:val="both"/>
        <w:rPr>
          <w:rFonts w:ascii="Arial" w:hAnsi="Arial" w:cs="Arial"/>
          <w:b/>
          <w:bCs/>
        </w:rPr>
      </w:pPr>
      <w:r>
        <w:rPr>
          <w:rFonts w:ascii="Arial" w:hAnsi="Arial" w:cs="Arial"/>
          <w:b/>
          <w:bCs/>
        </w:rPr>
        <w:t xml:space="preserve">Categoría: </w:t>
      </w:r>
      <w:r w:rsidR="00FC6FE2" w:rsidRPr="00355506">
        <w:rPr>
          <w:rFonts w:ascii="Arial" w:hAnsi="Arial" w:cs="Arial"/>
        </w:rPr>
        <w:t>Operaciones mineras y gestión de activos</w:t>
      </w:r>
    </w:p>
    <w:p w14:paraId="0AF03B16" w14:textId="0C19924F" w:rsidR="00036FCC" w:rsidRPr="001E628A" w:rsidRDefault="00036FCC" w:rsidP="00AB57FE">
      <w:pPr>
        <w:spacing w:line="360" w:lineRule="auto"/>
        <w:jc w:val="both"/>
        <w:rPr>
          <w:rFonts w:ascii="Arial" w:hAnsi="Arial" w:cs="Arial"/>
          <w:b/>
          <w:bCs/>
        </w:rPr>
      </w:pPr>
      <w:r w:rsidRPr="001E628A">
        <w:rPr>
          <w:rFonts w:ascii="Arial" w:hAnsi="Arial" w:cs="Arial"/>
          <w:b/>
          <w:bCs/>
        </w:rPr>
        <w:t xml:space="preserve">Tema: </w:t>
      </w:r>
      <w:r w:rsidR="00FC6FE2" w:rsidRPr="00355506">
        <w:rPr>
          <w:rFonts w:ascii="Arial" w:hAnsi="Arial" w:cs="Arial"/>
        </w:rPr>
        <w:t>Geotecnia /</w:t>
      </w:r>
      <w:r w:rsidR="00355506" w:rsidRPr="00355506">
        <w:rPr>
          <w:rFonts w:ascii="Arial" w:hAnsi="Arial" w:cs="Arial"/>
        </w:rPr>
        <w:t xml:space="preserve"> Geomecánica</w:t>
      </w:r>
    </w:p>
    <w:p w14:paraId="10227736" w14:textId="57889D01" w:rsidR="005064D8" w:rsidRPr="001E628A" w:rsidRDefault="00355506" w:rsidP="00AB57FE">
      <w:pPr>
        <w:spacing w:line="360" w:lineRule="auto"/>
        <w:jc w:val="both"/>
        <w:rPr>
          <w:rFonts w:ascii="Arial" w:hAnsi="Arial" w:cs="Arial"/>
        </w:rPr>
      </w:pPr>
      <w:r>
        <w:rPr>
          <w:rFonts w:ascii="Arial" w:hAnsi="Arial" w:cs="Arial"/>
        </w:rPr>
        <w:t xml:space="preserve">Autor: </w:t>
      </w:r>
      <w:r w:rsidR="005152C7" w:rsidRPr="001E628A">
        <w:rPr>
          <w:rFonts w:ascii="Arial" w:hAnsi="Arial" w:cs="Arial"/>
        </w:rPr>
        <w:t>Cody Alfredo Gomez Rozas</w:t>
      </w:r>
    </w:p>
    <w:p w14:paraId="31C1F440" w14:textId="36D5173E" w:rsidR="005152C7" w:rsidRPr="00677229" w:rsidRDefault="005152C7" w:rsidP="00AB57FE">
      <w:pPr>
        <w:spacing w:line="360" w:lineRule="auto"/>
        <w:jc w:val="both"/>
        <w:rPr>
          <w:rFonts w:ascii="Arial" w:hAnsi="Arial" w:cs="Arial"/>
        </w:rPr>
      </w:pPr>
      <w:r w:rsidRPr="00677229">
        <w:rPr>
          <w:rFonts w:ascii="Arial" w:hAnsi="Arial" w:cs="Arial"/>
        </w:rPr>
        <w:t xml:space="preserve">Superintendente de Geomecánica </w:t>
      </w:r>
    </w:p>
    <w:p w14:paraId="0017C04D" w14:textId="4A03B2BF" w:rsidR="000409F9" w:rsidRPr="00677229" w:rsidRDefault="005152C7" w:rsidP="00AB57FE">
      <w:pPr>
        <w:spacing w:line="360" w:lineRule="auto"/>
        <w:jc w:val="both"/>
        <w:rPr>
          <w:rFonts w:ascii="Arial" w:hAnsi="Arial" w:cs="Arial"/>
          <w:lang w:val="it-IT"/>
        </w:rPr>
      </w:pPr>
      <w:r w:rsidRPr="00677229">
        <w:rPr>
          <w:rFonts w:ascii="Arial" w:hAnsi="Arial" w:cs="Arial"/>
          <w:lang w:val="it-IT"/>
        </w:rPr>
        <w:t>Cía. Minera Raura</w:t>
      </w:r>
      <w:r w:rsidR="000409F9" w:rsidRPr="00677229">
        <w:rPr>
          <w:rFonts w:ascii="Aptos Light" w:hAnsi="Aptos Light"/>
          <w:sz w:val="20"/>
          <w:szCs w:val="20"/>
          <w:lang w:val="it-IT"/>
        </w:rPr>
        <w:t xml:space="preserve"> </w:t>
      </w:r>
    </w:p>
    <w:p w14:paraId="002AAC11" w14:textId="25674EFE" w:rsidR="000409F9" w:rsidRPr="00677229" w:rsidRDefault="00677229" w:rsidP="00AB57FE">
      <w:pPr>
        <w:spacing w:line="360" w:lineRule="auto"/>
        <w:jc w:val="both"/>
        <w:rPr>
          <w:rFonts w:ascii="Arial" w:hAnsi="Arial" w:cs="Arial"/>
          <w:lang w:val="it-IT"/>
        </w:rPr>
      </w:pPr>
      <w:r w:rsidRPr="00677229">
        <w:rPr>
          <w:rFonts w:ascii="Arial" w:hAnsi="Arial" w:cs="Arial"/>
          <w:lang w:val="it-IT"/>
        </w:rPr>
        <w:t>Jr. Giovanni Batista Lorenzo Bernini 149, Of. 501-A Torre Trazzo San Borja - Lima - Perú</w:t>
      </w:r>
    </w:p>
    <w:p w14:paraId="179D8EAF" w14:textId="3C22FB0A" w:rsidR="00355506" w:rsidRDefault="00677229" w:rsidP="00AB57FE">
      <w:pPr>
        <w:spacing w:line="360" w:lineRule="auto"/>
        <w:jc w:val="both"/>
        <w:rPr>
          <w:rFonts w:ascii="Arial" w:hAnsi="Arial" w:cs="Arial"/>
          <w:lang w:val="it-IT"/>
        </w:rPr>
      </w:pPr>
      <w:hyperlink r:id="rId4" w:history="1">
        <w:r w:rsidRPr="00677229">
          <w:rPr>
            <w:rStyle w:val="Hipervnculo"/>
            <w:rFonts w:ascii="Arial" w:hAnsi="Arial" w:cs="Arial"/>
            <w:lang w:val="it-IT"/>
          </w:rPr>
          <w:t>cody.gomez@raura.com.pe/</w:t>
        </w:r>
      </w:hyperlink>
      <w:r w:rsidRPr="00677229">
        <w:rPr>
          <w:rFonts w:ascii="Arial" w:hAnsi="Arial" w:cs="Arial"/>
          <w:lang w:val="it-IT"/>
        </w:rPr>
        <w:t xml:space="preserve"> </w:t>
      </w:r>
      <w:hyperlink r:id="rId5" w:history="1">
        <w:r w:rsidR="00C04158" w:rsidRPr="004E5CEF">
          <w:rPr>
            <w:rStyle w:val="Hipervnculo"/>
            <w:rFonts w:ascii="Arial" w:hAnsi="Arial" w:cs="Arial"/>
            <w:lang w:val="it-IT"/>
          </w:rPr>
          <w:t>codygomezrozas@icloud.com</w:t>
        </w:r>
      </w:hyperlink>
    </w:p>
    <w:p w14:paraId="7CE29BA9" w14:textId="6BD55A17" w:rsidR="00C04158" w:rsidRPr="001A6B78" w:rsidRDefault="00C04158" w:rsidP="00AB57FE">
      <w:pPr>
        <w:spacing w:line="360" w:lineRule="auto"/>
        <w:jc w:val="both"/>
        <w:rPr>
          <w:rFonts w:ascii="Arial" w:hAnsi="Arial" w:cs="Arial"/>
        </w:rPr>
      </w:pPr>
      <w:r w:rsidRPr="001A6B78">
        <w:rPr>
          <w:rFonts w:ascii="Arial" w:hAnsi="Arial" w:cs="Arial"/>
        </w:rPr>
        <w:t>Telefono: 997468801</w:t>
      </w:r>
    </w:p>
    <w:p w14:paraId="0C24E463" w14:textId="52288810" w:rsidR="00C04158" w:rsidRDefault="001A6B78" w:rsidP="00AB57FE">
      <w:pPr>
        <w:spacing w:line="360" w:lineRule="auto"/>
        <w:jc w:val="both"/>
        <w:rPr>
          <w:rFonts w:ascii="Arial" w:hAnsi="Arial" w:cs="Arial"/>
          <w:b/>
          <w:bCs/>
        </w:rPr>
      </w:pPr>
      <w:r>
        <w:rPr>
          <w:rFonts w:ascii="Arial" w:hAnsi="Arial" w:cs="Arial"/>
          <w:b/>
          <w:bCs/>
        </w:rPr>
        <w:t xml:space="preserve">Palabras clave: </w:t>
      </w:r>
      <w:r w:rsidRPr="00AB57FE">
        <w:rPr>
          <w:rFonts w:ascii="Arial" w:hAnsi="Arial" w:cs="Arial"/>
        </w:rPr>
        <w:t xml:space="preserve">Microsismicidad, recurrencia sísmica, </w:t>
      </w:r>
      <w:r w:rsidR="00AB57FE" w:rsidRPr="00AB57FE">
        <w:rPr>
          <w:rFonts w:ascii="Arial" w:hAnsi="Arial" w:cs="Arial"/>
        </w:rPr>
        <w:t>secuencia de explotación, deformación sísmica, ratios de extracción diaria y mensual, momento sísmico, magnitud máxima probable.</w:t>
      </w:r>
    </w:p>
    <w:p w14:paraId="6A9E5C82" w14:textId="1F61F5F1" w:rsidR="005152C7" w:rsidRPr="001E628A" w:rsidRDefault="005152C7" w:rsidP="001E628A">
      <w:pPr>
        <w:spacing w:line="360" w:lineRule="auto"/>
        <w:rPr>
          <w:rFonts w:ascii="Arial" w:hAnsi="Arial" w:cs="Arial"/>
          <w:b/>
          <w:bCs/>
        </w:rPr>
      </w:pPr>
      <w:r w:rsidRPr="001E628A">
        <w:rPr>
          <w:rFonts w:ascii="Arial" w:hAnsi="Arial" w:cs="Arial"/>
          <w:b/>
          <w:bCs/>
        </w:rPr>
        <w:t>Resumen</w:t>
      </w:r>
    </w:p>
    <w:p w14:paraId="121A07FC" w14:textId="37423ACB" w:rsidR="005D5A52" w:rsidRDefault="005D5A52" w:rsidP="001E628A">
      <w:pPr>
        <w:spacing w:line="360" w:lineRule="auto"/>
        <w:jc w:val="both"/>
        <w:rPr>
          <w:rFonts w:ascii="Arial" w:hAnsi="Arial" w:cs="Arial"/>
        </w:rPr>
      </w:pPr>
      <w:r w:rsidRPr="001E628A">
        <w:rPr>
          <w:rFonts w:ascii="Arial" w:hAnsi="Arial" w:cs="Arial"/>
        </w:rPr>
        <w:t xml:space="preserve">La sismicidad inducida por minería en contextos de altos esfuerzos no es un fenómeno extraño, desde hace más de 40 años se define como un riesgo operativo relevante. En Cía. Minera Raura, se ha identificado que los daños asociados a eventos sísmicos se presentan como </w:t>
      </w:r>
      <w:r w:rsidRPr="001E628A">
        <w:rPr>
          <w:rFonts w:ascii="Arial" w:hAnsi="Arial" w:cs="Arial"/>
          <w:i/>
          <w:iCs/>
        </w:rPr>
        <w:t>spalling</w:t>
      </w:r>
      <w:r w:rsidRPr="001E628A">
        <w:rPr>
          <w:rFonts w:ascii="Arial" w:hAnsi="Arial" w:cs="Arial"/>
        </w:rPr>
        <w:t xml:space="preserve"> </w:t>
      </w:r>
      <w:r w:rsidRPr="001E628A">
        <w:rPr>
          <w:rFonts w:ascii="Arial" w:hAnsi="Arial" w:cs="Arial"/>
          <w:i/>
          <w:iCs/>
        </w:rPr>
        <w:t>y deformación de excavaciones en zonas previamente perturbadas</w:t>
      </w:r>
      <w:r w:rsidRPr="001E628A">
        <w:rPr>
          <w:rFonts w:ascii="Arial" w:hAnsi="Arial" w:cs="Arial"/>
        </w:rPr>
        <w:t xml:space="preserve"> y estos mecanismos obedecen a una combinación de factores </w:t>
      </w:r>
      <w:r w:rsidR="003B6CD6" w:rsidRPr="001E628A">
        <w:rPr>
          <w:rFonts w:ascii="Arial" w:hAnsi="Arial" w:cs="Arial"/>
        </w:rPr>
        <w:t xml:space="preserve">como el operativo, </w:t>
      </w:r>
      <w:r w:rsidRPr="001E628A">
        <w:rPr>
          <w:rFonts w:ascii="Arial" w:hAnsi="Arial" w:cs="Arial"/>
        </w:rPr>
        <w:t>geomecánicos y de diseño, los cuales deben ser controlados mediante una gestión integral del riesgo.</w:t>
      </w:r>
    </w:p>
    <w:p w14:paraId="21C63C02" w14:textId="374CE65B" w:rsidR="00606314" w:rsidRPr="001E628A" w:rsidRDefault="00760ECD" w:rsidP="001E628A">
      <w:pPr>
        <w:spacing w:line="360" w:lineRule="auto"/>
        <w:jc w:val="both"/>
        <w:rPr>
          <w:rFonts w:ascii="Arial" w:hAnsi="Arial" w:cs="Arial"/>
        </w:rPr>
      </w:pPr>
      <w:r>
        <w:rPr>
          <w:rFonts w:ascii="Arial" w:hAnsi="Arial" w:cs="Arial"/>
        </w:rPr>
        <w:t>Determinar la recurrencia sísmica en función del tonelaje (</w:t>
      </w:r>
      <w:r w:rsidR="0088202C">
        <w:rPr>
          <w:rFonts w:ascii="Arial" w:hAnsi="Arial" w:cs="Arial"/>
        </w:rPr>
        <w:t>tpd) disparado por estructura dentro del plan de producción mensual</w:t>
      </w:r>
      <w:r w:rsidR="002150DE">
        <w:rPr>
          <w:rFonts w:ascii="Arial" w:hAnsi="Arial" w:cs="Arial"/>
        </w:rPr>
        <w:t>, así como, determinar el impacto de este tonelaje en las zonas o fuentes sismogénicas</w:t>
      </w:r>
      <w:r w:rsidR="00501AEB">
        <w:rPr>
          <w:rFonts w:ascii="Arial" w:hAnsi="Arial" w:cs="Arial"/>
        </w:rPr>
        <w:t>.</w:t>
      </w:r>
    </w:p>
    <w:p w14:paraId="0BB10FD0" w14:textId="619C988C" w:rsidR="005D5A52" w:rsidRPr="001E628A" w:rsidRDefault="005D5A52" w:rsidP="001E628A">
      <w:pPr>
        <w:spacing w:line="360" w:lineRule="auto"/>
        <w:jc w:val="both"/>
        <w:rPr>
          <w:rFonts w:ascii="Arial" w:hAnsi="Arial" w:cs="Arial"/>
        </w:rPr>
      </w:pPr>
      <w:r w:rsidRPr="001E628A">
        <w:rPr>
          <w:rFonts w:ascii="Arial" w:hAnsi="Arial" w:cs="Arial"/>
        </w:rPr>
        <w:t xml:space="preserve">Durante el análisis de eventos con daño registrados en </w:t>
      </w:r>
      <w:r w:rsidR="003B6CD6" w:rsidRPr="001E628A">
        <w:rPr>
          <w:rFonts w:ascii="Arial" w:hAnsi="Arial" w:cs="Arial"/>
        </w:rPr>
        <w:t>los últimos años (2021-2024)</w:t>
      </w:r>
      <w:r w:rsidRPr="001E628A">
        <w:rPr>
          <w:rFonts w:ascii="Arial" w:hAnsi="Arial" w:cs="Arial"/>
        </w:rPr>
        <w:t>, se ha evaluado su distribución espacial</w:t>
      </w:r>
      <w:r w:rsidR="003B6CD6" w:rsidRPr="001E628A">
        <w:rPr>
          <w:rFonts w:ascii="Arial" w:hAnsi="Arial" w:cs="Arial"/>
        </w:rPr>
        <w:t xml:space="preserve"> de los eventos</w:t>
      </w:r>
      <w:r w:rsidRPr="001E628A">
        <w:rPr>
          <w:rFonts w:ascii="Arial" w:hAnsi="Arial" w:cs="Arial"/>
        </w:rPr>
        <w:t>, mecanismos de activación y correlación con la evolución de</w:t>
      </w:r>
      <w:r w:rsidR="003B6CD6" w:rsidRPr="001E628A">
        <w:rPr>
          <w:rFonts w:ascii="Arial" w:hAnsi="Arial" w:cs="Arial"/>
        </w:rPr>
        <w:t xml:space="preserve"> </w:t>
      </w:r>
      <w:r w:rsidRPr="001E628A">
        <w:rPr>
          <w:rFonts w:ascii="Arial" w:hAnsi="Arial" w:cs="Arial"/>
        </w:rPr>
        <w:t>l</w:t>
      </w:r>
      <w:r w:rsidR="003B6CD6" w:rsidRPr="001E628A">
        <w:rPr>
          <w:rFonts w:ascii="Arial" w:hAnsi="Arial" w:cs="Arial"/>
        </w:rPr>
        <w:t>os planes de</w:t>
      </w:r>
      <w:r w:rsidRPr="001E628A">
        <w:rPr>
          <w:rFonts w:ascii="Arial" w:hAnsi="Arial" w:cs="Arial"/>
        </w:rPr>
        <w:t xml:space="preserve"> minado. Esta información permitió establecer una zonificación preliminar de </w:t>
      </w:r>
      <w:r w:rsidR="003B6CD6" w:rsidRPr="001E628A">
        <w:rPr>
          <w:rFonts w:ascii="Arial" w:hAnsi="Arial" w:cs="Arial"/>
        </w:rPr>
        <w:t>peligro sísmico</w:t>
      </w:r>
      <w:r w:rsidRPr="001E628A">
        <w:rPr>
          <w:rFonts w:ascii="Arial" w:hAnsi="Arial" w:cs="Arial"/>
        </w:rPr>
        <w:t xml:space="preserve">, útil para </w:t>
      </w:r>
      <w:r w:rsidR="003B6CD6" w:rsidRPr="001E628A">
        <w:rPr>
          <w:rFonts w:ascii="Arial" w:hAnsi="Arial" w:cs="Arial"/>
        </w:rPr>
        <w:t xml:space="preserve">establecer secuencias de minado, ratios de producción, así como, </w:t>
      </w:r>
      <w:r w:rsidRPr="001E628A">
        <w:rPr>
          <w:rFonts w:ascii="Arial" w:hAnsi="Arial" w:cs="Arial"/>
        </w:rPr>
        <w:t>estrategias de sostenimiento</w:t>
      </w:r>
      <w:r w:rsidR="0039744C" w:rsidRPr="001E628A">
        <w:rPr>
          <w:rFonts w:ascii="Arial" w:hAnsi="Arial" w:cs="Arial"/>
        </w:rPr>
        <w:t xml:space="preserve"> que permitan en una primera instancia </w:t>
      </w:r>
      <w:r w:rsidR="00D41B14" w:rsidRPr="001E628A">
        <w:rPr>
          <w:rFonts w:ascii="Arial" w:hAnsi="Arial" w:cs="Arial"/>
        </w:rPr>
        <w:t>generar un ambiente seguro de trabajo y consecuentemente una continuidad operacional sostenida.</w:t>
      </w:r>
    </w:p>
    <w:p w14:paraId="1563AD78" w14:textId="571CD218" w:rsidR="005D5A52" w:rsidRPr="001E628A" w:rsidRDefault="00AA3884" w:rsidP="001E628A">
      <w:pPr>
        <w:spacing w:line="360" w:lineRule="auto"/>
        <w:jc w:val="both"/>
        <w:rPr>
          <w:rFonts w:ascii="Arial" w:hAnsi="Arial" w:cs="Arial"/>
        </w:rPr>
      </w:pPr>
      <w:r w:rsidRPr="001E628A">
        <w:rPr>
          <w:rFonts w:ascii="Arial" w:hAnsi="Arial" w:cs="Arial"/>
        </w:rPr>
        <w:lastRenderedPageBreak/>
        <w:t>Para establecer esta zonificación</w:t>
      </w:r>
      <w:r w:rsidR="005D5A52" w:rsidRPr="001E628A">
        <w:rPr>
          <w:rFonts w:ascii="Arial" w:hAnsi="Arial" w:cs="Arial"/>
        </w:rPr>
        <w:t xml:space="preserve">, se ha modelado el comportamiento sísmico esperado para el </w:t>
      </w:r>
      <w:r w:rsidRPr="001E628A">
        <w:rPr>
          <w:rFonts w:ascii="Arial" w:hAnsi="Arial" w:cs="Arial"/>
        </w:rPr>
        <w:t>plan de producción del año</w:t>
      </w:r>
      <w:r w:rsidR="005D5A52" w:rsidRPr="001E628A">
        <w:rPr>
          <w:rFonts w:ascii="Arial" w:hAnsi="Arial" w:cs="Arial"/>
        </w:rPr>
        <w:t xml:space="preserve"> 2025 utilizando indicadores determinísticos y probabilísticos</w:t>
      </w:r>
      <w:r w:rsidRPr="001E628A">
        <w:rPr>
          <w:rFonts w:ascii="Arial" w:hAnsi="Arial" w:cs="Arial"/>
        </w:rPr>
        <w:t>, los cuales nos muestran que durante el año s</w:t>
      </w:r>
      <w:r w:rsidR="005D5A52" w:rsidRPr="001E628A">
        <w:rPr>
          <w:rFonts w:ascii="Arial" w:hAnsi="Arial" w:cs="Arial"/>
        </w:rPr>
        <w:t>e proyecta un incremento leve en la energía liberada mensualmente, con magnitudes</w:t>
      </w:r>
      <w:r w:rsidR="000F2C19" w:rsidRPr="001E628A">
        <w:rPr>
          <w:rFonts w:ascii="Arial" w:hAnsi="Arial" w:cs="Arial"/>
        </w:rPr>
        <w:t xml:space="preserve"> momento</w:t>
      </w:r>
      <w:r w:rsidR="005D5A52" w:rsidRPr="001E628A">
        <w:rPr>
          <w:rFonts w:ascii="Arial" w:hAnsi="Arial" w:cs="Arial"/>
        </w:rPr>
        <w:t xml:space="preserve"> máximas probables del orden de 2.4</w:t>
      </w:r>
      <w:r w:rsidR="000F2C19" w:rsidRPr="001E628A">
        <w:rPr>
          <w:rFonts w:ascii="Arial" w:hAnsi="Arial" w:cs="Arial"/>
        </w:rPr>
        <w:t xml:space="preserve">, a </w:t>
      </w:r>
      <w:r w:rsidR="005D5A52" w:rsidRPr="001E628A">
        <w:rPr>
          <w:rFonts w:ascii="Arial" w:hAnsi="Arial" w:cs="Arial"/>
        </w:rPr>
        <w:t xml:space="preserve">pesar de este pronóstico, el análisis de riesgo geomecánico mediante el índice FAR (Fatal Accident Risk) indica que, </w:t>
      </w:r>
      <w:r w:rsidR="000F2C19" w:rsidRPr="001E628A">
        <w:rPr>
          <w:rFonts w:ascii="Arial" w:hAnsi="Arial" w:cs="Arial"/>
        </w:rPr>
        <w:t>realizando ajustes al sistema de fortificación principal cómo</w:t>
      </w:r>
      <w:r w:rsidR="005D5A52" w:rsidRPr="001E628A">
        <w:rPr>
          <w:rFonts w:ascii="Arial" w:hAnsi="Arial" w:cs="Arial"/>
        </w:rPr>
        <w:t xml:space="preserve"> </w:t>
      </w:r>
      <w:r w:rsidR="000F2C19" w:rsidRPr="001E628A">
        <w:rPr>
          <w:rFonts w:ascii="Arial" w:hAnsi="Arial" w:cs="Arial"/>
        </w:rPr>
        <w:t>anclajes y malla de sostenimiento</w:t>
      </w:r>
      <w:r w:rsidR="00C71954" w:rsidRPr="001E628A">
        <w:rPr>
          <w:rFonts w:ascii="Arial" w:hAnsi="Arial" w:cs="Arial"/>
        </w:rPr>
        <w:t>, además de generar zonas de exclusión sísmica</w:t>
      </w:r>
      <w:r w:rsidR="005D5A52" w:rsidRPr="001E628A">
        <w:rPr>
          <w:rFonts w:ascii="Arial" w:hAnsi="Arial" w:cs="Arial"/>
        </w:rPr>
        <w:t xml:space="preserve"> </w:t>
      </w:r>
      <w:r w:rsidR="002F4B75" w:rsidRPr="001E628A">
        <w:rPr>
          <w:rFonts w:ascii="Arial" w:hAnsi="Arial" w:cs="Arial"/>
        </w:rPr>
        <w:t>(</w:t>
      </w:r>
      <w:r w:rsidR="005D5A52" w:rsidRPr="001E628A">
        <w:rPr>
          <w:rFonts w:ascii="Arial" w:hAnsi="Arial" w:cs="Arial"/>
        </w:rPr>
        <w:t>zonas críticas</w:t>
      </w:r>
      <w:r w:rsidR="002F4B75" w:rsidRPr="001E628A">
        <w:rPr>
          <w:rFonts w:ascii="Arial" w:hAnsi="Arial" w:cs="Arial"/>
        </w:rPr>
        <w:t>) para el personal</w:t>
      </w:r>
      <w:r w:rsidR="005D5A52" w:rsidRPr="001E628A">
        <w:rPr>
          <w:rFonts w:ascii="Arial" w:hAnsi="Arial" w:cs="Arial"/>
        </w:rPr>
        <w:t>, es posible mantener el riesgo dentro de los límites aceptables de la industria.</w:t>
      </w:r>
    </w:p>
    <w:p w14:paraId="44CCF0A7" w14:textId="77777777" w:rsidR="00FA50DE" w:rsidRDefault="005D5A52" w:rsidP="001E628A">
      <w:pPr>
        <w:spacing w:line="360" w:lineRule="auto"/>
        <w:jc w:val="both"/>
        <w:rPr>
          <w:rFonts w:ascii="Arial" w:hAnsi="Arial" w:cs="Arial"/>
        </w:rPr>
      </w:pPr>
      <w:r w:rsidRPr="001E628A">
        <w:rPr>
          <w:rFonts w:ascii="Arial" w:hAnsi="Arial" w:cs="Arial"/>
        </w:rPr>
        <w:t>Finalmente, se recomienda revisar la secuencia de minado</w:t>
      </w:r>
      <w:r w:rsidR="002F4B75" w:rsidRPr="001E628A">
        <w:rPr>
          <w:rFonts w:ascii="Arial" w:hAnsi="Arial" w:cs="Arial"/>
        </w:rPr>
        <w:t xml:space="preserve"> de manera continua</w:t>
      </w:r>
      <w:r w:rsidRPr="001E628A">
        <w:rPr>
          <w:rFonts w:ascii="Arial" w:hAnsi="Arial" w:cs="Arial"/>
        </w:rPr>
        <w:t xml:space="preserve"> como medida clave para reducir el nivel de esfuerzo acumulado y, por </w:t>
      </w:r>
      <w:r w:rsidR="002F4B75" w:rsidRPr="001E628A">
        <w:rPr>
          <w:rFonts w:ascii="Arial" w:hAnsi="Arial" w:cs="Arial"/>
        </w:rPr>
        <w:t>consiguiente</w:t>
      </w:r>
      <w:r w:rsidRPr="001E628A">
        <w:rPr>
          <w:rFonts w:ascii="Arial" w:hAnsi="Arial" w:cs="Arial"/>
        </w:rPr>
        <w:t>, el potencial de activación sísmica.</w:t>
      </w:r>
    </w:p>
    <w:p w14:paraId="2DD22650" w14:textId="02DDA04B" w:rsidR="00501AEB" w:rsidRDefault="003204E1" w:rsidP="001E628A">
      <w:pPr>
        <w:spacing w:line="360" w:lineRule="auto"/>
        <w:jc w:val="both"/>
        <w:rPr>
          <w:rFonts w:ascii="Arial" w:hAnsi="Arial" w:cs="Arial"/>
        </w:rPr>
      </w:pPr>
      <w:r>
        <w:rPr>
          <w:noProof/>
        </w:rPr>
        <w:drawing>
          <wp:inline distT="0" distB="0" distL="0" distR="0" wp14:anchorId="0B5B14D9" wp14:editId="0788ED82">
            <wp:extent cx="5400040" cy="2935256"/>
            <wp:effectExtent l="0" t="0" r="0" b="0"/>
            <wp:docPr id="1204053143"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53143" name="Imagen 1" descr="Gráfico, Gráfico de dispersión&#10;&#10;El contenido generado por IA puede ser incorrecto."/>
                    <pic:cNvPicPr/>
                  </pic:nvPicPr>
                  <pic:blipFill>
                    <a:blip r:embed="rId6"/>
                    <a:stretch>
                      <a:fillRect/>
                    </a:stretch>
                  </pic:blipFill>
                  <pic:spPr>
                    <a:xfrm>
                      <a:off x="0" y="0"/>
                      <a:ext cx="5400040" cy="2935256"/>
                    </a:xfrm>
                    <a:prstGeom prst="rect">
                      <a:avLst/>
                    </a:prstGeom>
                  </pic:spPr>
                </pic:pic>
              </a:graphicData>
            </a:graphic>
          </wp:inline>
        </w:drawing>
      </w:r>
    </w:p>
    <w:p w14:paraId="4636F819" w14:textId="51E0BC21" w:rsidR="00666DCB" w:rsidRDefault="00666DCB" w:rsidP="00666DCB">
      <w:pPr>
        <w:spacing w:line="360" w:lineRule="auto"/>
        <w:jc w:val="both"/>
        <w:rPr>
          <w:rFonts w:ascii="Arial" w:hAnsi="Arial" w:cs="Arial"/>
        </w:rPr>
      </w:pPr>
      <w:r w:rsidRPr="00666DCB">
        <w:rPr>
          <w:rFonts w:ascii="Arial" w:hAnsi="Arial" w:cs="Arial"/>
        </w:rPr>
        <w:t xml:space="preserve">En base al momento sísmico estimado para cada tonelaje se puede estimar la magnitud máxima </w:t>
      </w:r>
      <w:r w:rsidRPr="00666DCB">
        <w:rPr>
          <w:rFonts w:ascii="Arial" w:hAnsi="Arial" w:cs="Arial"/>
        </w:rPr>
        <w:t>más</w:t>
      </w:r>
      <w:r w:rsidRPr="00666DCB">
        <w:rPr>
          <w:rFonts w:ascii="Arial" w:hAnsi="Arial" w:cs="Arial"/>
        </w:rPr>
        <w:t xml:space="preserve"> probable debido solo a voladuras inferiores a 2500 toneladas</w:t>
      </w:r>
      <w:r>
        <w:rPr>
          <w:rFonts w:ascii="Arial" w:hAnsi="Arial" w:cs="Arial"/>
        </w:rPr>
        <w:t xml:space="preserve"> para la estructura de Vanessa.</w:t>
      </w:r>
    </w:p>
    <w:p w14:paraId="2C029B07" w14:textId="45D8B4E4" w:rsidR="005D5A52" w:rsidRDefault="005D5A52" w:rsidP="00666DCB">
      <w:pPr>
        <w:spacing w:line="360" w:lineRule="auto"/>
        <w:jc w:val="both"/>
        <w:rPr>
          <w:rFonts w:ascii="Arial" w:hAnsi="Arial" w:cs="Arial"/>
        </w:rPr>
      </w:pPr>
      <w:r w:rsidRPr="001E628A">
        <w:rPr>
          <w:rFonts w:ascii="Arial" w:hAnsi="Arial" w:cs="Arial"/>
        </w:rPr>
        <w:t>Estas acciones permitirán mitigar riesgos, reducir la accidentabilidad y asegurar la continuidad operativa sin comprometer las metas de producción.</w:t>
      </w:r>
    </w:p>
    <w:p w14:paraId="183D9E61" w14:textId="77777777" w:rsidR="00666DCB" w:rsidRPr="001E628A" w:rsidRDefault="00666DCB" w:rsidP="00666DCB">
      <w:pPr>
        <w:jc w:val="both"/>
        <w:rPr>
          <w:rFonts w:ascii="Arial" w:hAnsi="Arial" w:cs="Arial"/>
        </w:rPr>
      </w:pPr>
    </w:p>
    <w:p w14:paraId="40EB93AD" w14:textId="7B63913F" w:rsidR="005152C7" w:rsidRDefault="00C82CA6" w:rsidP="001E628A">
      <w:pPr>
        <w:spacing w:line="360" w:lineRule="auto"/>
        <w:jc w:val="both"/>
        <w:rPr>
          <w:rFonts w:ascii="Arial" w:hAnsi="Arial" w:cs="Arial"/>
        </w:rPr>
      </w:pPr>
      <w:r>
        <w:rPr>
          <w:rFonts w:ascii="Arial" w:hAnsi="Arial" w:cs="Arial"/>
        </w:rPr>
        <w:t>Conclusiones:</w:t>
      </w:r>
    </w:p>
    <w:p w14:paraId="4A92AC52" w14:textId="5260444D" w:rsidR="00DA4BFF" w:rsidRPr="00DA4BFF" w:rsidRDefault="00DA4BFF" w:rsidP="00DA4BFF">
      <w:pPr>
        <w:spacing w:line="360" w:lineRule="auto"/>
        <w:jc w:val="both"/>
        <w:rPr>
          <w:rFonts w:ascii="Arial" w:hAnsi="Arial" w:cs="Arial"/>
        </w:rPr>
      </w:pPr>
      <w:r w:rsidRPr="00DA4BFF">
        <w:rPr>
          <w:rFonts w:ascii="Arial" w:hAnsi="Arial" w:cs="Arial"/>
        </w:rPr>
        <w:t xml:space="preserve">El estudio de las voladuras de tajeo y de la </w:t>
      </w:r>
      <w:r w:rsidRPr="00DA4BFF">
        <w:rPr>
          <w:rFonts w:ascii="Arial" w:hAnsi="Arial" w:cs="Arial"/>
        </w:rPr>
        <w:t>sismicidad</w:t>
      </w:r>
      <w:r w:rsidRPr="00DA4BFF">
        <w:rPr>
          <w:rFonts w:ascii="Arial" w:hAnsi="Arial" w:cs="Arial"/>
        </w:rPr>
        <w:t xml:space="preserve"> inducida ha permitido generar lineamientos básicos para permitir el aumento de producción sin incrementar el peligro para las personas ni para </w:t>
      </w:r>
      <w:r>
        <w:rPr>
          <w:rFonts w:ascii="Arial" w:hAnsi="Arial" w:cs="Arial"/>
        </w:rPr>
        <w:t>las operaciones mineras</w:t>
      </w:r>
      <w:r w:rsidR="005B27A4">
        <w:rPr>
          <w:rFonts w:ascii="Arial" w:hAnsi="Arial" w:cs="Arial"/>
        </w:rPr>
        <w:t xml:space="preserve">. </w:t>
      </w:r>
      <w:r w:rsidRPr="00DA4BFF">
        <w:rPr>
          <w:rFonts w:ascii="Arial" w:hAnsi="Arial" w:cs="Arial"/>
        </w:rPr>
        <w:t xml:space="preserve"> </w:t>
      </w:r>
    </w:p>
    <w:p w14:paraId="77E9A7A4" w14:textId="4D32C219" w:rsidR="00DA4BFF" w:rsidRPr="00DA4BFF" w:rsidRDefault="00DA4BFF" w:rsidP="00DA4BFF">
      <w:pPr>
        <w:spacing w:line="360" w:lineRule="auto"/>
        <w:jc w:val="both"/>
        <w:rPr>
          <w:rFonts w:ascii="Arial" w:hAnsi="Arial" w:cs="Arial"/>
        </w:rPr>
      </w:pPr>
      <w:r w:rsidRPr="00DA4BFF">
        <w:rPr>
          <w:rFonts w:ascii="Arial" w:hAnsi="Arial" w:cs="Arial"/>
        </w:rPr>
        <w:lastRenderedPageBreak/>
        <w:t xml:space="preserve">Las tasas de </w:t>
      </w:r>
      <w:r w:rsidR="005B27A4">
        <w:rPr>
          <w:rFonts w:ascii="Arial" w:hAnsi="Arial" w:cs="Arial"/>
        </w:rPr>
        <w:t>extracción por estructuras</w:t>
      </w:r>
      <w:r w:rsidRPr="00DA4BFF">
        <w:rPr>
          <w:rFonts w:ascii="Arial" w:hAnsi="Arial" w:cs="Arial"/>
        </w:rPr>
        <w:t xml:space="preserve"> son </w:t>
      </w:r>
      <w:r w:rsidR="005B27A4" w:rsidRPr="00DA4BFF">
        <w:rPr>
          <w:rFonts w:ascii="Arial" w:hAnsi="Arial" w:cs="Arial"/>
        </w:rPr>
        <w:t>fundamentales</w:t>
      </w:r>
      <w:r w:rsidRPr="00DA4BFF">
        <w:rPr>
          <w:rFonts w:ascii="Arial" w:hAnsi="Arial" w:cs="Arial"/>
        </w:rPr>
        <w:t xml:space="preserve"> en el control del peligro sísmico, las cuales se ajustan en conjunto con la capacidad de soporte y la exposición de los trabajadores a caídas de roca gatilladas por sismicidad.</w:t>
      </w:r>
    </w:p>
    <w:p w14:paraId="59D14752" w14:textId="6EFFD575" w:rsidR="00DA4BFF" w:rsidRDefault="00DA4BFF" w:rsidP="00DA4BFF">
      <w:pPr>
        <w:spacing w:line="360" w:lineRule="auto"/>
        <w:jc w:val="both"/>
        <w:rPr>
          <w:rFonts w:ascii="Arial" w:hAnsi="Arial" w:cs="Arial"/>
        </w:rPr>
      </w:pPr>
      <w:r w:rsidRPr="00DA4BFF">
        <w:rPr>
          <w:rFonts w:ascii="Arial" w:hAnsi="Arial" w:cs="Arial"/>
        </w:rPr>
        <w:t xml:space="preserve">Se ha identificado que las tasas de voladura de tajos </w:t>
      </w:r>
      <w:r w:rsidR="005B27A4">
        <w:rPr>
          <w:rFonts w:ascii="Arial" w:hAnsi="Arial" w:cs="Arial"/>
        </w:rPr>
        <w:t>inciden</w:t>
      </w:r>
      <w:r w:rsidRPr="00DA4BFF">
        <w:rPr>
          <w:rFonts w:ascii="Arial" w:hAnsi="Arial" w:cs="Arial"/>
        </w:rPr>
        <w:t xml:space="preserve"> directamente en la </w:t>
      </w:r>
      <w:r w:rsidR="005B27A4" w:rsidRPr="00DA4BFF">
        <w:rPr>
          <w:rFonts w:ascii="Arial" w:hAnsi="Arial" w:cs="Arial"/>
        </w:rPr>
        <w:t>sismicidad</w:t>
      </w:r>
      <w:r w:rsidRPr="00DA4BFF">
        <w:rPr>
          <w:rFonts w:ascii="Arial" w:hAnsi="Arial" w:cs="Arial"/>
        </w:rPr>
        <w:t xml:space="preserve"> y en la tasa de fatalidad de la mina. Además de la voladura, la exposición y diseño de soporte adecuado permiten incrementar la tasa de seguridad de las personas.</w:t>
      </w:r>
    </w:p>
    <w:p w14:paraId="6B5B86DE" w14:textId="77777777" w:rsidR="005B27A4" w:rsidRDefault="005B27A4" w:rsidP="00DA4BFF">
      <w:pPr>
        <w:spacing w:line="360" w:lineRule="auto"/>
        <w:jc w:val="both"/>
        <w:rPr>
          <w:rFonts w:ascii="Arial" w:hAnsi="Arial" w:cs="Arial"/>
        </w:rPr>
      </w:pPr>
    </w:p>
    <w:p w14:paraId="2C1B7231" w14:textId="3DA4BF7B" w:rsidR="005B27A4" w:rsidRDefault="005B27A4" w:rsidP="00DA4BFF">
      <w:pPr>
        <w:spacing w:line="360" w:lineRule="auto"/>
        <w:jc w:val="both"/>
        <w:rPr>
          <w:rFonts w:ascii="Arial" w:hAnsi="Arial" w:cs="Arial"/>
        </w:rPr>
      </w:pPr>
      <w:r>
        <w:rPr>
          <w:rFonts w:ascii="Arial" w:hAnsi="Arial" w:cs="Arial"/>
        </w:rPr>
        <w:t>Reseña del autor:</w:t>
      </w:r>
    </w:p>
    <w:p w14:paraId="0D48A025" w14:textId="4920FFBB" w:rsidR="008E32F1" w:rsidRDefault="008E32F1" w:rsidP="008E32F1">
      <w:pPr>
        <w:spacing w:line="360" w:lineRule="auto"/>
        <w:jc w:val="both"/>
        <w:rPr>
          <w:rFonts w:ascii="Arial" w:hAnsi="Arial" w:cs="Arial"/>
        </w:rPr>
      </w:pPr>
      <w:r w:rsidRPr="008E32F1">
        <w:rPr>
          <w:rFonts w:ascii="Arial" w:hAnsi="Arial" w:cs="Arial"/>
        </w:rPr>
        <w:t>Ingeniero Geólogo especializado en Geomecánica y Geotecnia, con más de 1</w:t>
      </w:r>
      <w:r>
        <w:rPr>
          <w:rFonts w:ascii="Arial" w:hAnsi="Arial" w:cs="Arial"/>
        </w:rPr>
        <w:t>9</w:t>
      </w:r>
      <w:r w:rsidRPr="008E32F1">
        <w:rPr>
          <w:rFonts w:ascii="Arial" w:hAnsi="Arial" w:cs="Arial"/>
        </w:rPr>
        <w:t xml:space="preserve"> años de experiencia en minería a cielo abierto, subterránea y proyectos mineros en Latinoamérica. Ha liderado equipos en Geomecánica, ocupando cargos desde jefatura hasta Superintendencia y Gerencia corporativa en empresas mineras. Experto en evaluación y selección de métodos de explotación minera, diseño de minas a cielo abierto y subterráneas, así como en mecánica de rocas y sistemas de sostenimiento. Amplia experiencia en definición y ejecución de estrategias de monitoreo geotécnico, desarrollo de modelos geotécnicos y evaluación de diseños mineros basados en riesgo. Combina habilidades técnicas y de liderazgo en gestión de equipos geotécnicos en el sector minero.</w:t>
      </w:r>
    </w:p>
    <w:p w14:paraId="1311EE8D" w14:textId="71074A3F" w:rsidR="008E32F1" w:rsidRPr="008E32F1" w:rsidRDefault="008E32F1" w:rsidP="008E32F1">
      <w:pPr>
        <w:spacing w:line="360" w:lineRule="auto"/>
        <w:jc w:val="both"/>
        <w:rPr>
          <w:rFonts w:ascii="Arial" w:hAnsi="Arial" w:cs="Arial"/>
        </w:rPr>
      </w:pPr>
      <w:r>
        <w:rPr>
          <w:rFonts w:ascii="Arial" w:hAnsi="Arial" w:cs="Arial"/>
        </w:rPr>
        <w:t>Actualmente desempeñándome como Superintendente de Geomecánica y Geotecnia en Cía. Minera Raura.</w:t>
      </w:r>
    </w:p>
    <w:p w14:paraId="224BC833" w14:textId="77777777" w:rsidR="005B27A4" w:rsidRPr="00DA4BFF" w:rsidRDefault="005B27A4" w:rsidP="00DA4BFF">
      <w:pPr>
        <w:spacing w:line="360" w:lineRule="auto"/>
        <w:jc w:val="both"/>
        <w:rPr>
          <w:rFonts w:ascii="Arial" w:hAnsi="Arial" w:cs="Arial"/>
        </w:rPr>
      </w:pPr>
    </w:p>
    <w:p w14:paraId="5A735BE0" w14:textId="77777777" w:rsidR="00C82CA6" w:rsidRPr="001E628A" w:rsidRDefault="00C82CA6" w:rsidP="001E628A">
      <w:pPr>
        <w:spacing w:line="360" w:lineRule="auto"/>
        <w:jc w:val="both"/>
        <w:rPr>
          <w:rFonts w:ascii="Arial" w:hAnsi="Arial" w:cs="Arial"/>
        </w:rPr>
      </w:pPr>
    </w:p>
    <w:p w14:paraId="33536609" w14:textId="77777777" w:rsidR="005152C7" w:rsidRPr="001E628A" w:rsidRDefault="005152C7" w:rsidP="001E628A">
      <w:pPr>
        <w:spacing w:line="360" w:lineRule="auto"/>
        <w:jc w:val="both"/>
        <w:rPr>
          <w:rFonts w:ascii="Arial" w:hAnsi="Arial" w:cs="Arial"/>
        </w:rPr>
      </w:pPr>
    </w:p>
    <w:p w14:paraId="3FABEACB" w14:textId="77777777" w:rsidR="005152C7" w:rsidRPr="001E628A" w:rsidRDefault="005152C7" w:rsidP="001E628A">
      <w:pPr>
        <w:spacing w:line="360" w:lineRule="auto"/>
        <w:rPr>
          <w:rFonts w:ascii="Arial" w:hAnsi="Arial" w:cs="Arial"/>
        </w:rPr>
      </w:pPr>
    </w:p>
    <w:p w14:paraId="1E6F1A96" w14:textId="77777777" w:rsidR="005152C7" w:rsidRPr="001E628A" w:rsidRDefault="005152C7" w:rsidP="001E628A">
      <w:pPr>
        <w:spacing w:line="360" w:lineRule="auto"/>
        <w:rPr>
          <w:rFonts w:ascii="Arial" w:hAnsi="Arial" w:cs="Arial"/>
        </w:rPr>
      </w:pPr>
    </w:p>
    <w:sectPr w:rsidR="005152C7" w:rsidRPr="001E62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umbh Sans">
    <w:altName w:val="Calibri"/>
    <w:charset w:val="00"/>
    <w:family w:val="auto"/>
    <w:pitch w:val="variable"/>
    <w:sig w:usb0="80000027" w:usb1="40000000" w:usb2="00000000" w:usb3="00000000" w:csb0="00000093" w:csb1="00000000"/>
  </w:font>
  <w:font w:name="Bai Jamjuree">
    <w:altName w:val="Browallia New"/>
    <w:charset w:val="00"/>
    <w:family w:val="auto"/>
    <w:pitch w:val="variable"/>
    <w:sig w:usb0="21000007" w:usb1="00000001" w:usb2="00000000" w:usb3="00000000" w:csb0="00010193" w:csb1="00000000"/>
  </w:font>
  <w:font w:name="Arial">
    <w:panose1 w:val="020B0604020202020204"/>
    <w:charset w:val="00"/>
    <w:family w:val="swiss"/>
    <w:pitch w:val="variable"/>
    <w:sig w:usb0="E0002EFF" w:usb1="C000785B" w:usb2="00000009" w:usb3="00000000" w:csb0="000001FF" w:csb1="00000000"/>
  </w:font>
  <w:font w:name="Aptos Light">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2C7"/>
    <w:rsid w:val="00036FCC"/>
    <w:rsid w:val="000409F9"/>
    <w:rsid w:val="000F2C19"/>
    <w:rsid w:val="00185197"/>
    <w:rsid w:val="001A6B78"/>
    <w:rsid w:val="001A7D10"/>
    <w:rsid w:val="001E628A"/>
    <w:rsid w:val="002150DE"/>
    <w:rsid w:val="002F4B75"/>
    <w:rsid w:val="003204E1"/>
    <w:rsid w:val="00355506"/>
    <w:rsid w:val="0039744C"/>
    <w:rsid w:val="003B6CD6"/>
    <w:rsid w:val="00501AEB"/>
    <w:rsid w:val="005064D8"/>
    <w:rsid w:val="005152C7"/>
    <w:rsid w:val="005B27A4"/>
    <w:rsid w:val="005D5A52"/>
    <w:rsid w:val="00606314"/>
    <w:rsid w:val="00666DCB"/>
    <w:rsid w:val="00677229"/>
    <w:rsid w:val="00760ECD"/>
    <w:rsid w:val="0088202C"/>
    <w:rsid w:val="008C231E"/>
    <w:rsid w:val="008E32F1"/>
    <w:rsid w:val="00957F14"/>
    <w:rsid w:val="00A95B45"/>
    <w:rsid w:val="00AA3884"/>
    <w:rsid w:val="00AB57FE"/>
    <w:rsid w:val="00C04158"/>
    <w:rsid w:val="00C71954"/>
    <w:rsid w:val="00C82CA6"/>
    <w:rsid w:val="00D41B14"/>
    <w:rsid w:val="00DA4BFF"/>
    <w:rsid w:val="00F76638"/>
    <w:rsid w:val="00FA50DE"/>
    <w:rsid w:val="00FC6F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341C2"/>
  <w15:chartTrackingRefBased/>
  <w15:docId w15:val="{684274D3-B056-4F93-95DC-963899BDE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5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5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52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52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52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52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52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52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52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52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52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52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52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52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52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52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52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52C7"/>
    <w:rPr>
      <w:rFonts w:eastAsiaTheme="majorEastAsia" w:cstheme="majorBidi"/>
      <w:color w:val="272727" w:themeColor="text1" w:themeTint="D8"/>
    </w:rPr>
  </w:style>
  <w:style w:type="paragraph" w:styleId="Ttulo">
    <w:name w:val="Title"/>
    <w:basedOn w:val="Normal"/>
    <w:next w:val="Normal"/>
    <w:link w:val="TtuloCar"/>
    <w:uiPriority w:val="10"/>
    <w:qFormat/>
    <w:rsid w:val="00515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52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52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52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52C7"/>
    <w:pPr>
      <w:spacing w:before="160"/>
      <w:jc w:val="center"/>
    </w:pPr>
    <w:rPr>
      <w:i/>
      <w:iCs/>
      <w:color w:val="404040" w:themeColor="text1" w:themeTint="BF"/>
    </w:rPr>
  </w:style>
  <w:style w:type="character" w:customStyle="1" w:styleId="CitaCar">
    <w:name w:val="Cita Car"/>
    <w:basedOn w:val="Fuentedeprrafopredeter"/>
    <w:link w:val="Cita"/>
    <w:uiPriority w:val="29"/>
    <w:rsid w:val="005152C7"/>
    <w:rPr>
      <w:i/>
      <w:iCs/>
      <w:color w:val="404040" w:themeColor="text1" w:themeTint="BF"/>
    </w:rPr>
  </w:style>
  <w:style w:type="paragraph" w:styleId="Prrafodelista">
    <w:name w:val="List Paragraph"/>
    <w:basedOn w:val="Normal"/>
    <w:uiPriority w:val="34"/>
    <w:qFormat/>
    <w:rsid w:val="005152C7"/>
    <w:pPr>
      <w:ind w:left="720"/>
      <w:contextualSpacing/>
    </w:pPr>
  </w:style>
  <w:style w:type="character" w:styleId="nfasisintenso">
    <w:name w:val="Intense Emphasis"/>
    <w:basedOn w:val="Fuentedeprrafopredeter"/>
    <w:uiPriority w:val="21"/>
    <w:qFormat/>
    <w:rsid w:val="005152C7"/>
    <w:rPr>
      <w:i/>
      <w:iCs/>
      <w:color w:val="0F4761" w:themeColor="accent1" w:themeShade="BF"/>
    </w:rPr>
  </w:style>
  <w:style w:type="paragraph" w:styleId="Citadestacada">
    <w:name w:val="Intense Quote"/>
    <w:basedOn w:val="Normal"/>
    <w:next w:val="Normal"/>
    <w:link w:val="CitadestacadaCar"/>
    <w:uiPriority w:val="30"/>
    <w:qFormat/>
    <w:rsid w:val="00515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52C7"/>
    <w:rPr>
      <w:i/>
      <w:iCs/>
      <w:color w:val="0F4761" w:themeColor="accent1" w:themeShade="BF"/>
    </w:rPr>
  </w:style>
  <w:style w:type="character" w:styleId="Referenciaintensa">
    <w:name w:val="Intense Reference"/>
    <w:basedOn w:val="Fuentedeprrafopredeter"/>
    <w:uiPriority w:val="32"/>
    <w:qFormat/>
    <w:rsid w:val="005152C7"/>
    <w:rPr>
      <w:b/>
      <w:bCs/>
      <w:smallCaps/>
      <w:color w:val="0F4761" w:themeColor="accent1" w:themeShade="BF"/>
      <w:spacing w:val="5"/>
    </w:rPr>
  </w:style>
  <w:style w:type="character" w:styleId="Refdecomentario">
    <w:name w:val="annotation reference"/>
    <w:basedOn w:val="Fuentedeprrafopredeter"/>
    <w:uiPriority w:val="99"/>
    <w:semiHidden/>
    <w:unhideWhenUsed/>
    <w:rsid w:val="005152C7"/>
    <w:rPr>
      <w:sz w:val="16"/>
      <w:szCs w:val="16"/>
    </w:rPr>
  </w:style>
  <w:style w:type="paragraph" w:styleId="Textocomentario">
    <w:name w:val="annotation text"/>
    <w:basedOn w:val="Normal"/>
    <w:link w:val="TextocomentarioCar"/>
    <w:uiPriority w:val="99"/>
    <w:unhideWhenUsed/>
    <w:rsid w:val="005152C7"/>
    <w:pPr>
      <w:spacing w:after="0" w:line="240" w:lineRule="auto"/>
      <w:jc w:val="both"/>
    </w:pPr>
    <w:rPr>
      <w:rFonts w:ascii="Kumbh Sans" w:hAnsi="Kumbh Sans" w:cs="Bai Jamjuree"/>
      <w:kern w:val="0"/>
      <w:sz w:val="20"/>
      <w:szCs w:val="20"/>
      <w:lang w:val="es-CL"/>
      <w14:ligatures w14:val="none"/>
    </w:rPr>
  </w:style>
  <w:style w:type="character" w:customStyle="1" w:styleId="TextocomentarioCar">
    <w:name w:val="Texto comentario Car"/>
    <w:basedOn w:val="Fuentedeprrafopredeter"/>
    <w:link w:val="Textocomentario"/>
    <w:uiPriority w:val="99"/>
    <w:rsid w:val="005152C7"/>
    <w:rPr>
      <w:rFonts w:ascii="Kumbh Sans" w:hAnsi="Kumbh Sans" w:cs="Bai Jamjuree"/>
      <w:kern w:val="0"/>
      <w:sz w:val="20"/>
      <w:szCs w:val="20"/>
      <w:lang w:val="es-CL"/>
      <w14:ligatures w14:val="none"/>
    </w:rPr>
  </w:style>
  <w:style w:type="paragraph" w:styleId="Sinespaciado">
    <w:name w:val="No Spacing"/>
    <w:link w:val="SinespaciadoCar"/>
    <w:uiPriority w:val="1"/>
    <w:qFormat/>
    <w:rsid w:val="000409F9"/>
    <w:pPr>
      <w:spacing w:after="0" w:line="240" w:lineRule="auto"/>
    </w:pPr>
    <w:rPr>
      <w:rFonts w:eastAsiaTheme="minorEastAsia"/>
      <w:kern w:val="0"/>
      <w:lang w:eastAsia="es-PE"/>
      <w14:ligatures w14:val="none"/>
    </w:rPr>
  </w:style>
  <w:style w:type="character" w:customStyle="1" w:styleId="SinespaciadoCar">
    <w:name w:val="Sin espaciado Car"/>
    <w:basedOn w:val="Fuentedeprrafopredeter"/>
    <w:link w:val="Sinespaciado"/>
    <w:uiPriority w:val="1"/>
    <w:rsid w:val="000409F9"/>
    <w:rPr>
      <w:rFonts w:eastAsiaTheme="minorEastAsia"/>
      <w:kern w:val="0"/>
      <w:lang w:eastAsia="es-PE"/>
      <w14:ligatures w14:val="none"/>
    </w:rPr>
  </w:style>
  <w:style w:type="character" w:styleId="Hipervnculo">
    <w:name w:val="Hyperlink"/>
    <w:basedOn w:val="Fuentedeprrafopredeter"/>
    <w:uiPriority w:val="99"/>
    <w:unhideWhenUsed/>
    <w:rsid w:val="00677229"/>
    <w:rPr>
      <w:color w:val="467886" w:themeColor="hyperlink"/>
      <w:u w:val="single"/>
    </w:rPr>
  </w:style>
  <w:style w:type="character" w:styleId="Mencinsinresolver">
    <w:name w:val="Unresolved Mention"/>
    <w:basedOn w:val="Fuentedeprrafopredeter"/>
    <w:uiPriority w:val="99"/>
    <w:semiHidden/>
    <w:unhideWhenUsed/>
    <w:rsid w:val="00677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10113">
      <w:bodyDiv w:val="1"/>
      <w:marLeft w:val="0"/>
      <w:marRight w:val="0"/>
      <w:marTop w:val="0"/>
      <w:marBottom w:val="0"/>
      <w:divBdr>
        <w:top w:val="none" w:sz="0" w:space="0" w:color="auto"/>
        <w:left w:val="none" w:sz="0" w:space="0" w:color="auto"/>
        <w:bottom w:val="none" w:sz="0" w:space="0" w:color="auto"/>
        <w:right w:val="none" w:sz="0" w:space="0" w:color="auto"/>
      </w:divBdr>
    </w:div>
    <w:div w:id="942953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mailto:codygomezrozas@icloud.com" TargetMode="External"/><Relationship Id="rId4" Type="http://schemas.openxmlformats.org/officeDocument/2006/relationships/hyperlink" Target="mailto:cody.gomez@raura.com.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3</Pages>
  <Words>742</Words>
  <Characters>4084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AA</cp:lastModifiedBy>
  <cp:revision>28</cp:revision>
  <dcterms:created xsi:type="dcterms:W3CDTF">2025-04-08T02:03:00Z</dcterms:created>
  <dcterms:modified xsi:type="dcterms:W3CDTF">2025-05-06T23:33:00Z</dcterms:modified>
</cp:coreProperties>
</file>