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C8174" w14:textId="77777777" w:rsidR="00BA795A" w:rsidRPr="004D662C" w:rsidRDefault="00BA795A" w:rsidP="004D662C">
      <w:pPr>
        <w:spacing w:before="120" w:line="360" w:lineRule="auto"/>
        <w:jc w:val="center"/>
        <w:rPr>
          <w:rFonts w:ascii="Arial" w:hAnsi="Arial" w:cs="Arial"/>
          <w:sz w:val="22"/>
          <w:szCs w:val="22"/>
          <w:lang w:val="es-PE"/>
        </w:rPr>
      </w:pPr>
      <w:r w:rsidRPr="004D662C">
        <w:rPr>
          <w:rFonts w:ascii="Arial" w:hAnsi="Arial" w:cs="Arial"/>
          <w:bCs/>
          <w:sz w:val="22"/>
          <w:szCs w:val="22"/>
          <w:lang w:val="es-PE"/>
        </w:rPr>
        <w:t>Optimización del monitoreo microsísmico: Predicción y gestión de eventos de alta magnitud en zonas críticas</w:t>
      </w:r>
    </w:p>
    <w:p w14:paraId="288EF0D2" w14:textId="77777777" w:rsidR="00BA795A" w:rsidRPr="004D662C" w:rsidRDefault="00BA795A" w:rsidP="004D662C">
      <w:pPr>
        <w:spacing w:line="360" w:lineRule="auto"/>
        <w:jc w:val="center"/>
        <w:rPr>
          <w:rFonts w:ascii="Arial" w:hAnsi="Arial" w:cs="Arial"/>
          <w:sz w:val="22"/>
          <w:szCs w:val="22"/>
          <w:lang w:val="es-PE"/>
        </w:rPr>
      </w:pPr>
      <w:r w:rsidRPr="004D662C">
        <w:rPr>
          <w:rFonts w:ascii="Arial" w:hAnsi="Arial" w:cs="Arial"/>
          <w:sz w:val="22"/>
          <w:szCs w:val="22"/>
          <w:lang w:val="es-PE"/>
        </w:rPr>
        <w:t>Categoría: Operaciones minera y gestión de activos</w:t>
      </w:r>
    </w:p>
    <w:p w14:paraId="0EB96C2D" w14:textId="77777777" w:rsidR="00BA795A" w:rsidRPr="004D662C" w:rsidRDefault="00BA795A" w:rsidP="004D662C">
      <w:pPr>
        <w:spacing w:line="360" w:lineRule="auto"/>
        <w:jc w:val="center"/>
        <w:rPr>
          <w:rFonts w:ascii="Arial" w:hAnsi="Arial" w:cs="Arial"/>
          <w:sz w:val="22"/>
          <w:szCs w:val="22"/>
          <w:lang w:val="es-PE"/>
        </w:rPr>
      </w:pPr>
      <w:r w:rsidRPr="004D662C">
        <w:rPr>
          <w:rFonts w:ascii="Arial" w:hAnsi="Arial" w:cs="Arial"/>
          <w:sz w:val="22"/>
          <w:szCs w:val="22"/>
          <w:lang w:val="es-PE"/>
        </w:rPr>
        <w:t>Tema: Geotecnia y geomecánica</w:t>
      </w:r>
    </w:p>
    <w:p w14:paraId="7A77C38D" w14:textId="77777777" w:rsidR="00BA795A" w:rsidRPr="004D662C" w:rsidRDefault="00BA795A" w:rsidP="004D662C">
      <w:pPr>
        <w:spacing w:line="360" w:lineRule="auto"/>
        <w:rPr>
          <w:rFonts w:ascii="Arial" w:hAnsi="Arial" w:cs="Arial"/>
          <w:sz w:val="22"/>
          <w:szCs w:val="22"/>
        </w:rPr>
      </w:pPr>
    </w:p>
    <w:p w14:paraId="5F95E3D1" w14:textId="77777777" w:rsidR="00BA795A" w:rsidRPr="004D662C" w:rsidRDefault="00BA795A" w:rsidP="004D662C">
      <w:pPr>
        <w:spacing w:line="360" w:lineRule="auto"/>
        <w:ind w:left="142" w:hanging="142"/>
        <w:jc w:val="center"/>
        <w:rPr>
          <w:rFonts w:ascii="Arial" w:hAnsi="Arial" w:cs="Arial"/>
          <w:sz w:val="22"/>
          <w:szCs w:val="22"/>
          <w:lang w:val="es-PE"/>
        </w:rPr>
      </w:pPr>
      <w:r w:rsidRPr="004D662C">
        <w:rPr>
          <w:rFonts w:ascii="Arial" w:hAnsi="Arial" w:cs="Arial"/>
          <w:sz w:val="22"/>
          <w:szCs w:val="22"/>
          <w:lang w:val="es-PE"/>
        </w:rPr>
        <w:t xml:space="preserve">Peter Andree Espinoza Saenz; Compañía Minera Poderosa S.A.; Jefe de geofísica; Av. La Floresta Nro. 497 Int. 501, Urb. Chacarilla del Estanque, San Borja, Lima, Perú; 914017122; 989828360; </w:t>
      </w:r>
      <w:hyperlink r:id="rId5" w:history="1">
        <w:r w:rsidRPr="004D662C">
          <w:rPr>
            <w:rFonts w:ascii="Arial" w:hAnsi="Arial" w:cs="Arial"/>
            <w:sz w:val="22"/>
            <w:szCs w:val="22"/>
          </w:rPr>
          <w:t>pespinoza@poderosa.com.pe</w:t>
        </w:r>
      </w:hyperlink>
      <w:r w:rsidRPr="004D662C">
        <w:rPr>
          <w:rFonts w:ascii="Arial" w:hAnsi="Arial" w:cs="Arial"/>
          <w:sz w:val="22"/>
          <w:szCs w:val="22"/>
          <w:lang w:val="es-PE"/>
        </w:rPr>
        <w:t>; andree.espinoza@hotmail.com</w:t>
      </w:r>
    </w:p>
    <w:p w14:paraId="1451C2D6" w14:textId="77777777" w:rsidR="00BA795A" w:rsidRPr="004D662C" w:rsidRDefault="00BA795A" w:rsidP="004D662C">
      <w:pPr>
        <w:spacing w:line="360" w:lineRule="auto"/>
        <w:ind w:left="142" w:hanging="142"/>
        <w:jc w:val="both"/>
        <w:rPr>
          <w:rFonts w:ascii="Arial" w:hAnsi="Arial" w:cs="Arial"/>
          <w:sz w:val="22"/>
          <w:szCs w:val="22"/>
          <w:lang w:val="es-PE"/>
        </w:rPr>
      </w:pPr>
    </w:p>
    <w:p w14:paraId="528E26DF" w14:textId="1FAC5387" w:rsidR="00BA795A" w:rsidRPr="004D662C" w:rsidRDefault="00BA795A" w:rsidP="004D662C">
      <w:pPr>
        <w:spacing w:line="360" w:lineRule="auto"/>
        <w:jc w:val="both"/>
        <w:rPr>
          <w:rFonts w:ascii="Arial" w:hAnsi="Arial" w:cs="Arial"/>
          <w:b/>
          <w:bCs/>
          <w:sz w:val="22"/>
          <w:szCs w:val="22"/>
          <w:lang w:val="es-PE"/>
        </w:rPr>
      </w:pPr>
      <w:r w:rsidRPr="004D662C">
        <w:rPr>
          <w:rFonts w:ascii="Arial" w:hAnsi="Arial" w:cs="Arial"/>
          <w:sz w:val="22"/>
          <w:szCs w:val="22"/>
          <w:lang w:val="es-PE"/>
        </w:rPr>
        <w:t>(Palabras clave: Microsísmico, monitoreo, energía acumulada, momento sísmico, mecanismo focal, valor “b”.)</w:t>
      </w:r>
    </w:p>
    <w:p w14:paraId="5FAB23CE" w14:textId="2AD60C94" w:rsidR="00BA795A" w:rsidRPr="004D662C" w:rsidRDefault="00BA795A"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_____________________________________________________________________</w:t>
      </w:r>
    </w:p>
    <w:p w14:paraId="62ACB1F3" w14:textId="07047F23" w:rsidR="00F018ED" w:rsidRPr="004D662C" w:rsidRDefault="00F018ED" w:rsidP="004D662C">
      <w:pPr>
        <w:spacing w:line="360" w:lineRule="auto"/>
        <w:jc w:val="both"/>
        <w:rPr>
          <w:rFonts w:ascii="Arial" w:hAnsi="Arial" w:cs="Arial"/>
          <w:b/>
          <w:bCs/>
          <w:sz w:val="22"/>
          <w:szCs w:val="22"/>
        </w:rPr>
      </w:pPr>
      <w:r w:rsidRPr="004D662C">
        <w:rPr>
          <w:rFonts w:ascii="Arial" w:hAnsi="Arial" w:cs="Arial"/>
          <w:b/>
          <w:bCs/>
          <w:sz w:val="22"/>
          <w:szCs w:val="22"/>
        </w:rPr>
        <w:t>Resumen</w:t>
      </w:r>
    </w:p>
    <w:p w14:paraId="136DAC3E" w14:textId="77777777" w:rsidR="00BA795A" w:rsidRDefault="00BA795A" w:rsidP="004D662C">
      <w:pPr>
        <w:spacing w:line="360" w:lineRule="auto"/>
        <w:jc w:val="both"/>
        <w:rPr>
          <w:rFonts w:ascii="Arial" w:hAnsi="Arial" w:cs="Arial"/>
          <w:sz w:val="22"/>
          <w:szCs w:val="22"/>
        </w:rPr>
      </w:pPr>
      <w:r w:rsidRPr="004D662C">
        <w:rPr>
          <w:rFonts w:ascii="Arial" w:hAnsi="Arial" w:cs="Arial"/>
          <w:sz w:val="22"/>
          <w:szCs w:val="22"/>
        </w:rPr>
        <w:t>El estudio busca mejorar la precisión y efectividad del Sistema de Monitoreo Microsísmico (SMM) en la zona 5, identificando patrones en la acumulación de energía y el momento sísmico que permiten anticipar eventos significativos. Energías de alrededor de 3.1e+6 Joules y momentos sísmicos de 3.1e+12 aumentan la probabilidad de sismos mayores a 0.5 Mw. Las variaciones en la velocidad de ondas P y S se consideran indicadores tempranos. Usando la ley de Gutenberg y Richter, se calculó un periodo de retorno de tres meses para eventos grandes. El estudio también destaca el impacto de la minería ilegal en la generación de microfracturas y propone estrategias para reducir riesgos y mejorar la toma de decisiones en tiempo real.</w:t>
      </w:r>
    </w:p>
    <w:p w14:paraId="3A838596" w14:textId="77777777" w:rsidR="004D662C" w:rsidRPr="004D662C" w:rsidRDefault="004D662C" w:rsidP="004D662C">
      <w:pPr>
        <w:spacing w:line="360" w:lineRule="auto"/>
        <w:jc w:val="both"/>
        <w:rPr>
          <w:rFonts w:ascii="Arial" w:hAnsi="Arial" w:cs="Arial"/>
          <w:sz w:val="22"/>
          <w:szCs w:val="22"/>
        </w:rPr>
      </w:pPr>
    </w:p>
    <w:p w14:paraId="4B79E8A4" w14:textId="0DD0843C" w:rsidR="000D4315" w:rsidRPr="004D662C" w:rsidRDefault="00F018ED" w:rsidP="004D662C">
      <w:pPr>
        <w:spacing w:line="360" w:lineRule="auto"/>
        <w:jc w:val="both"/>
        <w:rPr>
          <w:rFonts w:ascii="Arial" w:hAnsi="Arial" w:cs="Arial"/>
          <w:b/>
          <w:bCs/>
          <w:sz w:val="22"/>
          <w:szCs w:val="22"/>
        </w:rPr>
      </w:pPr>
      <w:r w:rsidRPr="004D662C">
        <w:rPr>
          <w:rFonts w:ascii="Arial" w:hAnsi="Arial" w:cs="Arial"/>
          <w:b/>
          <w:bCs/>
          <w:sz w:val="22"/>
          <w:szCs w:val="22"/>
        </w:rPr>
        <w:t xml:space="preserve">1. </w:t>
      </w:r>
      <w:r w:rsidR="000D4315" w:rsidRPr="004D662C">
        <w:rPr>
          <w:rFonts w:ascii="Arial" w:hAnsi="Arial" w:cs="Arial"/>
          <w:b/>
          <w:bCs/>
          <w:sz w:val="22"/>
          <w:szCs w:val="22"/>
        </w:rPr>
        <w:t>Introducción:</w:t>
      </w:r>
    </w:p>
    <w:p w14:paraId="31AC53C4" w14:textId="198A5FED" w:rsidR="00F018ED" w:rsidRDefault="00BA795A" w:rsidP="004D662C">
      <w:pPr>
        <w:spacing w:line="360" w:lineRule="auto"/>
        <w:jc w:val="both"/>
        <w:rPr>
          <w:rFonts w:ascii="Arial" w:hAnsi="Arial" w:cs="Arial"/>
          <w:sz w:val="22"/>
          <w:szCs w:val="22"/>
        </w:rPr>
      </w:pPr>
      <w:r w:rsidRPr="004D662C">
        <w:rPr>
          <w:rFonts w:ascii="Arial" w:hAnsi="Arial" w:cs="Arial"/>
          <w:sz w:val="22"/>
          <w:szCs w:val="22"/>
        </w:rPr>
        <w:t>El estudio busca mejorar la predicción y gestión de los microsismos en entornos mineros subterráneos para reducir los riesgos a la infraestructura y la seguridad del personal. Analiza el comportamiento sísmico en la zona 5 desde septiembre de 2024, enfocándose en la acumulación de energía, el momento sísmico y el valor “b” como indicadores de riesgo. Además, plantea preguntas sobre los límites críticos y la efectividad de las alertas tempranas, proponiendo estrategias basadas en datos para mejorar la toma de decisiones preventivas.</w:t>
      </w:r>
    </w:p>
    <w:p w14:paraId="7C3A2FC5" w14:textId="77777777" w:rsidR="004D662C" w:rsidRPr="004D662C" w:rsidRDefault="004D662C" w:rsidP="004D662C">
      <w:pPr>
        <w:spacing w:line="360" w:lineRule="auto"/>
        <w:jc w:val="both"/>
        <w:rPr>
          <w:rFonts w:ascii="Arial" w:hAnsi="Arial" w:cs="Arial"/>
          <w:sz w:val="22"/>
          <w:szCs w:val="22"/>
        </w:rPr>
      </w:pPr>
    </w:p>
    <w:p w14:paraId="635CA19C" w14:textId="0872DB21" w:rsidR="007D3BFA" w:rsidRPr="004D662C" w:rsidRDefault="00F018ED" w:rsidP="004D662C">
      <w:pPr>
        <w:spacing w:line="360" w:lineRule="auto"/>
        <w:jc w:val="both"/>
        <w:rPr>
          <w:rFonts w:ascii="Arial" w:hAnsi="Arial" w:cs="Arial"/>
          <w:b/>
          <w:bCs/>
          <w:sz w:val="22"/>
          <w:szCs w:val="22"/>
        </w:rPr>
      </w:pPr>
      <w:r w:rsidRPr="004D662C">
        <w:rPr>
          <w:rFonts w:ascii="Arial" w:hAnsi="Arial" w:cs="Arial"/>
          <w:b/>
          <w:bCs/>
          <w:sz w:val="22"/>
          <w:szCs w:val="22"/>
        </w:rPr>
        <w:t xml:space="preserve">2. </w:t>
      </w:r>
      <w:r w:rsidR="007D3BFA" w:rsidRPr="004D662C">
        <w:rPr>
          <w:rFonts w:ascii="Arial" w:hAnsi="Arial" w:cs="Arial"/>
          <w:b/>
          <w:bCs/>
          <w:sz w:val="22"/>
          <w:szCs w:val="22"/>
        </w:rPr>
        <w:t>Objetivo</w:t>
      </w:r>
      <w:r w:rsidRPr="004D662C">
        <w:rPr>
          <w:rFonts w:ascii="Arial" w:hAnsi="Arial" w:cs="Arial"/>
          <w:b/>
          <w:bCs/>
          <w:sz w:val="22"/>
          <w:szCs w:val="22"/>
        </w:rPr>
        <w:t>s</w:t>
      </w:r>
      <w:r w:rsidR="007D3BFA" w:rsidRPr="004D662C">
        <w:rPr>
          <w:rFonts w:ascii="Arial" w:hAnsi="Arial" w:cs="Arial"/>
          <w:b/>
          <w:bCs/>
          <w:sz w:val="22"/>
          <w:szCs w:val="22"/>
        </w:rPr>
        <w:t>:</w:t>
      </w:r>
    </w:p>
    <w:p w14:paraId="23436352" w14:textId="77777777" w:rsidR="00BA795A" w:rsidRPr="004D662C" w:rsidRDefault="00BA795A" w:rsidP="004D662C">
      <w:pPr>
        <w:pStyle w:val="Prrafodelista"/>
        <w:numPr>
          <w:ilvl w:val="0"/>
          <w:numId w:val="15"/>
        </w:numPr>
        <w:spacing w:line="360" w:lineRule="auto"/>
        <w:jc w:val="both"/>
        <w:rPr>
          <w:rFonts w:ascii="Arial" w:hAnsi="Arial" w:cs="Arial"/>
          <w:sz w:val="22"/>
          <w:szCs w:val="22"/>
        </w:rPr>
      </w:pPr>
      <w:r w:rsidRPr="004D662C">
        <w:rPr>
          <w:rFonts w:ascii="Arial" w:hAnsi="Arial" w:cs="Arial"/>
          <w:sz w:val="22"/>
          <w:szCs w:val="22"/>
        </w:rPr>
        <w:t>Optimizar la reportabilidad del monitoreo microsísmico mediante procedimientos estandarizados.</w:t>
      </w:r>
    </w:p>
    <w:p w14:paraId="37E7D1F9" w14:textId="77777777" w:rsidR="00BA795A" w:rsidRPr="004D662C" w:rsidRDefault="00BA795A" w:rsidP="004D662C">
      <w:pPr>
        <w:pStyle w:val="Prrafodelista"/>
        <w:numPr>
          <w:ilvl w:val="0"/>
          <w:numId w:val="15"/>
        </w:numPr>
        <w:spacing w:line="360" w:lineRule="auto"/>
        <w:jc w:val="both"/>
        <w:rPr>
          <w:rFonts w:ascii="Arial" w:hAnsi="Arial" w:cs="Arial"/>
          <w:sz w:val="22"/>
          <w:szCs w:val="22"/>
        </w:rPr>
      </w:pPr>
      <w:r w:rsidRPr="004D662C">
        <w:rPr>
          <w:rFonts w:ascii="Arial" w:hAnsi="Arial" w:cs="Arial"/>
          <w:sz w:val="22"/>
          <w:szCs w:val="22"/>
        </w:rPr>
        <w:t>Establecer parámetros críticos de alerta temprana aplicables a distintas condiciones geológicas.</w:t>
      </w:r>
    </w:p>
    <w:p w14:paraId="799378BB" w14:textId="77777777" w:rsidR="00BA795A" w:rsidRPr="004D662C" w:rsidRDefault="00BA795A" w:rsidP="004D662C">
      <w:pPr>
        <w:pStyle w:val="Prrafodelista"/>
        <w:numPr>
          <w:ilvl w:val="0"/>
          <w:numId w:val="15"/>
        </w:numPr>
        <w:spacing w:line="360" w:lineRule="auto"/>
        <w:jc w:val="both"/>
        <w:rPr>
          <w:rFonts w:ascii="Arial" w:hAnsi="Arial" w:cs="Arial"/>
          <w:sz w:val="22"/>
          <w:szCs w:val="22"/>
        </w:rPr>
      </w:pPr>
      <w:r w:rsidRPr="004D662C">
        <w:rPr>
          <w:rFonts w:ascii="Arial" w:hAnsi="Arial" w:cs="Arial"/>
          <w:sz w:val="22"/>
          <w:szCs w:val="22"/>
        </w:rPr>
        <w:t>Desarrollar un protocolo preventivo basado en el análisis de energía acumulada, momento sísmico y el valor "b" para reducir riesgos; validar la efectividad del modelo con estudios de caso en la zona 5 y comparaciones con otras áreas.</w:t>
      </w:r>
    </w:p>
    <w:p w14:paraId="3DF4D277" w14:textId="03EE8927" w:rsidR="00BA795A" w:rsidRDefault="00BA795A" w:rsidP="004D662C">
      <w:pPr>
        <w:pStyle w:val="Prrafodelista"/>
        <w:numPr>
          <w:ilvl w:val="0"/>
          <w:numId w:val="15"/>
        </w:numPr>
        <w:spacing w:line="360" w:lineRule="auto"/>
        <w:jc w:val="both"/>
        <w:rPr>
          <w:rFonts w:ascii="Arial" w:hAnsi="Arial" w:cs="Arial"/>
          <w:sz w:val="22"/>
          <w:szCs w:val="22"/>
        </w:rPr>
      </w:pPr>
      <w:r w:rsidRPr="004D662C">
        <w:rPr>
          <w:rFonts w:ascii="Arial" w:hAnsi="Arial" w:cs="Arial"/>
          <w:sz w:val="22"/>
          <w:szCs w:val="22"/>
        </w:rPr>
        <w:t>Proponer lineamientos técnicos para implementar sistemas avanzados de monitoreo, fomentando la cooperación y las buenas prácticas en la industria minera.</w:t>
      </w:r>
    </w:p>
    <w:p w14:paraId="58101712" w14:textId="77777777" w:rsidR="004D662C" w:rsidRPr="004D662C" w:rsidRDefault="004D662C" w:rsidP="004D662C">
      <w:pPr>
        <w:pStyle w:val="Prrafodelista"/>
        <w:spacing w:line="360" w:lineRule="auto"/>
        <w:jc w:val="both"/>
        <w:rPr>
          <w:rFonts w:ascii="Arial" w:hAnsi="Arial" w:cs="Arial"/>
          <w:sz w:val="22"/>
          <w:szCs w:val="22"/>
        </w:rPr>
      </w:pPr>
    </w:p>
    <w:p w14:paraId="529DA0AB" w14:textId="6DB7C45B" w:rsidR="007D3BFA" w:rsidRPr="004D662C"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 xml:space="preserve">3. </w:t>
      </w:r>
      <w:r w:rsidR="007D3BFA" w:rsidRPr="004D662C">
        <w:rPr>
          <w:rFonts w:ascii="Arial" w:hAnsi="Arial" w:cs="Arial"/>
          <w:b/>
          <w:bCs/>
          <w:sz w:val="22"/>
          <w:szCs w:val="22"/>
          <w:lang w:val="es-PE"/>
        </w:rPr>
        <w:t>Procedimiento y metodología</w:t>
      </w:r>
      <w:r w:rsidR="00970DA0" w:rsidRPr="004D662C">
        <w:rPr>
          <w:rFonts w:ascii="Arial" w:hAnsi="Arial" w:cs="Arial"/>
          <w:b/>
          <w:bCs/>
          <w:sz w:val="22"/>
          <w:szCs w:val="22"/>
          <w:lang w:val="es-PE"/>
        </w:rPr>
        <w:t>:</w:t>
      </w:r>
    </w:p>
    <w:p w14:paraId="1C682352" w14:textId="77777777" w:rsidR="00F018ED" w:rsidRPr="004D662C" w:rsidRDefault="00F018ED" w:rsidP="004D662C">
      <w:pPr>
        <w:spacing w:line="360" w:lineRule="auto"/>
        <w:jc w:val="both"/>
        <w:rPr>
          <w:rFonts w:ascii="Arial" w:hAnsi="Arial" w:cs="Arial"/>
          <w:sz w:val="22"/>
          <w:szCs w:val="22"/>
          <w:lang w:val="es-PE"/>
        </w:rPr>
      </w:pPr>
      <w:r w:rsidRPr="00F018ED">
        <w:rPr>
          <w:rFonts w:ascii="Arial" w:hAnsi="Arial" w:cs="Arial"/>
          <w:sz w:val="22"/>
          <w:szCs w:val="22"/>
          <w:lang w:val="es-PE"/>
        </w:rPr>
        <w:t>El procedimiento y metodología para gestionar los riesgos sísmicos en entornos subterráneos mediante el monitoreo microsísmico y el análisis de parámetros sismológicos se desarrolla en las siguientes etapas:</w:t>
      </w:r>
    </w:p>
    <w:p w14:paraId="621FB89C" w14:textId="77D50F69" w:rsidR="00F018ED" w:rsidRPr="00F018ED"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3.</w:t>
      </w:r>
      <w:r w:rsidRPr="00F018ED">
        <w:rPr>
          <w:rFonts w:ascii="Arial" w:hAnsi="Arial" w:cs="Arial"/>
          <w:b/>
          <w:bCs/>
          <w:sz w:val="22"/>
          <w:szCs w:val="22"/>
          <w:lang w:val="es-PE"/>
        </w:rPr>
        <w:t>1. Monitoreo Continuo</w:t>
      </w:r>
    </w:p>
    <w:p w14:paraId="177F47ED" w14:textId="77777777" w:rsidR="00F018ED" w:rsidRPr="00F018ED" w:rsidRDefault="00F018ED" w:rsidP="004D662C">
      <w:pPr>
        <w:numPr>
          <w:ilvl w:val="0"/>
          <w:numId w:val="8"/>
        </w:numPr>
        <w:spacing w:line="360" w:lineRule="auto"/>
        <w:jc w:val="both"/>
        <w:rPr>
          <w:rFonts w:ascii="Arial" w:hAnsi="Arial" w:cs="Arial"/>
          <w:sz w:val="22"/>
          <w:szCs w:val="22"/>
          <w:lang w:val="es-PE"/>
        </w:rPr>
      </w:pPr>
      <w:r w:rsidRPr="00F018ED">
        <w:rPr>
          <w:rFonts w:ascii="Arial" w:hAnsi="Arial" w:cs="Arial"/>
          <w:b/>
          <w:bCs/>
          <w:sz w:val="22"/>
          <w:szCs w:val="22"/>
          <w:lang w:val="es-PE"/>
        </w:rPr>
        <w:t>Red de Monitoreo:</w:t>
      </w:r>
      <w:r w:rsidRPr="00F018ED">
        <w:rPr>
          <w:rFonts w:ascii="Arial" w:hAnsi="Arial" w:cs="Arial"/>
          <w:sz w:val="22"/>
          <w:szCs w:val="22"/>
          <w:lang w:val="es-PE"/>
        </w:rPr>
        <w:t xml:space="preserve"> Se establece una red interconectada de sensores con capacidad de transmitir datos en tiempo real a un centro de control. La densidad de sensores se ajusta según la complejidad geológica y la actividad sísmica del área.</w:t>
      </w:r>
    </w:p>
    <w:p w14:paraId="08F70CC4" w14:textId="77777777" w:rsidR="00F018ED" w:rsidRPr="00F018ED" w:rsidRDefault="00F018ED" w:rsidP="004D662C">
      <w:pPr>
        <w:numPr>
          <w:ilvl w:val="0"/>
          <w:numId w:val="8"/>
        </w:numPr>
        <w:spacing w:line="360" w:lineRule="auto"/>
        <w:jc w:val="both"/>
        <w:rPr>
          <w:rFonts w:ascii="Arial" w:hAnsi="Arial" w:cs="Arial"/>
          <w:sz w:val="22"/>
          <w:szCs w:val="22"/>
          <w:lang w:val="es-PE"/>
        </w:rPr>
      </w:pPr>
      <w:r w:rsidRPr="00F018ED">
        <w:rPr>
          <w:rFonts w:ascii="Arial" w:hAnsi="Arial" w:cs="Arial"/>
          <w:b/>
          <w:bCs/>
          <w:sz w:val="22"/>
          <w:szCs w:val="22"/>
          <w:lang w:val="es-PE"/>
        </w:rPr>
        <w:t>Procesamiento de Señales:</w:t>
      </w:r>
      <w:r w:rsidRPr="00F018ED">
        <w:rPr>
          <w:rFonts w:ascii="Arial" w:hAnsi="Arial" w:cs="Arial"/>
          <w:sz w:val="22"/>
          <w:szCs w:val="22"/>
          <w:lang w:val="es-PE"/>
        </w:rPr>
        <w:t xml:space="preserve"> Los datos capturados se filtran y procesan para eliminar ruidos e interferencias, asegurando que solo se analicen señales relevantes.</w:t>
      </w:r>
    </w:p>
    <w:p w14:paraId="08B1817D" w14:textId="4CAEC5F4" w:rsidR="00F018ED" w:rsidRPr="00F018ED"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3.2</w:t>
      </w:r>
      <w:r w:rsidRPr="00F018ED">
        <w:rPr>
          <w:rFonts w:ascii="Arial" w:hAnsi="Arial" w:cs="Arial"/>
          <w:b/>
          <w:bCs/>
          <w:sz w:val="22"/>
          <w:szCs w:val="22"/>
          <w:lang w:val="es-PE"/>
        </w:rPr>
        <w:t>. Análisis de Parámetros Sismológicos</w:t>
      </w:r>
    </w:p>
    <w:p w14:paraId="1CC15A6D" w14:textId="77777777" w:rsidR="00F018ED" w:rsidRPr="00F018ED" w:rsidRDefault="00F018ED" w:rsidP="004D662C">
      <w:pPr>
        <w:numPr>
          <w:ilvl w:val="0"/>
          <w:numId w:val="9"/>
        </w:numPr>
        <w:spacing w:line="360" w:lineRule="auto"/>
        <w:jc w:val="both"/>
        <w:rPr>
          <w:rFonts w:ascii="Arial" w:hAnsi="Arial" w:cs="Arial"/>
          <w:sz w:val="22"/>
          <w:szCs w:val="22"/>
          <w:lang w:val="es-PE"/>
        </w:rPr>
      </w:pPr>
      <w:r w:rsidRPr="00F018ED">
        <w:rPr>
          <w:rFonts w:ascii="Arial" w:hAnsi="Arial" w:cs="Arial"/>
          <w:b/>
          <w:bCs/>
          <w:sz w:val="22"/>
          <w:szCs w:val="22"/>
          <w:lang w:val="es-PE"/>
        </w:rPr>
        <w:t>Frecuencia y Magnitud:</w:t>
      </w:r>
      <w:r w:rsidRPr="00F018ED">
        <w:rPr>
          <w:rFonts w:ascii="Arial" w:hAnsi="Arial" w:cs="Arial"/>
          <w:sz w:val="22"/>
          <w:szCs w:val="22"/>
          <w:lang w:val="es-PE"/>
        </w:rPr>
        <w:t xml:space="preserve"> Se utiliza la estadística de la frecuencia de eventos en función de su magnitud para evaluar la estabilidad de la zona. Esto permite detectar patrones anómalos que podrían preceder a eventos mayores.</w:t>
      </w:r>
    </w:p>
    <w:p w14:paraId="40B6BC0C" w14:textId="77777777" w:rsidR="00F018ED" w:rsidRPr="00F018ED" w:rsidRDefault="00F018ED" w:rsidP="004D662C">
      <w:pPr>
        <w:numPr>
          <w:ilvl w:val="0"/>
          <w:numId w:val="9"/>
        </w:numPr>
        <w:spacing w:line="360" w:lineRule="auto"/>
        <w:jc w:val="both"/>
        <w:rPr>
          <w:rFonts w:ascii="Arial" w:hAnsi="Arial" w:cs="Arial"/>
          <w:sz w:val="22"/>
          <w:szCs w:val="22"/>
          <w:lang w:val="es-PE"/>
        </w:rPr>
      </w:pPr>
      <w:r w:rsidRPr="00F018ED">
        <w:rPr>
          <w:rFonts w:ascii="Arial" w:hAnsi="Arial" w:cs="Arial"/>
          <w:b/>
          <w:bCs/>
          <w:sz w:val="22"/>
          <w:szCs w:val="22"/>
          <w:lang w:val="es-PE"/>
        </w:rPr>
        <w:t>Energía Acumulada:</w:t>
      </w:r>
      <w:r w:rsidRPr="00F018ED">
        <w:rPr>
          <w:rFonts w:ascii="Arial" w:hAnsi="Arial" w:cs="Arial"/>
          <w:sz w:val="22"/>
          <w:szCs w:val="22"/>
          <w:lang w:val="es-PE"/>
        </w:rPr>
        <w:t xml:space="preserve"> Se calcula la energía liberada en cada evento y su acumulación a lo largo del tiempo para identificar umbrales críticos que indiquen un aumento significativo del riesgo.</w:t>
      </w:r>
    </w:p>
    <w:p w14:paraId="3D58F7E5" w14:textId="5BF7B097" w:rsidR="00F018ED" w:rsidRPr="00F018ED" w:rsidRDefault="00F018ED" w:rsidP="004D662C">
      <w:pPr>
        <w:numPr>
          <w:ilvl w:val="0"/>
          <w:numId w:val="9"/>
        </w:numPr>
        <w:spacing w:line="360" w:lineRule="auto"/>
        <w:jc w:val="both"/>
        <w:rPr>
          <w:rFonts w:ascii="Arial" w:hAnsi="Arial" w:cs="Arial"/>
          <w:sz w:val="22"/>
          <w:szCs w:val="22"/>
          <w:lang w:val="es-PE"/>
        </w:rPr>
      </w:pPr>
      <w:r w:rsidRPr="00F018ED">
        <w:rPr>
          <w:rFonts w:ascii="Arial" w:hAnsi="Arial" w:cs="Arial"/>
          <w:b/>
          <w:bCs/>
          <w:sz w:val="22"/>
          <w:szCs w:val="22"/>
          <w:lang w:val="es-PE"/>
        </w:rPr>
        <w:t>Momento Sísmico Acumulado:</w:t>
      </w:r>
      <w:r w:rsidRPr="00F018ED">
        <w:rPr>
          <w:rFonts w:ascii="Arial" w:hAnsi="Arial" w:cs="Arial"/>
          <w:sz w:val="22"/>
          <w:szCs w:val="22"/>
          <w:lang w:val="es-PE"/>
        </w:rPr>
        <w:t xml:space="preserve"> A través de la fórmula M0=</w:t>
      </w:r>
      <w:proofErr w:type="spellStart"/>
      <w:r w:rsidRPr="00F018ED">
        <w:rPr>
          <w:rFonts w:ascii="Arial" w:hAnsi="Arial" w:cs="Arial"/>
          <w:sz w:val="22"/>
          <w:szCs w:val="22"/>
          <w:lang w:val="es-PE"/>
        </w:rPr>
        <w:t>μ</w:t>
      </w:r>
      <w:r w:rsidRPr="00F018ED">
        <w:rPr>
          <w:rFonts w:ascii="Cambria Math" w:hAnsi="Cambria Math" w:cs="Cambria Math"/>
          <w:sz w:val="22"/>
          <w:szCs w:val="22"/>
          <w:lang w:val="es-PE"/>
        </w:rPr>
        <w:t>⋅</w:t>
      </w:r>
      <w:r w:rsidRPr="00F018ED">
        <w:rPr>
          <w:rFonts w:ascii="Arial" w:hAnsi="Arial" w:cs="Arial"/>
          <w:sz w:val="22"/>
          <w:szCs w:val="22"/>
          <w:lang w:val="es-PE"/>
        </w:rPr>
        <w:t>A</w:t>
      </w:r>
      <w:r w:rsidRPr="00F018ED">
        <w:rPr>
          <w:rFonts w:ascii="Cambria Math" w:hAnsi="Cambria Math" w:cs="Cambria Math"/>
          <w:sz w:val="22"/>
          <w:szCs w:val="22"/>
          <w:lang w:val="es-PE"/>
        </w:rPr>
        <w:t>⋅</w:t>
      </w:r>
      <w:r w:rsidRPr="00F018ED">
        <w:rPr>
          <w:rFonts w:ascii="Arial" w:hAnsi="Arial" w:cs="Arial"/>
          <w:sz w:val="22"/>
          <w:szCs w:val="22"/>
          <w:lang w:val="es-PE"/>
        </w:rPr>
        <w:t>D</w:t>
      </w:r>
      <w:proofErr w:type="spellEnd"/>
      <w:r w:rsidRPr="00F018ED">
        <w:rPr>
          <w:rFonts w:ascii="Arial" w:hAnsi="Arial" w:cs="Arial"/>
          <w:sz w:val="22"/>
          <w:szCs w:val="22"/>
          <w:lang w:val="es-PE"/>
        </w:rPr>
        <w:t>, se estima la energía potencial acumulada que podría liberarse en eventos futuros.</w:t>
      </w:r>
    </w:p>
    <w:p w14:paraId="192AD660" w14:textId="212D96B2" w:rsidR="00F018ED" w:rsidRPr="00F018ED"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3.</w:t>
      </w:r>
      <w:r w:rsidRPr="00F018ED">
        <w:rPr>
          <w:rFonts w:ascii="Arial" w:hAnsi="Arial" w:cs="Arial"/>
          <w:b/>
          <w:bCs/>
          <w:sz w:val="22"/>
          <w:szCs w:val="22"/>
          <w:lang w:val="es-PE"/>
        </w:rPr>
        <w:t>3. Indicadores y Umbrales Críticos</w:t>
      </w:r>
    </w:p>
    <w:p w14:paraId="04D29E03" w14:textId="6FCF7A38" w:rsidR="00F018ED" w:rsidRPr="004D662C" w:rsidRDefault="00F018ED" w:rsidP="004D662C">
      <w:pPr>
        <w:pStyle w:val="Prrafodelista"/>
        <w:numPr>
          <w:ilvl w:val="0"/>
          <w:numId w:val="13"/>
        </w:numPr>
        <w:spacing w:line="360" w:lineRule="auto"/>
        <w:jc w:val="both"/>
        <w:rPr>
          <w:rFonts w:ascii="Arial" w:hAnsi="Arial" w:cs="Arial"/>
          <w:sz w:val="22"/>
          <w:szCs w:val="22"/>
          <w:lang w:val="es-PE"/>
        </w:rPr>
      </w:pPr>
      <w:r w:rsidRPr="004D662C">
        <w:rPr>
          <w:rFonts w:ascii="Arial" w:hAnsi="Arial" w:cs="Arial"/>
          <w:b/>
          <w:bCs/>
          <w:sz w:val="22"/>
          <w:szCs w:val="22"/>
          <w:lang w:val="es-PE"/>
        </w:rPr>
        <w:t>Valor “b” de la Ley de Gutenberg-Richter:</w:t>
      </w:r>
      <w:r w:rsidRPr="004D662C">
        <w:rPr>
          <w:rFonts w:ascii="Arial" w:hAnsi="Arial" w:cs="Arial"/>
          <w:sz w:val="22"/>
          <w:szCs w:val="22"/>
          <w:lang w:val="es-PE"/>
        </w:rPr>
        <w:t xml:space="preserve"> Se calcula para evaluar la relación entre la frecuencia y la magnitud de los sismos. Un </w:t>
      </w:r>
      <w:r w:rsidRPr="004D662C">
        <w:rPr>
          <w:rFonts w:ascii="Arial" w:hAnsi="Arial" w:cs="Arial"/>
          <w:b/>
          <w:bCs/>
          <w:sz w:val="22"/>
          <w:szCs w:val="22"/>
          <w:lang w:val="es-PE"/>
        </w:rPr>
        <w:t>valor “b” bajo</w:t>
      </w:r>
      <w:r w:rsidRPr="004D662C">
        <w:rPr>
          <w:rFonts w:ascii="Arial" w:hAnsi="Arial" w:cs="Arial"/>
          <w:sz w:val="22"/>
          <w:szCs w:val="22"/>
          <w:lang w:val="es-PE"/>
        </w:rPr>
        <w:t xml:space="preserve"> sugiere mayor probabilidad de eventos grandes, mientras que un valor alto indica predominio de eventos pequeños.</w:t>
      </w:r>
    </w:p>
    <w:p w14:paraId="0A977F1D" w14:textId="53CC54AD" w:rsidR="00F018ED" w:rsidRPr="004D662C" w:rsidRDefault="00F018ED" w:rsidP="004D662C">
      <w:pPr>
        <w:pStyle w:val="Prrafodelista"/>
        <w:numPr>
          <w:ilvl w:val="0"/>
          <w:numId w:val="13"/>
        </w:numPr>
        <w:spacing w:line="360" w:lineRule="auto"/>
        <w:jc w:val="both"/>
        <w:rPr>
          <w:rFonts w:ascii="Arial" w:hAnsi="Arial" w:cs="Arial"/>
          <w:sz w:val="22"/>
          <w:szCs w:val="22"/>
          <w:lang w:val="es-PE"/>
        </w:rPr>
      </w:pPr>
      <w:r w:rsidRPr="004D662C">
        <w:rPr>
          <w:rFonts w:ascii="Arial" w:hAnsi="Arial" w:cs="Arial"/>
          <w:b/>
          <w:bCs/>
          <w:sz w:val="22"/>
          <w:szCs w:val="22"/>
          <w:lang w:val="es-PE"/>
        </w:rPr>
        <w:t>Estrés Aparente:</w:t>
      </w:r>
      <w:r w:rsidRPr="004D662C">
        <w:rPr>
          <w:rFonts w:ascii="Arial" w:hAnsi="Arial" w:cs="Arial"/>
          <w:sz w:val="22"/>
          <w:szCs w:val="22"/>
          <w:lang w:val="es-PE"/>
        </w:rPr>
        <w:t xml:space="preserve"> Se utiliza para medir la acumulación de energía en el macizo rocoso, identificando sectores donde el estrés excede los niveles habituales.</w:t>
      </w:r>
    </w:p>
    <w:p w14:paraId="62211EBE" w14:textId="053F23EB" w:rsidR="00F018ED" w:rsidRPr="00F018ED" w:rsidRDefault="00F018ED" w:rsidP="004D662C">
      <w:pPr>
        <w:numPr>
          <w:ilvl w:val="0"/>
          <w:numId w:val="10"/>
        </w:numPr>
        <w:spacing w:line="360" w:lineRule="auto"/>
        <w:jc w:val="both"/>
        <w:rPr>
          <w:rFonts w:ascii="Arial" w:hAnsi="Arial" w:cs="Arial"/>
          <w:sz w:val="22"/>
          <w:szCs w:val="22"/>
          <w:lang w:val="es-PE"/>
        </w:rPr>
      </w:pPr>
      <w:r w:rsidRPr="00F018ED">
        <w:rPr>
          <w:rFonts w:ascii="Arial" w:hAnsi="Arial" w:cs="Arial"/>
          <w:b/>
          <w:bCs/>
          <w:sz w:val="22"/>
          <w:szCs w:val="22"/>
          <w:lang w:val="es-PE"/>
        </w:rPr>
        <w:t>Relación Es/</w:t>
      </w:r>
      <w:proofErr w:type="spellStart"/>
      <w:r w:rsidRPr="00F018ED">
        <w:rPr>
          <w:rFonts w:ascii="Arial" w:hAnsi="Arial" w:cs="Arial"/>
          <w:b/>
          <w:bCs/>
          <w:sz w:val="22"/>
          <w:szCs w:val="22"/>
          <w:lang w:val="es-PE"/>
        </w:rPr>
        <w:t>Ep</w:t>
      </w:r>
      <w:proofErr w:type="spellEnd"/>
      <w:r w:rsidRPr="00F018ED">
        <w:rPr>
          <w:rFonts w:ascii="Arial" w:hAnsi="Arial" w:cs="Arial"/>
          <w:b/>
          <w:bCs/>
          <w:sz w:val="22"/>
          <w:szCs w:val="22"/>
          <w:lang w:val="es-PE"/>
        </w:rPr>
        <w:t>:</w:t>
      </w:r>
      <w:r w:rsidRPr="00F018ED">
        <w:rPr>
          <w:rFonts w:ascii="Arial" w:hAnsi="Arial" w:cs="Arial"/>
          <w:sz w:val="22"/>
          <w:szCs w:val="22"/>
          <w:lang w:val="es-PE"/>
        </w:rPr>
        <w:t xml:space="preserve"> Se analiza la relación entre la energía sísmica (Es) y la energía potencial elástica (</w:t>
      </w:r>
      <w:proofErr w:type="spellStart"/>
      <w:r w:rsidRPr="00F018ED">
        <w:rPr>
          <w:rFonts w:ascii="Arial" w:hAnsi="Arial" w:cs="Arial"/>
          <w:sz w:val="22"/>
          <w:szCs w:val="22"/>
          <w:lang w:val="es-PE"/>
        </w:rPr>
        <w:t>Ep</w:t>
      </w:r>
      <w:proofErr w:type="spellEnd"/>
      <w:r w:rsidRPr="00F018ED">
        <w:rPr>
          <w:rFonts w:ascii="Arial" w:hAnsi="Arial" w:cs="Arial"/>
          <w:sz w:val="22"/>
          <w:szCs w:val="22"/>
          <w:lang w:val="es-PE"/>
        </w:rPr>
        <w:t>) para distinguir entre mecanismos de ruptura por compresión o deslizamiento.</w:t>
      </w:r>
    </w:p>
    <w:p w14:paraId="010C93B7" w14:textId="6E57C558" w:rsidR="00F018ED" w:rsidRPr="004D662C" w:rsidRDefault="00F018ED" w:rsidP="004D662C">
      <w:pPr>
        <w:numPr>
          <w:ilvl w:val="0"/>
          <w:numId w:val="10"/>
        </w:numPr>
        <w:spacing w:line="360" w:lineRule="auto"/>
        <w:jc w:val="both"/>
        <w:rPr>
          <w:rFonts w:ascii="Arial" w:hAnsi="Arial" w:cs="Arial"/>
          <w:sz w:val="22"/>
          <w:szCs w:val="22"/>
          <w:lang w:val="es-PE"/>
        </w:rPr>
      </w:pPr>
      <w:r w:rsidRPr="00F018ED">
        <w:rPr>
          <w:rFonts w:ascii="Arial" w:hAnsi="Arial" w:cs="Arial"/>
          <w:b/>
          <w:bCs/>
          <w:sz w:val="22"/>
          <w:szCs w:val="22"/>
          <w:lang w:val="es-PE"/>
        </w:rPr>
        <w:t>Velocidad de Ondas P y S:</w:t>
      </w:r>
      <w:r w:rsidRPr="00F018ED">
        <w:rPr>
          <w:rFonts w:ascii="Arial" w:hAnsi="Arial" w:cs="Arial"/>
          <w:sz w:val="22"/>
          <w:szCs w:val="22"/>
          <w:lang w:val="es-PE"/>
        </w:rPr>
        <w:t xml:space="preserve"> La tomografía sísmica permite detectar </w:t>
      </w:r>
      <w:r w:rsidRPr="00F018ED">
        <w:rPr>
          <w:rFonts w:ascii="Arial" w:hAnsi="Arial" w:cs="Arial"/>
          <w:b/>
          <w:bCs/>
          <w:sz w:val="22"/>
          <w:szCs w:val="22"/>
          <w:lang w:val="es-PE"/>
        </w:rPr>
        <w:t>anomalías en la velocidad</w:t>
      </w:r>
      <w:r w:rsidRPr="00F018ED">
        <w:rPr>
          <w:rFonts w:ascii="Arial" w:hAnsi="Arial" w:cs="Arial"/>
          <w:sz w:val="22"/>
          <w:szCs w:val="22"/>
          <w:lang w:val="es-PE"/>
        </w:rPr>
        <w:t xml:space="preserve"> de estas ondas, indicando posibles zonas de fractura o acumulación de estrés.</w:t>
      </w:r>
    </w:p>
    <w:p w14:paraId="5A8B7738" w14:textId="0C30088B" w:rsidR="00F018ED" w:rsidRPr="00F018ED"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3.</w:t>
      </w:r>
      <w:r w:rsidRPr="00F018ED">
        <w:rPr>
          <w:rFonts w:ascii="Arial" w:hAnsi="Arial" w:cs="Arial"/>
          <w:b/>
          <w:bCs/>
          <w:sz w:val="22"/>
          <w:szCs w:val="22"/>
          <w:lang w:val="es-PE"/>
        </w:rPr>
        <w:t>4. Modelos Predictivos y Sistemas de Alerta Temprana</w:t>
      </w:r>
    </w:p>
    <w:p w14:paraId="78CEAD92" w14:textId="2A2EC0A1" w:rsidR="00F018ED" w:rsidRPr="004D662C" w:rsidRDefault="00F018ED"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b/>
          <w:bCs/>
          <w:sz w:val="22"/>
          <w:szCs w:val="22"/>
          <w:lang w:val="es-PE"/>
        </w:rPr>
        <w:t>Tomografía de Velocidades:</w:t>
      </w:r>
      <w:r w:rsidRPr="004D662C">
        <w:rPr>
          <w:rFonts w:ascii="Arial" w:hAnsi="Arial" w:cs="Arial"/>
          <w:sz w:val="22"/>
          <w:szCs w:val="22"/>
          <w:lang w:val="es-PE"/>
        </w:rPr>
        <w:t xml:space="preserve"> Se aplica para identificar áreas con alta concentración de esfuerzos y prever deslizamientos o colapsos. La técnica permite mapear variaciones en las velocidades de ondas sísmicas, detectando sectores críticos.</w:t>
      </w:r>
    </w:p>
    <w:p w14:paraId="2452E403" w14:textId="77777777" w:rsidR="004D662C" w:rsidRDefault="004D662C" w:rsidP="004D662C">
      <w:pPr>
        <w:spacing w:line="360" w:lineRule="auto"/>
        <w:jc w:val="both"/>
        <w:rPr>
          <w:rFonts w:ascii="Arial" w:hAnsi="Arial" w:cs="Arial"/>
          <w:b/>
          <w:bCs/>
          <w:sz w:val="22"/>
          <w:szCs w:val="22"/>
          <w:lang w:val="es-PE"/>
        </w:rPr>
      </w:pPr>
    </w:p>
    <w:p w14:paraId="242838AA" w14:textId="222C9B6A" w:rsidR="000D4315" w:rsidRPr="004D662C" w:rsidRDefault="00BA795A"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 xml:space="preserve">4. </w:t>
      </w:r>
      <w:r w:rsidR="00970DA0" w:rsidRPr="004D662C">
        <w:rPr>
          <w:rFonts w:ascii="Arial" w:hAnsi="Arial" w:cs="Arial"/>
          <w:b/>
          <w:bCs/>
          <w:sz w:val="22"/>
          <w:szCs w:val="22"/>
          <w:lang w:val="es-PE"/>
        </w:rPr>
        <w:t>Resultados:</w:t>
      </w:r>
    </w:p>
    <w:p w14:paraId="68E08570" w14:textId="77777777" w:rsidR="00BA795A" w:rsidRDefault="00BA795A" w:rsidP="004D662C">
      <w:pPr>
        <w:spacing w:line="360" w:lineRule="auto"/>
        <w:jc w:val="both"/>
        <w:rPr>
          <w:rFonts w:ascii="Arial" w:hAnsi="Arial" w:cs="Arial"/>
          <w:sz w:val="22"/>
          <w:szCs w:val="22"/>
        </w:rPr>
      </w:pPr>
      <w:r w:rsidRPr="004D662C">
        <w:rPr>
          <w:rFonts w:ascii="Arial" w:hAnsi="Arial" w:cs="Arial"/>
          <w:sz w:val="22"/>
          <w:szCs w:val="22"/>
        </w:rPr>
        <w:t>El análisis de los eventos microsísmicos en la zona de estudio muestra un aumento progresivo en la frecuencia y magnitud debido a la acumulación de tensiones por actividades mineras y condiciones geológicas. Aunque los valores de energía acumulada y momento sísmico aún están por debajo de los umbrales críticos, la tendencia indica que podrían alcanzarse pronto. La disminución del parámetro “b” sugiere una mayor probabilidad de eventos fuertes, según la ley de Gutenberg-Richter. Además, los altos niveles de estrés y las variaciones en las ondas P y S indican la presencia de microfracturas y un alto riesgo de rupturas en ciertas áreas.</w:t>
      </w:r>
    </w:p>
    <w:p w14:paraId="10671851" w14:textId="77777777" w:rsidR="004D662C" w:rsidRPr="004D662C" w:rsidRDefault="004D662C" w:rsidP="004D662C">
      <w:pPr>
        <w:spacing w:line="360" w:lineRule="auto"/>
        <w:jc w:val="both"/>
        <w:rPr>
          <w:rFonts w:ascii="Arial" w:hAnsi="Arial" w:cs="Arial"/>
          <w:sz w:val="22"/>
          <w:szCs w:val="22"/>
        </w:rPr>
      </w:pPr>
    </w:p>
    <w:p w14:paraId="0EC1FCC5" w14:textId="15DA23EE" w:rsidR="00970DA0" w:rsidRPr="004D662C" w:rsidRDefault="00BA795A" w:rsidP="004D662C">
      <w:pPr>
        <w:spacing w:line="360" w:lineRule="auto"/>
        <w:jc w:val="both"/>
        <w:rPr>
          <w:rFonts w:ascii="Arial" w:hAnsi="Arial" w:cs="Arial"/>
          <w:b/>
          <w:bCs/>
          <w:sz w:val="22"/>
          <w:szCs w:val="22"/>
        </w:rPr>
      </w:pPr>
      <w:r w:rsidRPr="004D662C">
        <w:rPr>
          <w:rFonts w:ascii="Arial" w:hAnsi="Arial" w:cs="Arial"/>
          <w:b/>
          <w:bCs/>
          <w:sz w:val="22"/>
          <w:szCs w:val="22"/>
          <w:lang w:val="es-PE"/>
        </w:rPr>
        <w:t xml:space="preserve">5. </w:t>
      </w:r>
      <w:r w:rsidR="00970DA0" w:rsidRPr="004D662C">
        <w:rPr>
          <w:rFonts w:ascii="Arial" w:hAnsi="Arial" w:cs="Arial"/>
          <w:b/>
          <w:bCs/>
          <w:sz w:val="22"/>
          <w:szCs w:val="22"/>
        </w:rPr>
        <w:t>Conclus</w:t>
      </w:r>
      <w:r w:rsidR="004D662C" w:rsidRPr="004D662C">
        <w:rPr>
          <w:rFonts w:ascii="Arial" w:hAnsi="Arial" w:cs="Arial"/>
          <w:b/>
          <w:bCs/>
          <w:sz w:val="22"/>
          <w:szCs w:val="22"/>
        </w:rPr>
        <w:t>iones</w:t>
      </w:r>
      <w:r w:rsidR="00970DA0" w:rsidRPr="004D662C">
        <w:rPr>
          <w:rFonts w:ascii="Arial" w:hAnsi="Arial" w:cs="Arial"/>
          <w:b/>
          <w:bCs/>
          <w:sz w:val="22"/>
          <w:szCs w:val="22"/>
        </w:rPr>
        <w:t>:</w:t>
      </w:r>
    </w:p>
    <w:p w14:paraId="2ECCD9B9" w14:textId="4B92EF2A" w:rsidR="004D662C" w:rsidRPr="004D662C"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 xml:space="preserve">Los eventos sísmicos son causados por empujes internos y no por fracturas estructurales, lo que sugiere ajustar los parámetros de monitoreo. </w:t>
      </w:r>
    </w:p>
    <w:p w14:paraId="03C9497B" w14:textId="0DAAAF0F" w:rsidR="004D662C" w:rsidRPr="004D662C"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 xml:space="preserve">Los umbrales basados en el momento sísmico y la energía acumulada mejoran la precisión de las alertas. </w:t>
      </w:r>
    </w:p>
    <w:p w14:paraId="5C149ACB" w14:textId="245695E9" w:rsidR="004D662C" w:rsidRPr="004D662C"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 xml:space="preserve">La disminución del valor “b” y los límites de estrés son útiles para identificar zonas con alto riesgo. </w:t>
      </w:r>
    </w:p>
    <w:p w14:paraId="1D8356E8" w14:textId="3B76A4D0" w:rsidR="004D662C" w:rsidRPr="004D662C"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 xml:space="preserve">Diferencias entre áreas requieren ajustes específicos en el monitoreo. </w:t>
      </w:r>
    </w:p>
    <w:p w14:paraId="1592C22A" w14:textId="636C9963" w:rsidR="00970DA0"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La orientación de los esfuerzos explica los daños y ayuda a identificar zonas vulnerables.</w:t>
      </w:r>
    </w:p>
    <w:p w14:paraId="75536AF5" w14:textId="77777777" w:rsidR="004D662C" w:rsidRDefault="004D662C" w:rsidP="004D662C">
      <w:pPr>
        <w:spacing w:line="360" w:lineRule="auto"/>
        <w:jc w:val="both"/>
        <w:rPr>
          <w:rFonts w:ascii="Arial" w:hAnsi="Arial" w:cs="Arial"/>
          <w:sz w:val="22"/>
          <w:szCs w:val="22"/>
          <w:lang w:val="es-PE"/>
        </w:rPr>
      </w:pPr>
    </w:p>
    <w:p w14:paraId="1B31A1C1" w14:textId="77777777" w:rsidR="004D662C" w:rsidRDefault="004D662C" w:rsidP="004D662C">
      <w:pPr>
        <w:spacing w:line="360" w:lineRule="auto"/>
        <w:jc w:val="both"/>
        <w:rPr>
          <w:rFonts w:ascii="Arial" w:hAnsi="Arial" w:cs="Arial"/>
          <w:sz w:val="22"/>
          <w:szCs w:val="22"/>
          <w:lang w:val="es-PE"/>
        </w:rPr>
      </w:pPr>
    </w:p>
    <w:p w14:paraId="3362E2CB" w14:textId="77777777" w:rsidR="004D662C" w:rsidRDefault="004D662C" w:rsidP="004D662C">
      <w:pPr>
        <w:spacing w:line="360" w:lineRule="auto"/>
        <w:jc w:val="both"/>
        <w:rPr>
          <w:rFonts w:ascii="Arial" w:hAnsi="Arial" w:cs="Arial"/>
          <w:sz w:val="22"/>
          <w:szCs w:val="22"/>
          <w:lang w:val="es-PE"/>
        </w:rPr>
      </w:pPr>
    </w:p>
    <w:p w14:paraId="5A1037C5" w14:textId="77777777" w:rsidR="004D662C" w:rsidRDefault="004D662C" w:rsidP="004D662C">
      <w:pPr>
        <w:spacing w:line="360" w:lineRule="auto"/>
        <w:jc w:val="both"/>
        <w:rPr>
          <w:rFonts w:ascii="Arial" w:hAnsi="Arial" w:cs="Arial"/>
          <w:sz w:val="22"/>
          <w:szCs w:val="22"/>
          <w:lang w:val="es-PE"/>
        </w:rPr>
      </w:pPr>
    </w:p>
    <w:p w14:paraId="0012E9DE" w14:textId="77777777" w:rsidR="004D662C" w:rsidRDefault="004D662C" w:rsidP="004D662C">
      <w:pPr>
        <w:spacing w:line="360" w:lineRule="auto"/>
        <w:jc w:val="both"/>
        <w:rPr>
          <w:rFonts w:ascii="Arial" w:hAnsi="Arial" w:cs="Arial"/>
          <w:sz w:val="22"/>
          <w:szCs w:val="22"/>
          <w:lang w:val="es-PE"/>
        </w:rPr>
      </w:pPr>
    </w:p>
    <w:p w14:paraId="2D993D0B" w14:textId="77777777" w:rsidR="004D662C" w:rsidRDefault="004D662C" w:rsidP="004D662C">
      <w:pPr>
        <w:widowControl w:val="0"/>
        <w:autoSpaceDE w:val="0"/>
        <w:autoSpaceDN w:val="0"/>
        <w:adjustRightInd w:val="0"/>
        <w:spacing w:line="360" w:lineRule="auto"/>
        <w:jc w:val="center"/>
        <w:rPr>
          <w:rFonts w:ascii="Arial" w:hAnsi="Arial" w:cs="Arial"/>
          <w:b/>
          <w:sz w:val="22"/>
          <w:szCs w:val="22"/>
          <w:lang w:val="es-PE"/>
        </w:rPr>
      </w:pPr>
      <w:r w:rsidRPr="004D662C">
        <w:rPr>
          <w:rFonts w:ascii="Arial" w:hAnsi="Arial" w:cs="Arial"/>
          <w:b/>
          <w:sz w:val="22"/>
          <w:szCs w:val="22"/>
          <w:lang w:val="es-PE"/>
        </w:rPr>
        <w:t>Reseña profesional</w:t>
      </w:r>
    </w:p>
    <w:p w14:paraId="1E8349F1" w14:textId="77777777" w:rsidR="004D662C" w:rsidRPr="004D662C" w:rsidRDefault="004D662C" w:rsidP="004D662C">
      <w:pPr>
        <w:widowControl w:val="0"/>
        <w:autoSpaceDE w:val="0"/>
        <w:autoSpaceDN w:val="0"/>
        <w:adjustRightInd w:val="0"/>
        <w:spacing w:line="360" w:lineRule="auto"/>
        <w:jc w:val="center"/>
        <w:rPr>
          <w:rFonts w:ascii="Arial" w:hAnsi="Arial" w:cs="Arial"/>
          <w:b/>
          <w:sz w:val="22"/>
          <w:szCs w:val="22"/>
          <w:lang w:val="es-PE"/>
        </w:rPr>
      </w:pPr>
    </w:p>
    <w:p w14:paraId="6AC7A6BC" w14:textId="77777777" w:rsidR="004D662C" w:rsidRDefault="004D662C" w:rsidP="004D662C">
      <w:pPr>
        <w:spacing w:line="360" w:lineRule="auto"/>
        <w:jc w:val="both"/>
        <w:rPr>
          <w:rFonts w:ascii="Arial" w:hAnsi="Arial" w:cs="Arial"/>
          <w:sz w:val="22"/>
          <w:szCs w:val="22"/>
          <w:lang w:val="es-PE"/>
        </w:rPr>
      </w:pPr>
      <w:r w:rsidRPr="00DB2301">
        <w:rPr>
          <w:rFonts w:ascii="Arial" w:hAnsi="Arial" w:cs="Arial"/>
          <w:sz w:val="22"/>
          <w:szCs w:val="22"/>
          <w:lang w:val="es-PE"/>
        </w:rPr>
        <w:t>Ingeniero Geofísico titulado y colegiado por la Universidad Nacional de San Agustín de Arequipa, con una Maestría en Física con mención en Geofísica por la Universidad Nacional Mayor de San Marcos. Cuenta con más de 1</w:t>
      </w:r>
      <w:r w:rsidRPr="00DD0A6D">
        <w:rPr>
          <w:rFonts w:ascii="Arial" w:hAnsi="Arial" w:cs="Arial"/>
          <w:sz w:val="22"/>
          <w:szCs w:val="22"/>
          <w:lang w:val="es-PE"/>
        </w:rPr>
        <w:t>8</w:t>
      </w:r>
      <w:r w:rsidRPr="00DB2301">
        <w:rPr>
          <w:rFonts w:ascii="Arial" w:hAnsi="Arial" w:cs="Arial"/>
          <w:sz w:val="22"/>
          <w:szCs w:val="22"/>
          <w:lang w:val="es-PE"/>
        </w:rPr>
        <w:t xml:space="preserve"> años de experiencia profesional en geofísica minera y exploración petrolera, aplicando métodos avanzados de refracción y reflexión sísmica, así como técnicas especializadas de monitoreo microsísmico para la industria minera en diversos entornos nacionales e internacionales.</w:t>
      </w:r>
    </w:p>
    <w:p w14:paraId="08546F0A" w14:textId="77777777" w:rsidR="004D662C" w:rsidRPr="00DB2301" w:rsidRDefault="004D662C" w:rsidP="004D662C">
      <w:pPr>
        <w:spacing w:line="360" w:lineRule="auto"/>
        <w:jc w:val="both"/>
        <w:rPr>
          <w:rFonts w:ascii="Arial" w:hAnsi="Arial" w:cs="Arial"/>
          <w:sz w:val="22"/>
          <w:szCs w:val="22"/>
          <w:lang w:val="es-PE"/>
        </w:rPr>
      </w:pPr>
    </w:p>
    <w:p w14:paraId="2A34861C" w14:textId="77777777" w:rsidR="004D662C" w:rsidRDefault="004D662C" w:rsidP="004D662C">
      <w:pPr>
        <w:spacing w:line="360" w:lineRule="auto"/>
        <w:jc w:val="both"/>
        <w:rPr>
          <w:rFonts w:ascii="Arial" w:hAnsi="Arial" w:cs="Arial"/>
          <w:sz w:val="22"/>
          <w:szCs w:val="22"/>
          <w:lang w:val="es-PE"/>
        </w:rPr>
      </w:pPr>
      <w:r w:rsidRPr="00DB2301">
        <w:rPr>
          <w:rFonts w:ascii="Arial" w:hAnsi="Arial" w:cs="Arial"/>
          <w:sz w:val="22"/>
          <w:szCs w:val="22"/>
          <w:lang w:val="es-PE"/>
        </w:rPr>
        <w:t>Autor de estudios recientes sobre sistemas de monitoreo microsísmico, en los que analiza detalladamente la acumulación de energía, el momento sísmico y los mecanismos focales en zonas de alta actividad sísmica, estableciendo límites precisos para la alerta temprana y la gestión de riesgos en minería subterránea. Su investigación ha permitido identificar correlaciones críticas entre el estrés aparente, las velocidades de onda y los mecanismos de ruptura, contribuyendo significativamente a la seguridad y sostenibilidad de las operaciones mineras.</w:t>
      </w:r>
    </w:p>
    <w:p w14:paraId="3C09B1D8" w14:textId="77777777" w:rsidR="004D662C" w:rsidRPr="00DB2301" w:rsidRDefault="004D662C" w:rsidP="004D662C">
      <w:pPr>
        <w:spacing w:line="360" w:lineRule="auto"/>
        <w:jc w:val="both"/>
        <w:rPr>
          <w:rFonts w:ascii="Arial" w:hAnsi="Arial" w:cs="Arial"/>
          <w:sz w:val="22"/>
          <w:szCs w:val="22"/>
          <w:lang w:val="es-PE"/>
        </w:rPr>
      </w:pPr>
    </w:p>
    <w:p w14:paraId="5AF884DB" w14:textId="77777777" w:rsidR="004D662C" w:rsidRDefault="004D662C" w:rsidP="004D662C">
      <w:pPr>
        <w:spacing w:line="360" w:lineRule="auto"/>
        <w:jc w:val="both"/>
        <w:rPr>
          <w:rFonts w:ascii="Arial" w:hAnsi="Arial" w:cs="Arial"/>
          <w:sz w:val="22"/>
          <w:szCs w:val="22"/>
          <w:lang w:val="es-PE"/>
        </w:rPr>
      </w:pPr>
      <w:r w:rsidRPr="00DB2301">
        <w:rPr>
          <w:rFonts w:ascii="Arial" w:hAnsi="Arial" w:cs="Arial"/>
          <w:sz w:val="22"/>
          <w:szCs w:val="22"/>
          <w:lang w:val="es-PE"/>
        </w:rPr>
        <w:t>Actualmente, se especializa en el desarrollo de herramientas innovadoras de apoyo geomecánico mediante la integración de técnicas avanzadas y algoritmos propios. Ha liderado proyectos de diseño, implementación y optimización de sistemas de monitoreo microsísmico, enfocados en la evaluación precisa de la deformación de cavidades, estudios de velocidades pico-partícula y análisis de subsidencia. Además, impulsa la investigación en la exploración minera a través del análisis de eventos microsísmicos, estableciendo nuevas metodologías para anticipar eventos de alta magnitud y minimizar riesgos.</w:t>
      </w:r>
    </w:p>
    <w:p w14:paraId="0B0DBA27" w14:textId="77777777" w:rsidR="004D662C" w:rsidRPr="00DB2301" w:rsidRDefault="004D662C" w:rsidP="004D662C">
      <w:pPr>
        <w:spacing w:line="360" w:lineRule="auto"/>
        <w:jc w:val="both"/>
        <w:rPr>
          <w:rFonts w:ascii="Arial" w:hAnsi="Arial" w:cs="Arial"/>
          <w:sz w:val="22"/>
          <w:szCs w:val="22"/>
          <w:lang w:val="es-PE"/>
        </w:rPr>
      </w:pPr>
    </w:p>
    <w:p w14:paraId="7BCE1F71" w14:textId="308463A4" w:rsidR="004D662C" w:rsidRPr="004D662C" w:rsidRDefault="004D662C" w:rsidP="004D662C">
      <w:pPr>
        <w:spacing w:line="360" w:lineRule="auto"/>
        <w:jc w:val="both"/>
        <w:rPr>
          <w:rFonts w:ascii="Arial" w:hAnsi="Arial" w:cs="Arial"/>
          <w:sz w:val="22"/>
          <w:szCs w:val="22"/>
          <w:lang w:val="es-PE"/>
        </w:rPr>
      </w:pPr>
      <w:r w:rsidRPr="00DB2301">
        <w:rPr>
          <w:rFonts w:ascii="Arial" w:hAnsi="Arial" w:cs="Arial"/>
          <w:sz w:val="22"/>
          <w:szCs w:val="22"/>
          <w:lang w:val="es-PE"/>
        </w:rPr>
        <w:t>Su combinación de conocimientos teóricos sólidos y experiencia práctica avanzada lo posiciona como un referente en la industria, destacándose por su capacidad para transformar datos complejos en estrategias efectivas de gestión de riesgos y optimización operativa.</w:t>
      </w:r>
    </w:p>
    <w:sectPr w:rsidR="004D662C" w:rsidRPr="004D66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32D0"/>
    <w:multiLevelType w:val="multilevel"/>
    <w:tmpl w:val="4474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460AB"/>
    <w:multiLevelType w:val="multilevel"/>
    <w:tmpl w:val="A9862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E328D"/>
    <w:multiLevelType w:val="multilevel"/>
    <w:tmpl w:val="2B26B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55B83"/>
    <w:multiLevelType w:val="multilevel"/>
    <w:tmpl w:val="F95C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4247C"/>
    <w:multiLevelType w:val="multilevel"/>
    <w:tmpl w:val="C4D8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F227A"/>
    <w:multiLevelType w:val="multilevel"/>
    <w:tmpl w:val="9A0E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64022"/>
    <w:multiLevelType w:val="hybridMultilevel"/>
    <w:tmpl w:val="3C5E35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3155EA1"/>
    <w:multiLevelType w:val="multilevel"/>
    <w:tmpl w:val="046A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12A46"/>
    <w:multiLevelType w:val="multilevel"/>
    <w:tmpl w:val="FB54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146C0"/>
    <w:multiLevelType w:val="hybridMultilevel"/>
    <w:tmpl w:val="7CD67C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92C4260"/>
    <w:multiLevelType w:val="multilevel"/>
    <w:tmpl w:val="30E4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630A7"/>
    <w:multiLevelType w:val="multilevel"/>
    <w:tmpl w:val="68CC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D5AC6"/>
    <w:multiLevelType w:val="hybridMultilevel"/>
    <w:tmpl w:val="A60A3F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74566AA4"/>
    <w:multiLevelType w:val="hybridMultilevel"/>
    <w:tmpl w:val="D59C71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7AAE28EC"/>
    <w:multiLevelType w:val="multilevel"/>
    <w:tmpl w:val="5718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933132">
    <w:abstractNumId w:val="3"/>
  </w:num>
  <w:num w:numId="2" w16cid:durableId="1834176135">
    <w:abstractNumId w:val="10"/>
  </w:num>
  <w:num w:numId="3" w16cid:durableId="1782871211">
    <w:abstractNumId w:val="8"/>
  </w:num>
  <w:num w:numId="4" w16cid:durableId="1861777400">
    <w:abstractNumId w:val="0"/>
  </w:num>
  <w:num w:numId="5" w16cid:durableId="340861827">
    <w:abstractNumId w:val="7"/>
  </w:num>
  <w:num w:numId="6" w16cid:durableId="1867062272">
    <w:abstractNumId w:val="14"/>
  </w:num>
  <w:num w:numId="7" w16cid:durableId="1231041735">
    <w:abstractNumId w:val="13"/>
  </w:num>
  <w:num w:numId="8" w16cid:durableId="1502889342">
    <w:abstractNumId w:val="4"/>
  </w:num>
  <w:num w:numId="9" w16cid:durableId="1953590905">
    <w:abstractNumId w:val="5"/>
  </w:num>
  <w:num w:numId="10" w16cid:durableId="461466958">
    <w:abstractNumId w:val="11"/>
  </w:num>
  <w:num w:numId="11" w16cid:durableId="1953628553">
    <w:abstractNumId w:val="2"/>
  </w:num>
  <w:num w:numId="12" w16cid:durableId="1971323898">
    <w:abstractNumId w:val="1"/>
  </w:num>
  <w:num w:numId="13" w16cid:durableId="643005924">
    <w:abstractNumId w:val="9"/>
  </w:num>
  <w:num w:numId="14" w16cid:durableId="193154606">
    <w:abstractNumId w:val="12"/>
  </w:num>
  <w:num w:numId="15" w16cid:durableId="3723901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BFA"/>
    <w:rsid w:val="000D4315"/>
    <w:rsid w:val="002D3B8D"/>
    <w:rsid w:val="004D662C"/>
    <w:rsid w:val="00712522"/>
    <w:rsid w:val="007D3BFA"/>
    <w:rsid w:val="00970DA0"/>
    <w:rsid w:val="009B4CBC"/>
    <w:rsid w:val="00A47838"/>
    <w:rsid w:val="00BA47FD"/>
    <w:rsid w:val="00BA795A"/>
    <w:rsid w:val="00F018E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7A4FB"/>
  <w15:chartTrackingRefBased/>
  <w15:docId w15:val="{A2A59BE6-9341-4CE2-B78B-EC1C0BD36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BFA"/>
    <w:pPr>
      <w:spacing w:after="0" w:line="240" w:lineRule="auto"/>
    </w:pPr>
    <w:rPr>
      <w:rFonts w:ascii="Cambria" w:eastAsia="MS Mincho" w:hAnsi="Cambria" w:cs="Times New Roman"/>
      <w:kern w:val="0"/>
      <w:lang w:val="fr-FR" w:eastAsia="fr-FR"/>
      <w14:ligatures w14:val="none"/>
    </w:rPr>
  </w:style>
  <w:style w:type="paragraph" w:styleId="Ttulo1">
    <w:name w:val="heading 1"/>
    <w:basedOn w:val="Normal"/>
    <w:next w:val="Normal"/>
    <w:link w:val="Ttulo1Car"/>
    <w:uiPriority w:val="9"/>
    <w:qFormat/>
    <w:rsid w:val="007D3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3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3B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3B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3B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3BF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3BF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3BF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3BF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3B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3B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3B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3B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3B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3B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3B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3B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3BFA"/>
    <w:rPr>
      <w:rFonts w:eastAsiaTheme="majorEastAsia" w:cstheme="majorBidi"/>
      <w:color w:val="272727" w:themeColor="text1" w:themeTint="D8"/>
    </w:rPr>
  </w:style>
  <w:style w:type="paragraph" w:styleId="Ttulo">
    <w:name w:val="Title"/>
    <w:basedOn w:val="Normal"/>
    <w:next w:val="Normal"/>
    <w:link w:val="TtuloCar"/>
    <w:uiPriority w:val="10"/>
    <w:qFormat/>
    <w:rsid w:val="007D3BF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3B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3B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3B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3BFA"/>
    <w:pPr>
      <w:spacing w:before="160"/>
      <w:jc w:val="center"/>
    </w:pPr>
    <w:rPr>
      <w:i/>
      <w:iCs/>
      <w:color w:val="404040" w:themeColor="text1" w:themeTint="BF"/>
    </w:rPr>
  </w:style>
  <w:style w:type="character" w:customStyle="1" w:styleId="CitaCar">
    <w:name w:val="Cita Car"/>
    <w:basedOn w:val="Fuentedeprrafopredeter"/>
    <w:link w:val="Cita"/>
    <w:uiPriority w:val="29"/>
    <w:rsid w:val="007D3BFA"/>
    <w:rPr>
      <w:i/>
      <w:iCs/>
      <w:color w:val="404040" w:themeColor="text1" w:themeTint="BF"/>
    </w:rPr>
  </w:style>
  <w:style w:type="paragraph" w:styleId="Prrafodelista">
    <w:name w:val="List Paragraph"/>
    <w:basedOn w:val="Normal"/>
    <w:uiPriority w:val="34"/>
    <w:qFormat/>
    <w:rsid w:val="007D3BFA"/>
    <w:pPr>
      <w:ind w:left="720"/>
      <w:contextualSpacing/>
    </w:pPr>
  </w:style>
  <w:style w:type="character" w:styleId="nfasisintenso">
    <w:name w:val="Intense Emphasis"/>
    <w:basedOn w:val="Fuentedeprrafopredeter"/>
    <w:uiPriority w:val="21"/>
    <w:qFormat/>
    <w:rsid w:val="007D3BFA"/>
    <w:rPr>
      <w:i/>
      <w:iCs/>
      <w:color w:val="0F4761" w:themeColor="accent1" w:themeShade="BF"/>
    </w:rPr>
  </w:style>
  <w:style w:type="paragraph" w:styleId="Citadestacada">
    <w:name w:val="Intense Quote"/>
    <w:basedOn w:val="Normal"/>
    <w:next w:val="Normal"/>
    <w:link w:val="CitadestacadaCar"/>
    <w:uiPriority w:val="30"/>
    <w:qFormat/>
    <w:rsid w:val="007D3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3BFA"/>
    <w:rPr>
      <w:i/>
      <w:iCs/>
      <w:color w:val="0F4761" w:themeColor="accent1" w:themeShade="BF"/>
    </w:rPr>
  </w:style>
  <w:style w:type="character" w:styleId="Referenciaintensa">
    <w:name w:val="Intense Reference"/>
    <w:basedOn w:val="Fuentedeprrafopredeter"/>
    <w:uiPriority w:val="32"/>
    <w:qFormat/>
    <w:rsid w:val="007D3B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207880">
      <w:bodyDiv w:val="1"/>
      <w:marLeft w:val="0"/>
      <w:marRight w:val="0"/>
      <w:marTop w:val="0"/>
      <w:marBottom w:val="0"/>
      <w:divBdr>
        <w:top w:val="none" w:sz="0" w:space="0" w:color="auto"/>
        <w:left w:val="none" w:sz="0" w:space="0" w:color="auto"/>
        <w:bottom w:val="none" w:sz="0" w:space="0" w:color="auto"/>
        <w:right w:val="none" w:sz="0" w:space="0" w:color="auto"/>
      </w:divBdr>
    </w:div>
    <w:div w:id="348063516">
      <w:bodyDiv w:val="1"/>
      <w:marLeft w:val="0"/>
      <w:marRight w:val="0"/>
      <w:marTop w:val="0"/>
      <w:marBottom w:val="0"/>
      <w:divBdr>
        <w:top w:val="none" w:sz="0" w:space="0" w:color="auto"/>
        <w:left w:val="none" w:sz="0" w:space="0" w:color="auto"/>
        <w:bottom w:val="none" w:sz="0" w:space="0" w:color="auto"/>
        <w:right w:val="none" w:sz="0" w:space="0" w:color="auto"/>
      </w:divBdr>
    </w:div>
    <w:div w:id="514423168">
      <w:bodyDiv w:val="1"/>
      <w:marLeft w:val="0"/>
      <w:marRight w:val="0"/>
      <w:marTop w:val="0"/>
      <w:marBottom w:val="0"/>
      <w:divBdr>
        <w:top w:val="none" w:sz="0" w:space="0" w:color="auto"/>
        <w:left w:val="none" w:sz="0" w:space="0" w:color="auto"/>
        <w:bottom w:val="none" w:sz="0" w:space="0" w:color="auto"/>
        <w:right w:val="none" w:sz="0" w:space="0" w:color="auto"/>
      </w:divBdr>
    </w:div>
    <w:div w:id="757217800">
      <w:bodyDiv w:val="1"/>
      <w:marLeft w:val="0"/>
      <w:marRight w:val="0"/>
      <w:marTop w:val="0"/>
      <w:marBottom w:val="0"/>
      <w:divBdr>
        <w:top w:val="none" w:sz="0" w:space="0" w:color="auto"/>
        <w:left w:val="none" w:sz="0" w:space="0" w:color="auto"/>
        <w:bottom w:val="none" w:sz="0" w:space="0" w:color="auto"/>
        <w:right w:val="none" w:sz="0" w:space="0" w:color="auto"/>
      </w:divBdr>
    </w:div>
    <w:div w:id="762385362">
      <w:bodyDiv w:val="1"/>
      <w:marLeft w:val="0"/>
      <w:marRight w:val="0"/>
      <w:marTop w:val="0"/>
      <w:marBottom w:val="0"/>
      <w:divBdr>
        <w:top w:val="none" w:sz="0" w:space="0" w:color="auto"/>
        <w:left w:val="none" w:sz="0" w:space="0" w:color="auto"/>
        <w:bottom w:val="none" w:sz="0" w:space="0" w:color="auto"/>
        <w:right w:val="none" w:sz="0" w:space="0" w:color="auto"/>
      </w:divBdr>
    </w:div>
    <w:div w:id="861014252">
      <w:bodyDiv w:val="1"/>
      <w:marLeft w:val="0"/>
      <w:marRight w:val="0"/>
      <w:marTop w:val="0"/>
      <w:marBottom w:val="0"/>
      <w:divBdr>
        <w:top w:val="none" w:sz="0" w:space="0" w:color="auto"/>
        <w:left w:val="none" w:sz="0" w:space="0" w:color="auto"/>
        <w:bottom w:val="none" w:sz="0" w:space="0" w:color="auto"/>
        <w:right w:val="none" w:sz="0" w:space="0" w:color="auto"/>
      </w:divBdr>
    </w:div>
    <w:div w:id="990326026">
      <w:bodyDiv w:val="1"/>
      <w:marLeft w:val="0"/>
      <w:marRight w:val="0"/>
      <w:marTop w:val="0"/>
      <w:marBottom w:val="0"/>
      <w:divBdr>
        <w:top w:val="none" w:sz="0" w:space="0" w:color="auto"/>
        <w:left w:val="none" w:sz="0" w:space="0" w:color="auto"/>
        <w:bottom w:val="none" w:sz="0" w:space="0" w:color="auto"/>
        <w:right w:val="none" w:sz="0" w:space="0" w:color="auto"/>
      </w:divBdr>
    </w:div>
    <w:div w:id="1037700812">
      <w:bodyDiv w:val="1"/>
      <w:marLeft w:val="0"/>
      <w:marRight w:val="0"/>
      <w:marTop w:val="0"/>
      <w:marBottom w:val="0"/>
      <w:divBdr>
        <w:top w:val="none" w:sz="0" w:space="0" w:color="auto"/>
        <w:left w:val="none" w:sz="0" w:space="0" w:color="auto"/>
        <w:bottom w:val="none" w:sz="0" w:space="0" w:color="auto"/>
        <w:right w:val="none" w:sz="0" w:space="0" w:color="auto"/>
      </w:divBdr>
    </w:div>
    <w:div w:id="1070663093">
      <w:bodyDiv w:val="1"/>
      <w:marLeft w:val="0"/>
      <w:marRight w:val="0"/>
      <w:marTop w:val="0"/>
      <w:marBottom w:val="0"/>
      <w:divBdr>
        <w:top w:val="none" w:sz="0" w:space="0" w:color="auto"/>
        <w:left w:val="none" w:sz="0" w:space="0" w:color="auto"/>
        <w:bottom w:val="none" w:sz="0" w:space="0" w:color="auto"/>
        <w:right w:val="none" w:sz="0" w:space="0" w:color="auto"/>
      </w:divBdr>
    </w:div>
    <w:div w:id="1078359113">
      <w:bodyDiv w:val="1"/>
      <w:marLeft w:val="0"/>
      <w:marRight w:val="0"/>
      <w:marTop w:val="0"/>
      <w:marBottom w:val="0"/>
      <w:divBdr>
        <w:top w:val="none" w:sz="0" w:space="0" w:color="auto"/>
        <w:left w:val="none" w:sz="0" w:space="0" w:color="auto"/>
        <w:bottom w:val="none" w:sz="0" w:space="0" w:color="auto"/>
        <w:right w:val="none" w:sz="0" w:space="0" w:color="auto"/>
      </w:divBdr>
    </w:div>
    <w:div w:id="1135024084">
      <w:bodyDiv w:val="1"/>
      <w:marLeft w:val="0"/>
      <w:marRight w:val="0"/>
      <w:marTop w:val="0"/>
      <w:marBottom w:val="0"/>
      <w:divBdr>
        <w:top w:val="none" w:sz="0" w:space="0" w:color="auto"/>
        <w:left w:val="none" w:sz="0" w:space="0" w:color="auto"/>
        <w:bottom w:val="none" w:sz="0" w:space="0" w:color="auto"/>
        <w:right w:val="none" w:sz="0" w:space="0" w:color="auto"/>
      </w:divBdr>
    </w:div>
    <w:div w:id="1370564819">
      <w:bodyDiv w:val="1"/>
      <w:marLeft w:val="0"/>
      <w:marRight w:val="0"/>
      <w:marTop w:val="0"/>
      <w:marBottom w:val="0"/>
      <w:divBdr>
        <w:top w:val="none" w:sz="0" w:space="0" w:color="auto"/>
        <w:left w:val="none" w:sz="0" w:space="0" w:color="auto"/>
        <w:bottom w:val="none" w:sz="0" w:space="0" w:color="auto"/>
        <w:right w:val="none" w:sz="0" w:space="0" w:color="auto"/>
      </w:divBdr>
    </w:div>
    <w:div w:id="1454442860">
      <w:bodyDiv w:val="1"/>
      <w:marLeft w:val="0"/>
      <w:marRight w:val="0"/>
      <w:marTop w:val="0"/>
      <w:marBottom w:val="0"/>
      <w:divBdr>
        <w:top w:val="none" w:sz="0" w:space="0" w:color="auto"/>
        <w:left w:val="none" w:sz="0" w:space="0" w:color="auto"/>
        <w:bottom w:val="none" w:sz="0" w:space="0" w:color="auto"/>
        <w:right w:val="none" w:sz="0" w:space="0" w:color="auto"/>
      </w:divBdr>
    </w:div>
    <w:div w:id="1469203314">
      <w:bodyDiv w:val="1"/>
      <w:marLeft w:val="0"/>
      <w:marRight w:val="0"/>
      <w:marTop w:val="0"/>
      <w:marBottom w:val="0"/>
      <w:divBdr>
        <w:top w:val="none" w:sz="0" w:space="0" w:color="auto"/>
        <w:left w:val="none" w:sz="0" w:space="0" w:color="auto"/>
        <w:bottom w:val="none" w:sz="0" w:space="0" w:color="auto"/>
        <w:right w:val="none" w:sz="0" w:space="0" w:color="auto"/>
      </w:divBdr>
    </w:div>
    <w:div w:id="1495220060">
      <w:bodyDiv w:val="1"/>
      <w:marLeft w:val="0"/>
      <w:marRight w:val="0"/>
      <w:marTop w:val="0"/>
      <w:marBottom w:val="0"/>
      <w:divBdr>
        <w:top w:val="none" w:sz="0" w:space="0" w:color="auto"/>
        <w:left w:val="none" w:sz="0" w:space="0" w:color="auto"/>
        <w:bottom w:val="none" w:sz="0" w:space="0" w:color="auto"/>
        <w:right w:val="none" w:sz="0" w:space="0" w:color="auto"/>
      </w:divBdr>
    </w:div>
    <w:div w:id="1497575450">
      <w:bodyDiv w:val="1"/>
      <w:marLeft w:val="0"/>
      <w:marRight w:val="0"/>
      <w:marTop w:val="0"/>
      <w:marBottom w:val="0"/>
      <w:divBdr>
        <w:top w:val="none" w:sz="0" w:space="0" w:color="auto"/>
        <w:left w:val="none" w:sz="0" w:space="0" w:color="auto"/>
        <w:bottom w:val="none" w:sz="0" w:space="0" w:color="auto"/>
        <w:right w:val="none" w:sz="0" w:space="0" w:color="auto"/>
      </w:divBdr>
    </w:div>
    <w:div w:id="1523275931">
      <w:bodyDiv w:val="1"/>
      <w:marLeft w:val="0"/>
      <w:marRight w:val="0"/>
      <w:marTop w:val="0"/>
      <w:marBottom w:val="0"/>
      <w:divBdr>
        <w:top w:val="none" w:sz="0" w:space="0" w:color="auto"/>
        <w:left w:val="none" w:sz="0" w:space="0" w:color="auto"/>
        <w:bottom w:val="none" w:sz="0" w:space="0" w:color="auto"/>
        <w:right w:val="none" w:sz="0" w:space="0" w:color="auto"/>
      </w:divBdr>
    </w:div>
    <w:div w:id="1827700575">
      <w:bodyDiv w:val="1"/>
      <w:marLeft w:val="0"/>
      <w:marRight w:val="0"/>
      <w:marTop w:val="0"/>
      <w:marBottom w:val="0"/>
      <w:divBdr>
        <w:top w:val="none" w:sz="0" w:space="0" w:color="auto"/>
        <w:left w:val="none" w:sz="0" w:space="0" w:color="auto"/>
        <w:bottom w:val="none" w:sz="0" w:space="0" w:color="auto"/>
        <w:right w:val="none" w:sz="0" w:space="0" w:color="auto"/>
      </w:divBdr>
    </w:div>
    <w:div w:id="1843662024">
      <w:bodyDiv w:val="1"/>
      <w:marLeft w:val="0"/>
      <w:marRight w:val="0"/>
      <w:marTop w:val="0"/>
      <w:marBottom w:val="0"/>
      <w:divBdr>
        <w:top w:val="none" w:sz="0" w:space="0" w:color="auto"/>
        <w:left w:val="none" w:sz="0" w:space="0" w:color="auto"/>
        <w:bottom w:val="none" w:sz="0" w:space="0" w:color="auto"/>
        <w:right w:val="none" w:sz="0" w:space="0" w:color="auto"/>
      </w:divBdr>
    </w:div>
    <w:div w:id="1878619664">
      <w:bodyDiv w:val="1"/>
      <w:marLeft w:val="0"/>
      <w:marRight w:val="0"/>
      <w:marTop w:val="0"/>
      <w:marBottom w:val="0"/>
      <w:divBdr>
        <w:top w:val="none" w:sz="0" w:space="0" w:color="auto"/>
        <w:left w:val="none" w:sz="0" w:space="0" w:color="auto"/>
        <w:bottom w:val="none" w:sz="0" w:space="0" w:color="auto"/>
        <w:right w:val="none" w:sz="0" w:space="0" w:color="auto"/>
      </w:divBdr>
    </w:div>
    <w:div w:id="2012683876">
      <w:bodyDiv w:val="1"/>
      <w:marLeft w:val="0"/>
      <w:marRight w:val="0"/>
      <w:marTop w:val="0"/>
      <w:marBottom w:val="0"/>
      <w:divBdr>
        <w:top w:val="none" w:sz="0" w:space="0" w:color="auto"/>
        <w:left w:val="none" w:sz="0" w:space="0" w:color="auto"/>
        <w:bottom w:val="none" w:sz="0" w:space="0" w:color="auto"/>
        <w:right w:val="none" w:sz="0" w:space="0" w:color="auto"/>
      </w:divBdr>
    </w:div>
    <w:div w:id="2015641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pespinoza@poderosa.com.pe" TargetMode="Externa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1234</Words>
  <Characters>6792</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Espinoza S. Peter Andree</dc:creator>
  <cp:keywords/>
  <dc:description/>
  <cp:lastModifiedBy>Andree Espinoza</cp:lastModifiedBy>
  <cp:revision>2</cp:revision>
  <dcterms:created xsi:type="dcterms:W3CDTF">2025-03-29T20:16:00Z</dcterms:created>
  <dcterms:modified xsi:type="dcterms:W3CDTF">2025-03-29T20:16:00Z</dcterms:modified>
</cp:coreProperties>
</file>