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51DF" w14:textId="77777777" w:rsidR="004E6A8D" w:rsidRDefault="004E6A8D">
      <w:pPr>
        <w:rPr>
          <w:lang w:val="es-PE"/>
        </w:rPr>
      </w:pPr>
    </w:p>
    <w:p w14:paraId="51249BD2" w14:textId="77777777" w:rsidR="004E6A8D" w:rsidRDefault="004E6A8D">
      <w:pPr>
        <w:jc w:val="both"/>
        <w:rPr>
          <w:rFonts w:ascii="Arial" w:hAnsi="Arial" w:cs="Arial"/>
          <w:b/>
          <w:bCs/>
          <w:sz w:val="22"/>
          <w:szCs w:val="22"/>
          <w:lang w:val="es-PE"/>
        </w:rPr>
      </w:pPr>
      <w:r>
        <w:rPr>
          <w:rFonts w:ascii="Arial" w:hAnsi="Arial" w:cs="Arial"/>
          <w:b/>
          <w:bCs/>
          <w:sz w:val="22"/>
          <w:szCs w:val="22"/>
          <w:lang w:val="es-PE"/>
        </w:rPr>
        <w:t>TÍA MARIA, TECNOLOGÍA DIGITAL E INNOVACIÓN</w:t>
      </w:r>
    </w:p>
    <w:p w14:paraId="047AAFE5" w14:textId="77777777" w:rsidR="004E6A8D" w:rsidRDefault="004E6A8D">
      <w:pPr>
        <w:rPr>
          <w:rFonts w:ascii="Arial" w:hAnsi="Arial" w:cs="Arial"/>
          <w:sz w:val="22"/>
          <w:szCs w:val="22"/>
          <w:lang w:val="es-PE"/>
        </w:rPr>
      </w:pPr>
      <w:r>
        <w:rPr>
          <w:rFonts w:ascii="Arial" w:hAnsi="Arial" w:cs="Arial"/>
          <w:sz w:val="22"/>
          <w:szCs w:val="22"/>
          <w:lang w:val="es-PE"/>
        </w:rPr>
        <w:t>Tema: Automatización y nuevas tecnologías</w:t>
      </w:r>
    </w:p>
    <w:p w14:paraId="71BA872E" w14:textId="77777777" w:rsidR="004E6A8D" w:rsidRDefault="004E6A8D">
      <w:pPr>
        <w:rPr>
          <w:rFonts w:ascii="Arial" w:hAnsi="Arial" w:cs="Arial"/>
          <w:sz w:val="22"/>
          <w:szCs w:val="22"/>
          <w:lang w:val="es-PE"/>
        </w:rPr>
      </w:pPr>
      <w:r>
        <w:rPr>
          <w:rFonts w:ascii="Arial" w:hAnsi="Arial" w:cs="Arial"/>
          <w:sz w:val="22"/>
          <w:szCs w:val="22"/>
          <w:lang w:val="es-PE"/>
        </w:rPr>
        <w:t>Categoría: 6. Minería 4.0</w:t>
      </w:r>
    </w:p>
    <w:p w14:paraId="1BE0E93F" w14:textId="77777777" w:rsidR="004E6A8D" w:rsidRDefault="004E6A8D">
      <w:pPr>
        <w:rPr>
          <w:rFonts w:ascii="Arial" w:hAnsi="Arial" w:cs="Arial"/>
          <w:sz w:val="22"/>
          <w:szCs w:val="22"/>
          <w:lang w:val="es-PE"/>
        </w:rPr>
      </w:pPr>
      <w:r>
        <w:rPr>
          <w:rFonts w:ascii="Arial" w:hAnsi="Arial" w:cs="Arial"/>
          <w:sz w:val="22"/>
          <w:szCs w:val="22"/>
          <w:lang w:val="es-PE"/>
        </w:rPr>
        <w:t xml:space="preserve">Autor: Javier Leonardo Salazar Muñoz. Southern Peru. Gerente Técnico - Tía Maria. Dirección: Urbanización Magisterio IIb MZ 33 LT 17 – ILO. Email trabajo: </w:t>
      </w:r>
      <w:hyperlink r:id="rId4" w:history="1">
        <w:r>
          <w:rPr>
            <w:rStyle w:val="Hyperlink"/>
            <w:rFonts w:ascii="Arial" w:hAnsi="Arial" w:cs="Arial"/>
            <w:sz w:val="22"/>
            <w:szCs w:val="22"/>
            <w:lang w:val="es-PE"/>
          </w:rPr>
          <w:t>jsalazarm@southernperu.com.pe</w:t>
        </w:r>
      </w:hyperlink>
      <w:r>
        <w:rPr>
          <w:rFonts w:ascii="Arial" w:hAnsi="Arial" w:cs="Arial"/>
          <w:sz w:val="22"/>
          <w:szCs w:val="22"/>
          <w:lang w:val="es-PE"/>
        </w:rPr>
        <w:t xml:space="preserve"> Email personal: </w:t>
      </w:r>
      <w:hyperlink r:id="rId5" w:history="1">
        <w:r>
          <w:rPr>
            <w:rStyle w:val="Hyperlink"/>
            <w:rFonts w:ascii="Arial" w:hAnsi="Arial" w:cs="Arial"/>
            <w:sz w:val="22"/>
            <w:szCs w:val="22"/>
            <w:lang w:val="es-PE"/>
          </w:rPr>
          <w:t>ja.salazar.mu@gmail.com</w:t>
        </w:r>
      </w:hyperlink>
      <w:r>
        <w:rPr>
          <w:rFonts w:ascii="Arial" w:hAnsi="Arial" w:cs="Arial"/>
          <w:sz w:val="22"/>
          <w:szCs w:val="22"/>
          <w:lang w:val="es-PE"/>
        </w:rPr>
        <w:t xml:space="preserve"> Celular: +51 953521876</w:t>
      </w:r>
    </w:p>
    <w:p w14:paraId="1E60E158" w14:textId="77777777" w:rsidR="004E6A8D" w:rsidRDefault="004E6A8D">
      <w:pPr>
        <w:rPr>
          <w:rFonts w:ascii="Arial" w:hAnsi="Arial" w:cs="Arial"/>
          <w:sz w:val="22"/>
          <w:szCs w:val="22"/>
          <w:lang w:val="es-PE"/>
        </w:rPr>
      </w:pPr>
    </w:p>
    <w:p w14:paraId="05B19D14" w14:textId="77777777" w:rsidR="004E6A8D" w:rsidRDefault="004E6A8D">
      <w:pPr>
        <w:jc w:val="both"/>
        <w:rPr>
          <w:rFonts w:ascii="Arial" w:hAnsi="Arial" w:cs="Arial"/>
          <w:sz w:val="22"/>
          <w:szCs w:val="22"/>
          <w:lang w:val="es-PE"/>
        </w:rPr>
      </w:pPr>
      <w:r>
        <w:rPr>
          <w:rFonts w:ascii="Arial" w:hAnsi="Arial" w:cs="Arial"/>
          <w:sz w:val="22"/>
          <w:szCs w:val="22"/>
          <w:lang w:val="es-PE"/>
        </w:rPr>
        <w:t>Con el desarrollo de obras tempranas se ha iniciado la construcción del emblemático proyecto minero Tía Maria (PMTM), a inicios del segundo semestre de este año 2025 se estará iniciando la construcción de los componentes mas importantes del proyecto: desbroce de la mina, movimiento masivo de tierras, área seca, área húmeda, facilidades internas; entre otros frentes importantes de construcción. Para el desarrollo de estos frentes de trabajo se considera la última tecnología disponible para aplicar en la construcción y en el equipamiento del proyecto, como corresponde realizar en aras de tener una operación, mas adelante, con altos estándares de seguridad, productividad y también ambiental y socialmente responsable. Las últimas innovaciones desarrolladas en nuestras actuales operaciones de Toquepala y Cuajone; y en general de toda la industria minera, serán aplicadas en el PMTM.</w:t>
      </w:r>
    </w:p>
    <w:p w14:paraId="09E3ACE9" w14:textId="77777777" w:rsidR="004E6A8D" w:rsidRDefault="004E6A8D">
      <w:pPr>
        <w:jc w:val="both"/>
        <w:rPr>
          <w:rFonts w:ascii="Arial" w:hAnsi="Arial" w:cs="Arial"/>
          <w:sz w:val="22"/>
          <w:szCs w:val="22"/>
          <w:lang w:val="es-PE"/>
        </w:rPr>
      </w:pPr>
      <w:r>
        <w:rPr>
          <w:rFonts w:ascii="Arial" w:hAnsi="Arial" w:cs="Arial"/>
          <w:sz w:val="22"/>
          <w:szCs w:val="22"/>
          <w:lang w:val="es-PE"/>
        </w:rPr>
        <w:t xml:space="preserve">El objetivo del trabajo es mostrar la automatización que se aplicara en la nueva unidad operativa Tía Maria. El PMTM iniciará con la explotación del tajo La Tapada, esta se realizará con una empresa tercera; y la operación del tajo La Tapada estará a cargo de Southern Peru. Para el desbroce, ya se está utilizando modernos simuladores en la capacitación de personal para operación de tractores sobre orugas, cargador frontal y motoniveladora; posteriormente y a partir del mes de mayo 2025 se les estará capacitando en la operación de estos equipos, en terreno, en vacío y finalmente en caliente (con carga). Por otro lado, se viene evaluando alternativas de autonomía para equipo pesado de mina: camiones fuera de carretera, perforadoras y camiones regadores; próximamente entraremos en la etapa de cotización y compra de estos equipos, de tal manera que lo tengamos disponibles para el primer semestre del año 2027 en que estimamos iniciar la etapa de precomisionado y comisionado. La autonomía de equipamiento minero está orientado principalmente a mejorar la seguridad de la operación. Por otro lado, también nos  encontramos evaluando el “encerramiento” de la descarga de volquetes en el chancador primario que estará ubicado en el borde del tajo La Tapada, esto con la finalidad de capturar la mayor cantidad de material particulado durante la descarga de los camiones; también ya estamos aplicando mitigadores de polvo en las vías de accesos, algunas de ellas ya están construidas, con el objetivo de minimizar el material particulados en esta etapa de construcción, pero también con la finalidad de caracterizar oportunamente la dosis de aplicación de productos mitigadores de polvo; esto en aras que al iniciar la etapa de desbroce ya conozcamos la dosis de aplicación; en general, en la minería de tajo abierto los caminos mineros son una de las fuentes mas importantes de generación de material particulado. A inicios del mes de agosto 2025 y por trece (13) meses estaremos </w:t>
      </w:r>
      <w:r>
        <w:rPr>
          <w:rFonts w:ascii="Arial" w:hAnsi="Arial" w:cs="Arial"/>
          <w:sz w:val="22"/>
          <w:szCs w:val="22"/>
          <w:lang w:val="es-PE"/>
        </w:rPr>
        <w:lastRenderedPageBreak/>
        <w:t>realizando el desbroce. Por otro lado, se vienen instalando nuevas estaciones meteorológicas cercanas al futuro tajo La Tapada con la finalidad de modelar oportunamente y a mayor detalle la dirección del viento; es conocido que la dirección del viento tiene una dirección predominante hacia el Norte (opuesto al Valle), sin embargo en mediciones para el desarrollo del EIA, registramos algunas fracciones menores de tiempo que la dirección del viento se invierte de Norte a Sur; este comportamiento ya esta siendo evaluado a detalle y con estaciones de monitoreo que registran y transmiten la información registrada en tiempo real. Mas adelante tendremos mapeado en tiempo real los valores de material particulado (PM10 y PM2.5) del futuro tajo La Tapada, utilizando equipos de medición de polvo instalados en los caminos mineros y puestos en videos en vivo para tener la información oportuna y aplicar las medidas de mitigación de polvo más indicadas.</w:t>
      </w:r>
    </w:p>
    <w:p w14:paraId="7E6D134C" w14:textId="77777777" w:rsidR="004E6A8D" w:rsidRDefault="004E6A8D">
      <w:pPr>
        <w:jc w:val="both"/>
        <w:rPr>
          <w:rFonts w:ascii="Arial" w:hAnsi="Arial" w:cs="Arial"/>
          <w:sz w:val="22"/>
          <w:szCs w:val="22"/>
          <w:lang w:val="es-PE"/>
        </w:rPr>
      </w:pPr>
      <w:r>
        <w:rPr>
          <w:rFonts w:ascii="Arial" w:hAnsi="Arial" w:cs="Arial"/>
          <w:sz w:val="22"/>
          <w:szCs w:val="22"/>
          <w:lang w:val="es-PE"/>
        </w:rPr>
        <w:t>El equipamiento autónomo para la operación en minería esta tomando cada vez preponderancia; Tía Maria será la segunda mina digital en el Perú; hay disponible en el mercado oferta de diferentes marcas de equipo minero que tiene su autonomía propia, pero también existen la autonomía agnóstica (solo autonomía, sin el equipo minero) que pueden instalarse en una determinada marca de equipo minero. La tecnología de simuladores de equipos mineros está en constante evolución; desde los módulos e-learnings, hay un avance enorme en la tecnología e innovación en el entrenamiento de operadores; facilita el aprendizaje de la operación del equipo minero, herramienta muy útil para la capacitación de los pobladores del Valle de Tambo.</w:t>
      </w:r>
    </w:p>
    <w:p w14:paraId="398A54B4" w14:textId="77777777" w:rsidR="004E6A8D" w:rsidRDefault="004E6A8D">
      <w:pPr>
        <w:jc w:val="both"/>
        <w:rPr>
          <w:rFonts w:ascii="Arial" w:hAnsi="Arial" w:cs="Arial"/>
          <w:sz w:val="22"/>
          <w:szCs w:val="22"/>
          <w:lang w:val="es-PE"/>
        </w:rPr>
      </w:pPr>
      <w:r>
        <w:rPr>
          <w:rFonts w:ascii="Arial" w:hAnsi="Arial" w:cs="Arial"/>
          <w:sz w:val="22"/>
          <w:szCs w:val="22"/>
          <w:lang w:val="es-PE"/>
        </w:rPr>
        <w:t>A la fecha, ya se han capacitado a un numero significativo de jóvenes del Valle de Tambo en teoría y simulador de cuatro equipos auxiliares: tractor sobre orugas, cargador frontal, motoniveladora y excavadora; para inicios de mayo serán 81 personas capacitadas en estos dos primeros módulos. Para la fecha de presentación del trabajo final tendremos más definiciones referentes a la autonomía de equipos mineros; y también de la modelación del viento y las medidas de mitigación de polvo mejor evaluadas.</w:t>
      </w:r>
    </w:p>
    <w:p w14:paraId="0AE04E3E" w14:textId="77777777" w:rsidR="004E6A8D" w:rsidRDefault="004E6A8D">
      <w:pPr>
        <w:jc w:val="both"/>
        <w:rPr>
          <w:rFonts w:ascii="Arial" w:hAnsi="Arial" w:cs="Arial"/>
          <w:sz w:val="22"/>
          <w:szCs w:val="22"/>
          <w:lang w:val="es-PE"/>
        </w:rPr>
      </w:pPr>
      <w:r>
        <w:rPr>
          <w:rFonts w:ascii="Arial" w:hAnsi="Arial" w:cs="Arial"/>
          <w:sz w:val="22"/>
          <w:szCs w:val="22"/>
          <w:lang w:val="es-PE"/>
        </w:rPr>
        <w:t xml:space="preserve"> </w:t>
      </w:r>
    </w:p>
    <w:p w14:paraId="5A2653A0" w14:textId="77777777" w:rsidR="004E6A8D" w:rsidRDefault="004E6A8D">
      <w:pPr>
        <w:jc w:val="both"/>
        <w:rPr>
          <w:rFonts w:ascii="Arial" w:hAnsi="Arial" w:cs="Arial"/>
          <w:sz w:val="22"/>
          <w:szCs w:val="22"/>
          <w:lang w:val="es-PE"/>
        </w:rPr>
      </w:pPr>
      <w:r>
        <w:rPr>
          <w:rFonts w:ascii="Arial" w:hAnsi="Arial" w:cs="Arial"/>
          <w:sz w:val="22"/>
          <w:szCs w:val="22"/>
          <w:lang w:val="es-PE"/>
        </w:rPr>
        <w:t xml:space="preserve"> </w:t>
      </w:r>
    </w:p>
    <w:p w14:paraId="0B62F652" w14:textId="77777777" w:rsidR="004E6A8D" w:rsidRDefault="004E6A8D">
      <w:pPr>
        <w:rPr>
          <w:rFonts w:ascii="Arial" w:hAnsi="Arial" w:cs="Arial"/>
          <w:sz w:val="22"/>
          <w:szCs w:val="22"/>
          <w:lang w:val="es-PE"/>
        </w:rPr>
      </w:pPr>
    </w:p>
    <w:p w14:paraId="6E906F6B" w14:textId="77777777" w:rsidR="004E6A8D" w:rsidRDefault="004E6A8D">
      <w:pPr>
        <w:rPr>
          <w:rFonts w:ascii="Arial" w:hAnsi="Arial" w:cs="Arial"/>
          <w:sz w:val="22"/>
          <w:szCs w:val="22"/>
          <w:lang w:val="es-PE"/>
        </w:rPr>
      </w:pPr>
    </w:p>
    <w:p w14:paraId="360F4E96" w14:textId="77777777" w:rsidR="004E6A8D" w:rsidRDefault="004E6A8D">
      <w:pPr>
        <w:rPr>
          <w:rFonts w:ascii="Arial" w:hAnsi="Arial" w:cs="Arial"/>
          <w:sz w:val="22"/>
          <w:szCs w:val="22"/>
          <w:lang w:val="es-PE"/>
        </w:rPr>
      </w:pPr>
    </w:p>
    <w:p w14:paraId="0446ADEF" w14:textId="77777777" w:rsidR="004E6A8D" w:rsidRDefault="004E6A8D">
      <w:pPr>
        <w:rPr>
          <w:rFonts w:ascii="Arial" w:hAnsi="Arial" w:cs="Arial"/>
          <w:sz w:val="22"/>
          <w:szCs w:val="22"/>
          <w:lang w:val="es-PE"/>
        </w:rPr>
      </w:pPr>
    </w:p>
    <w:p w14:paraId="268B4A58" w14:textId="77777777" w:rsidR="004E6A8D" w:rsidRDefault="004E6A8D">
      <w:pPr>
        <w:rPr>
          <w:rFonts w:ascii="Arial" w:hAnsi="Arial" w:cs="Arial"/>
          <w:sz w:val="22"/>
          <w:szCs w:val="22"/>
          <w:lang w:val="es-PE"/>
        </w:rPr>
      </w:pPr>
    </w:p>
    <w:p w14:paraId="48AFE55D" w14:textId="77777777" w:rsidR="004E6A8D" w:rsidRDefault="004E6A8D">
      <w:pPr>
        <w:rPr>
          <w:rFonts w:ascii="Arial" w:hAnsi="Arial" w:cs="Arial"/>
          <w:sz w:val="22"/>
          <w:szCs w:val="22"/>
          <w:lang w:val="es-PE"/>
        </w:rPr>
      </w:pPr>
    </w:p>
    <w:sectPr w:rsidR="004E6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45"/>
    <w:rsid w:val="000016B8"/>
    <w:rsid w:val="000028FF"/>
    <w:rsid w:val="00005DA7"/>
    <w:rsid w:val="00037D60"/>
    <w:rsid w:val="000560C7"/>
    <w:rsid w:val="00066594"/>
    <w:rsid w:val="000A171F"/>
    <w:rsid w:val="000A76CA"/>
    <w:rsid w:val="000B6548"/>
    <w:rsid w:val="000C1A83"/>
    <w:rsid w:val="00117646"/>
    <w:rsid w:val="00157456"/>
    <w:rsid w:val="00167D29"/>
    <w:rsid w:val="00180B2A"/>
    <w:rsid w:val="001A6C41"/>
    <w:rsid w:val="001C0047"/>
    <w:rsid w:val="001F7D22"/>
    <w:rsid w:val="002014AC"/>
    <w:rsid w:val="00221FA4"/>
    <w:rsid w:val="00261C7C"/>
    <w:rsid w:val="00291586"/>
    <w:rsid w:val="002A4A4B"/>
    <w:rsid w:val="002B02DC"/>
    <w:rsid w:val="002D6FDA"/>
    <w:rsid w:val="002F2CCA"/>
    <w:rsid w:val="002F3C51"/>
    <w:rsid w:val="002F637A"/>
    <w:rsid w:val="00306A96"/>
    <w:rsid w:val="0033729B"/>
    <w:rsid w:val="003401AE"/>
    <w:rsid w:val="00353943"/>
    <w:rsid w:val="00372A81"/>
    <w:rsid w:val="004364A3"/>
    <w:rsid w:val="00436F34"/>
    <w:rsid w:val="004438E3"/>
    <w:rsid w:val="00465448"/>
    <w:rsid w:val="00496EFD"/>
    <w:rsid w:val="004A0B1C"/>
    <w:rsid w:val="004B32B2"/>
    <w:rsid w:val="004B681E"/>
    <w:rsid w:val="004C598A"/>
    <w:rsid w:val="004D3753"/>
    <w:rsid w:val="004E6A8D"/>
    <w:rsid w:val="00534364"/>
    <w:rsid w:val="0053520A"/>
    <w:rsid w:val="005750BF"/>
    <w:rsid w:val="0057678E"/>
    <w:rsid w:val="005811C1"/>
    <w:rsid w:val="005B39A0"/>
    <w:rsid w:val="005C0D96"/>
    <w:rsid w:val="005D47D8"/>
    <w:rsid w:val="005D6DF6"/>
    <w:rsid w:val="00635BE9"/>
    <w:rsid w:val="00645FDA"/>
    <w:rsid w:val="00651271"/>
    <w:rsid w:val="0067504F"/>
    <w:rsid w:val="00687D7A"/>
    <w:rsid w:val="006B3779"/>
    <w:rsid w:val="006C5A2F"/>
    <w:rsid w:val="006E0293"/>
    <w:rsid w:val="006F2C0A"/>
    <w:rsid w:val="00724AC7"/>
    <w:rsid w:val="007352AB"/>
    <w:rsid w:val="0073616B"/>
    <w:rsid w:val="007679E0"/>
    <w:rsid w:val="00782E63"/>
    <w:rsid w:val="00785672"/>
    <w:rsid w:val="00791BE8"/>
    <w:rsid w:val="00793692"/>
    <w:rsid w:val="007B10CF"/>
    <w:rsid w:val="007B459B"/>
    <w:rsid w:val="007D13CF"/>
    <w:rsid w:val="007E61B2"/>
    <w:rsid w:val="007F44B7"/>
    <w:rsid w:val="00814F44"/>
    <w:rsid w:val="00822CD6"/>
    <w:rsid w:val="00833715"/>
    <w:rsid w:val="00860EF3"/>
    <w:rsid w:val="00874002"/>
    <w:rsid w:val="00882DC1"/>
    <w:rsid w:val="008F2BCD"/>
    <w:rsid w:val="00903141"/>
    <w:rsid w:val="00915D54"/>
    <w:rsid w:val="00943CE5"/>
    <w:rsid w:val="00944E4D"/>
    <w:rsid w:val="0095542B"/>
    <w:rsid w:val="009A127B"/>
    <w:rsid w:val="009C2D88"/>
    <w:rsid w:val="009F287A"/>
    <w:rsid w:val="009F4316"/>
    <w:rsid w:val="00A016DA"/>
    <w:rsid w:val="00A0758A"/>
    <w:rsid w:val="00A27EE7"/>
    <w:rsid w:val="00A339F3"/>
    <w:rsid w:val="00A40E2F"/>
    <w:rsid w:val="00A628E5"/>
    <w:rsid w:val="00A64704"/>
    <w:rsid w:val="00A65CCF"/>
    <w:rsid w:val="00A70135"/>
    <w:rsid w:val="00A93DD8"/>
    <w:rsid w:val="00AC20AE"/>
    <w:rsid w:val="00AD74D9"/>
    <w:rsid w:val="00B00679"/>
    <w:rsid w:val="00B206CF"/>
    <w:rsid w:val="00B24BF9"/>
    <w:rsid w:val="00B64D1E"/>
    <w:rsid w:val="00B6746B"/>
    <w:rsid w:val="00B92765"/>
    <w:rsid w:val="00B95979"/>
    <w:rsid w:val="00BD3761"/>
    <w:rsid w:val="00BD7ECA"/>
    <w:rsid w:val="00BE4FF4"/>
    <w:rsid w:val="00BE6985"/>
    <w:rsid w:val="00BF4E83"/>
    <w:rsid w:val="00BF6D88"/>
    <w:rsid w:val="00C0350B"/>
    <w:rsid w:val="00C11D56"/>
    <w:rsid w:val="00C1681A"/>
    <w:rsid w:val="00C21A35"/>
    <w:rsid w:val="00C23E23"/>
    <w:rsid w:val="00C26944"/>
    <w:rsid w:val="00C557BC"/>
    <w:rsid w:val="00C610C1"/>
    <w:rsid w:val="00CE384A"/>
    <w:rsid w:val="00CF12BC"/>
    <w:rsid w:val="00CF69D1"/>
    <w:rsid w:val="00D03120"/>
    <w:rsid w:val="00D05793"/>
    <w:rsid w:val="00D400CE"/>
    <w:rsid w:val="00D56E5F"/>
    <w:rsid w:val="00DA205F"/>
    <w:rsid w:val="00DB232C"/>
    <w:rsid w:val="00DC1229"/>
    <w:rsid w:val="00DC6091"/>
    <w:rsid w:val="00DC6C75"/>
    <w:rsid w:val="00DE155E"/>
    <w:rsid w:val="00DF071F"/>
    <w:rsid w:val="00DF35A4"/>
    <w:rsid w:val="00E005C7"/>
    <w:rsid w:val="00E362C8"/>
    <w:rsid w:val="00E46373"/>
    <w:rsid w:val="00E479D2"/>
    <w:rsid w:val="00E64270"/>
    <w:rsid w:val="00E677F7"/>
    <w:rsid w:val="00E74C1F"/>
    <w:rsid w:val="00E81779"/>
    <w:rsid w:val="00EB61E2"/>
    <w:rsid w:val="00EC2F1B"/>
    <w:rsid w:val="00EE0A5C"/>
    <w:rsid w:val="00F27D45"/>
    <w:rsid w:val="00F30772"/>
    <w:rsid w:val="00F3194E"/>
    <w:rsid w:val="00F7381A"/>
    <w:rsid w:val="00FA0C70"/>
    <w:rsid w:val="00FA368B"/>
    <w:rsid w:val="00FA577B"/>
    <w:rsid w:val="00FB6159"/>
    <w:rsid w:val="00FC0FA2"/>
    <w:rsid w:val="00FC5243"/>
    <w:rsid w:val="00FD13A9"/>
    <w:rsid w:val="00FE4D72"/>
    <w:rsid w:val="00FF5030"/>
    <w:rsid w:val="6E6C4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2BC1F6"/>
  <w15:chartTrackingRefBased/>
  <w15:docId w15:val="{42D43679-2C48-43C9-9A73-D9832A31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DengXian Light"/>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DengXian Light"/>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DengXian Light"/>
      <w:color w:val="0F4761"/>
    </w:rPr>
  </w:style>
  <w:style w:type="paragraph" w:styleId="Heading6">
    <w:name w:val="heading 6"/>
    <w:basedOn w:val="Normal"/>
    <w:next w:val="Normal"/>
    <w:link w:val="Heading6Char"/>
    <w:uiPriority w:val="9"/>
    <w:qFormat/>
    <w:pPr>
      <w:keepNext/>
      <w:keepLines/>
      <w:spacing w:before="40" w:after="0"/>
      <w:outlineLvl w:val="5"/>
    </w:pPr>
    <w:rPr>
      <w:rFonts w:eastAsia="DengXian Light"/>
      <w:i/>
      <w:iCs/>
      <w:color w:val="585858"/>
    </w:rPr>
  </w:style>
  <w:style w:type="paragraph" w:styleId="Heading7">
    <w:name w:val="heading 7"/>
    <w:basedOn w:val="Normal"/>
    <w:next w:val="Normal"/>
    <w:link w:val="Heading7Char"/>
    <w:uiPriority w:val="9"/>
    <w:qFormat/>
    <w:pPr>
      <w:keepNext/>
      <w:keepLines/>
      <w:spacing w:before="40" w:after="0"/>
      <w:outlineLvl w:val="6"/>
    </w:pPr>
    <w:rPr>
      <w:rFonts w:eastAsia="DengXian Light"/>
      <w:color w:val="585858"/>
    </w:rPr>
  </w:style>
  <w:style w:type="paragraph" w:styleId="Heading8">
    <w:name w:val="heading 8"/>
    <w:basedOn w:val="Normal"/>
    <w:next w:val="Normal"/>
    <w:link w:val="Heading8Char"/>
    <w:uiPriority w:val="9"/>
    <w:qFormat/>
    <w:pPr>
      <w:keepNext/>
      <w:keepLines/>
      <w:spacing w:after="0"/>
      <w:outlineLvl w:val="7"/>
    </w:pPr>
    <w:rPr>
      <w:rFonts w:eastAsia="DengXian Light"/>
      <w:i/>
      <w:iCs/>
      <w:color w:val="262626"/>
    </w:rPr>
  </w:style>
  <w:style w:type="paragraph" w:styleId="Heading9">
    <w:name w:val="heading 9"/>
    <w:basedOn w:val="Normal"/>
    <w:next w:val="Normal"/>
    <w:link w:val="Heading9Char"/>
    <w:uiPriority w:val="9"/>
    <w:qFormat/>
    <w:pPr>
      <w:keepNext/>
      <w:keepLines/>
      <w:spacing w:after="0"/>
      <w:outlineLvl w:val="8"/>
    </w:pPr>
    <w:rPr>
      <w:rFonts w:eastAsia="DengXian Light"/>
      <w:color w:val="262626"/>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Pr>
      <w:rFonts w:ascii="Aptos Display" w:eastAsia="DengXian Light" w:hAnsi="Aptos Display" w:cs="Times New Roman"/>
      <w:color w:val="0F4761"/>
      <w:sz w:val="40"/>
      <w:szCs w:val="40"/>
    </w:rPr>
  </w:style>
  <w:style w:type="character" w:customStyle="1" w:styleId="Heading2Char">
    <w:name w:val="Heading 2 Char"/>
    <w:link w:val="Heading2"/>
    <w:uiPriority w:val="9"/>
    <w:semiHidden/>
    <w:rPr>
      <w:rFonts w:ascii="Aptos Display" w:eastAsia="DengXian Light" w:hAnsi="Aptos Display" w:cs="Times New Roman"/>
      <w:color w:val="0F4761"/>
      <w:sz w:val="32"/>
      <w:szCs w:val="32"/>
    </w:rPr>
  </w:style>
  <w:style w:type="character" w:customStyle="1" w:styleId="Heading3Char">
    <w:name w:val="Heading 3 Char"/>
    <w:link w:val="Heading3"/>
    <w:uiPriority w:val="9"/>
    <w:semiHidden/>
    <w:rPr>
      <w:rFonts w:eastAsia="DengXian Light" w:cs="Times New Roman"/>
      <w:color w:val="0F4761"/>
      <w:sz w:val="28"/>
      <w:szCs w:val="28"/>
    </w:rPr>
  </w:style>
  <w:style w:type="character" w:customStyle="1" w:styleId="Heading4Char">
    <w:name w:val="Heading 4 Char"/>
    <w:link w:val="Heading4"/>
    <w:uiPriority w:val="9"/>
    <w:semiHidden/>
    <w:rPr>
      <w:rFonts w:eastAsia="DengXian Light" w:cs="Times New Roman"/>
      <w:i/>
      <w:iCs/>
      <w:color w:val="0F4761"/>
    </w:rPr>
  </w:style>
  <w:style w:type="character" w:customStyle="1" w:styleId="Heading5Char">
    <w:name w:val="Heading 5 Char"/>
    <w:link w:val="Heading5"/>
    <w:uiPriority w:val="9"/>
    <w:semiHidden/>
    <w:rPr>
      <w:rFonts w:eastAsia="DengXian Light" w:cs="Times New Roman"/>
      <w:color w:val="0F4761"/>
    </w:rPr>
  </w:style>
  <w:style w:type="character" w:customStyle="1" w:styleId="Heading6Char">
    <w:name w:val="Heading 6 Char"/>
    <w:link w:val="Heading6"/>
    <w:uiPriority w:val="9"/>
    <w:semiHidden/>
    <w:rPr>
      <w:rFonts w:eastAsia="DengXian Light" w:cs="Times New Roman"/>
      <w:i/>
      <w:iCs/>
      <w:color w:val="585858"/>
    </w:rPr>
  </w:style>
  <w:style w:type="character" w:customStyle="1" w:styleId="Heading7Char">
    <w:name w:val="Heading 7 Char"/>
    <w:link w:val="Heading7"/>
    <w:uiPriority w:val="9"/>
    <w:semiHidden/>
    <w:rPr>
      <w:rFonts w:eastAsia="DengXian Light" w:cs="Times New Roman"/>
      <w:color w:val="585858"/>
    </w:rPr>
  </w:style>
  <w:style w:type="character" w:customStyle="1" w:styleId="Heading8Char">
    <w:name w:val="Heading 8 Char"/>
    <w:link w:val="Heading8"/>
    <w:uiPriority w:val="9"/>
    <w:semiHidden/>
    <w:rPr>
      <w:rFonts w:eastAsia="DengXian Light" w:cs="Times New Roman"/>
      <w:i/>
      <w:iCs/>
      <w:color w:val="262626"/>
    </w:rPr>
  </w:style>
  <w:style w:type="character" w:customStyle="1" w:styleId="Heading9Char">
    <w:name w:val="Heading 9 Char"/>
    <w:link w:val="Heading9"/>
    <w:uiPriority w:val="9"/>
    <w:semiHidden/>
    <w:rPr>
      <w:rFonts w:eastAsia="DengXian Light" w:cs="Times New Roman"/>
      <w:color w:val="262626"/>
    </w:rPr>
  </w:style>
  <w:style w:type="character" w:styleId="Hyperlink">
    <w:name w:val="Hyperlink"/>
    <w:uiPriority w:val="99"/>
    <w:unhideWhenUsed/>
    <w:rPr>
      <w:color w:val="467886"/>
      <w:u w:val="single"/>
    </w:rPr>
  </w:style>
  <w:style w:type="paragraph" w:styleId="Subtitle">
    <w:name w:val="Subtitle"/>
    <w:basedOn w:val="Normal"/>
    <w:next w:val="Normal"/>
    <w:link w:val="SubtitleChar"/>
    <w:uiPriority w:val="11"/>
    <w:qFormat/>
    <w:rPr>
      <w:rFonts w:eastAsia="DengXian Light"/>
      <w:color w:val="585858"/>
      <w:spacing w:val="15"/>
      <w:sz w:val="28"/>
      <w:szCs w:val="28"/>
    </w:rPr>
  </w:style>
  <w:style w:type="character" w:customStyle="1" w:styleId="SubtitleChar">
    <w:name w:val="Subtitle Char"/>
    <w:link w:val="Subtitle"/>
    <w:uiPriority w:val="11"/>
    <w:rPr>
      <w:rFonts w:eastAsia="DengXian Light" w:cs="Times New Roman"/>
      <w:color w:val="585858"/>
      <w:spacing w:val="15"/>
      <w:sz w:val="28"/>
      <w:szCs w:val="28"/>
    </w:rPr>
  </w:style>
  <w:style w:type="paragraph" w:styleId="Title">
    <w:name w:val="Title"/>
    <w:basedOn w:val="Normal"/>
    <w:next w:val="Normal"/>
    <w:link w:val="TitleChar"/>
    <w:uiPriority w:val="10"/>
    <w:qFormat/>
    <w:pPr>
      <w:spacing w:after="80" w:line="240" w:lineRule="auto"/>
      <w:contextualSpacing/>
    </w:pPr>
    <w:rPr>
      <w:rFonts w:ascii="Aptos Display" w:eastAsia="DengXian Light" w:hAnsi="Aptos Display"/>
      <w:spacing w:val="-10"/>
      <w:kern w:val="28"/>
      <w:sz w:val="56"/>
      <w:szCs w:val="56"/>
    </w:rPr>
  </w:style>
  <w:style w:type="character" w:customStyle="1" w:styleId="TitleChar">
    <w:name w:val="Title Char"/>
    <w:link w:val="Title"/>
    <w:uiPriority w:val="10"/>
    <w:rPr>
      <w:rFonts w:ascii="Aptos Display" w:eastAsia="DengXian Light" w:hAnsi="Aptos Display" w:cs="Times New Roman"/>
      <w:spacing w:val="-10"/>
      <w:kern w:val="28"/>
      <w:sz w:val="56"/>
      <w:szCs w:val="56"/>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link w:val="Quote"/>
    <w:uiPriority w:val="29"/>
    <w:rPr>
      <w:i/>
      <w:iCs/>
      <w:color w:val="3F3F3F"/>
    </w:rPr>
  </w:style>
  <w:style w:type="paragraph" w:styleId="ListParagraph">
    <w:name w:val="List Paragraph"/>
    <w:basedOn w:val="Normal"/>
    <w:uiPriority w:val="34"/>
    <w:qFormat/>
    <w:pPr>
      <w:ind w:left="720"/>
      <w:contextualSpacing/>
    </w:pPr>
  </w:style>
  <w:style w:type="character" w:styleId="IntenseEmphasis">
    <w:name w:val="Intense Emphasis"/>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Pr>
      <w:i/>
      <w:iCs/>
      <w:color w:val="0F4761"/>
    </w:rPr>
  </w:style>
  <w:style w:type="character" w:styleId="IntenseReference">
    <w:name w:val="Intense Reference"/>
    <w:uiPriority w:val="32"/>
    <w:qFormat/>
    <w:rPr>
      <w:b/>
      <w:bCs/>
      <w:smallCaps/>
      <w:color w:val="0F4761"/>
      <w:spacing w:val="5"/>
    </w:rPr>
  </w:style>
  <w:style w:type="character" w:styleId="UnresolvedMention">
    <w:name w:val="Unresolved Mention"/>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a.salazar.mu@gmail.com" TargetMode="External"/><Relationship Id="rId4" Type="http://schemas.openxmlformats.org/officeDocument/2006/relationships/hyperlink" Target="mailto:jsalazarm@southernperu.co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CharactersWithSpaces>
  <SharedDoc>false</SharedDoc>
  <HLinks>
    <vt:vector size="12" baseType="variant">
      <vt:variant>
        <vt:i4>7864404</vt:i4>
      </vt:variant>
      <vt:variant>
        <vt:i4>3</vt:i4>
      </vt:variant>
      <vt:variant>
        <vt:i4>0</vt:i4>
      </vt:variant>
      <vt:variant>
        <vt:i4>5</vt:i4>
      </vt:variant>
      <vt:variant>
        <vt:lpwstr>mailto:ja.salazar.mu@gmail.com</vt:lpwstr>
      </vt:variant>
      <vt:variant>
        <vt:lpwstr/>
      </vt:variant>
      <vt:variant>
        <vt:i4>1048675</vt:i4>
      </vt:variant>
      <vt:variant>
        <vt:i4>0</vt:i4>
      </vt:variant>
      <vt:variant>
        <vt:i4>0</vt:i4>
      </vt:variant>
      <vt:variant>
        <vt:i4>5</vt:i4>
      </vt:variant>
      <vt:variant>
        <vt:lpwstr>mailto:jsalazarm@southernperu.com.pe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Salazar Muñoz, Javier</dc:creator>
  <cp:keywords/>
  <cp:lastModifiedBy>Salas Arata, Melissa</cp:lastModifiedBy>
  <cp:revision>2</cp:revision>
  <dcterms:created xsi:type="dcterms:W3CDTF">2025-04-28T23:02:00Z</dcterms:created>
  <dcterms:modified xsi:type="dcterms:W3CDTF">2025-04-28T23:02:00Z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09D777D4C33A435DBC0AB91A59830160_13</vt:lpwstr>
  </property>
</Properties>
</file>