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A84A" w14:textId="7034CFF9" w:rsidR="64D07C35" w:rsidRDefault="64D07C35" w:rsidP="4E36C058">
      <w:pPr>
        <w:spacing w:line="360" w:lineRule="auto"/>
        <w:jc w:val="center"/>
        <w:rPr>
          <w:rFonts w:ascii="Arial" w:eastAsia="Arial" w:hAnsi="Arial" w:cs="Arial"/>
          <w:color w:val="000000" w:themeColor="text1"/>
        </w:rPr>
      </w:pPr>
      <w:r w:rsidRPr="4E36C058">
        <w:rPr>
          <w:rFonts w:ascii="Arial" w:eastAsia="Arial" w:hAnsi="Arial" w:cs="Arial"/>
          <w:color w:val="000000" w:themeColor="text1"/>
        </w:rPr>
        <w:t>FORO DE TECNOLOGÍA, INNOVACIÓN Y SOSTENIBILIDAD</w:t>
      </w:r>
    </w:p>
    <w:p w14:paraId="1A216DE8" w14:textId="7D373C5A" w:rsidR="64D07C35" w:rsidRDefault="64D07C35" w:rsidP="4E36C058">
      <w:pPr>
        <w:spacing w:line="360" w:lineRule="auto"/>
        <w:jc w:val="center"/>
        <w:rPr>
          <w:rFonts w:ascii="Arial" w:eastAsia="Arial" w:hAnsi="Arial" w:cs="Arial"/>
          <w:color w:val="000000" w:themeColor="text1"/>
        </w:rPr>
      </w:pPr>
      <w:r w:rsidRPr="4E36C058">
        <w:rPr>
          <w:rFonts w:ascii="Arial" w:eastAsia="Arial" w:hAnsi="Arial" w:cs="Arial"/>
          <w:color w:val="000000" w:themeColor="text1"/>
        </w:rPr>
        <w:t>CONVOCATORIA DE TRABAJOS TÉCNICOS</w:t>
      </w:r>
    </w:p>
    <w:p w14:paraId="0EDA1A27" w14:textId="211433F5" w:rsidR="64D07C35" w:rsidRDefault="64D07C35" w:rsidP="4E36C058">
      <w:pPr>
        <w:spacing w:line="360" w:lineRule="auto"/>
        <w:jc w:val="center"/>
        <w:rPr>
          <w:rFonts w:ascii="Arial" w:eastAsia="Arial" w:hAnsi="Arial" w:cs="Arial"/>
          <w:color w:val="000000" w:themeColor="text1"/>
        </w:rPr>
      </w:pPr>
      <w:r w:rsidRPr="4E36C058">
        <w:rPr>
          <w:rFonts w:ascii="Arial" w:eastAsia="Arial" w:hAnsi="Arial" w:cs="Arial"/>
          <w:color w:val="000000" w:themeColor="text1"/>
        </w:rPr>
        <w:t>PREMIO NACIONAL DE MINERÍA</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00"/>
        <w:gridCol w:w="4500"/>
      </w:tblGrid>
      <w:tr w:rsidR="4E36C058" w14:paraId="05AF92C2" w14:textId="77777777" w:rsidTr="2F69AA16">
        <w:trPr>
          <w:trHeight w:val="300"/>
        </w:trPr>
        <w:tc>
          <w:tcPr>
            <w:tcW w:w="4500" w:type="dxa"/>
            <w:tcBorders>
              <w:top w:val="single" w:sz="6" w:space="0" w:color="auto"/>
              <w:left w:val="single" w:sz="6" w:space="0" w:color="auto"/>
            </w:tcBorders>
            <w:tcMar>
              <w:left w:w="90" w:type="dxa"/>
              <w:right w:w="90" w:type="dxa"/>
            </w:tcMar>
            <w:vAlign w:val="center"/>
          </w:tcPr>
          <w:p w14:paraId="069FD869" w14:textId="50EC0C20" w:rsidR="4E36C058" w:rsidRDefault="4E36C058" w:rsidP="4E36C058">
            <w:pPr>
              <w:rPr>
                <w:rFonts w:ascii="Arial" w:eastAsia="Arial" w:hAnsi="Arial" w:cs="Arial"/>
              </w:rPr>
            </w:pPr>
            <w:r w:rsidRPr="4E36C058">
              <w:rPr>
                <w:rFonts w:ascii="Arial" w:eastAsia="Arial" w:hAnsi="Arial" w:cs="Arial"/>
                <w:b/>
                <w:bCs/>
              </w:rPr>
              <w:t>Título:</w:t>
            </w:r>
          </w:p>
        </w:tc>
        <w:tc>
          <w:tcPr>
            <w:tcW w:w="4500" w:type="dxa"/>
            <w:tcBorders>
              <w:top w:val="single" w:sz="6" w:space="0" w:color="auto"/>
              <w:right w:val="single" w:sz="6" w:space="0" w:color="auto"/>
            </w:tcBorders>
            <w:tcMar>
              <w:left w:w="90" w:type="dxa"/>
              <w:right w:w="90" w:type="dxa"/>
            </w:tcMar>
            <w:vAlign w:val="center"/>
          </w:tcPr>
          <w:p w14:paraId="3CA291CA" w14:textId="3829FFE3" w:rsidR="4E36C058" w:rsidRPr="00212187" w:rsidRDefault="00212187" w:rsidP="00212187">
            <w:pPr>
              <w:spacing w:line="276" w:lineRule="auto"/>
              <w:rPr>
                <w:rFonts w:ascii="Arial" w:hAnsi="Arial" w:cs="Arial"/>
                <w:color w:val="000000" w:themeColor="text1"/>
                <w:sz w:val="22"/>
                <w:szCs w:val="22"/>
              </w:rPr>
            </w:pPr>
            <w:hyperlink r:id="rId8" w:history="1">
              <w:r w:rsidRPr="00212187">
                <w:rPr>
                  <w:rStyle w:val="Hipervnculo"/>
                  <w:rFonts w:ascii="Arial" w:hAnsi="Arial" w:cs="Arial"/>
                  <w:color w:val="000000" w:themeColor="text1"/>
                  <w:u w:val="none"/>
                </w:rPr>
                <w:t>Estudio de Retorno Socio Ambiental de la Inversión – SEROI</w:t>
              </w:r>
            </w:hyperlink>
          </w:p>
        </w:tc>
      </w:tr>
      <w:tr w:rsidR="4E36C058" w14:paraId="6996729A" w14:textId="77777777" w:rsidTr="2F69AA16">
        <w:trPr>
          <w:trHeight w:val="300"/>
        </w:trPr>
        <w:tc>
          <w:tcPr>
            <w:tcW w:w="4500" w:type="dxa"/>
            <w:tcBorders>
              <w:left w:val="single" w:sz="6" w:space="0" w:color="auto"/>
            </w:tcBorders>
            <w:tcMar>
              <w:left w:w="90" w:type="dxa"/>
              <w:right w:w="90" w:type="dxa"/>
            </w:tcMar>
            <w:vAlign w:val="center"/>
          </w:tcPr>
          <w:p w14:paraId="38F5F8FD" w14:textId="446F0C09" w:rsidR="4E36C058" w:rsidRDefault="4E36C058" w:rsidP="4E36C058">
            <w:pPr>
              <w:rPr>
                <w:rFonts w:ascii="Arial" w:eastAsia="Arial" w:hAnsi="Arial" w:cs="Arial"/>
              </w:rPr>
            </w:pPr>
            <w:r w:rsidRPr="4E36C058">
              <w:rPr>
                <w:rFonts w:ascii="Arial" w:eastAsia="Arial" w:hAnsi="Arial" w:cs="Arial"/>
                <w:b/>
                <w:bCs/>
              </w:rPr>
              <w:t>Tema:</w:t>
            </w:r>
          </w:p>
        </w:tc>
        <w:tc>
          <w:tcPr>
            <w:tcW w:w="4500" w:type="dxa"/>
            <w:tcBorders>
              <w:right w:val="single" w:sz="6" w:space="0" w:color="auto"/>
            </w:tcBorders>
            <w:tcMar>
              <w:left w:w="90" w:type="dxa"/>
              <w:right w:w="90" w:type="dxa"/>
            </w:tcMar>
            <w:vAlign w:val="center"/>
          </w:tcPr>
          <w:p w14:paraId="6B516599" w14:textId="51B5D9DE" w:rsidR="4E36C058" w:rsidRDefault="4E36C058" w:rsidP="4E36C058">
            <w:pPr>
              <w:rPr>
                <w:rFonts w:ascii="Arial" w:eastAsia="Arial" w:hAnsi="Arial" w:cs="Arial"/>
              </w:rPr>
            </w:pPr>
            <w:r w:rsidRPr="4E36C058">
              <w:rPr>
                <w:rFonts w:ascii="Arial" w:eastAsia="Arial" w:hAnsi="Arial" w:cs="Arial"/>
              </w:rPr>
              <w:t>Gestión del agua en operaciones y el entorno.</w:t>
            </w:r>
          </w:p>
        </w:tc>
      </w:tr>
      <w:tr w:rsidR="4E36C058" w14:paraId="36B277B5" w14:textId="77777777" w:rsidTr="2F69AA16">
        <w:trPr>
          <w:trHeight w:val="300"/>
        </w:trPr>
        <w:tc>
          <w:tcPr>
            <w:tcW w:w="4500" w:type="dxa"/>
            <w:tcBorders>
              <w:left w:val="single" w:sz="6" w:space="0" w:color="auto"/>
            </w:tcBorders>
            <w:tcMar>
              <w:left w:w="90" w:type="dxa"/>
              <w:right w:w="90" w:type="dxa"/>
            </w:tcMar>
            <w:vAlign w:val="center"/>
          </w:tcPr>
          <w:p w14:paraId="6FA615AA" w14:textId="1A44F56B" w:rsidR="4E36C058" w:rsidRDefault="4E36C058" w:rsidP="4E36C058">
            <w:pPr>
              <w:rPr>
                <w:rFonts w:ascii="Arial" w:eastAsia="Arial" w:hAnsi="Arial" w:cs="Arial"/>
              </w:rPr>
            </w:pPr>
            <w:proofErr w:type="spellStart"/>
            <w:r w:rsidRPr="4E36C058">
              <w:rPr>
                <w:rFonts w:ascii="Arial" w:eastAsia="Arial" w:hAnsi="Arial" w:cs="Arial"/>
                <w:b/>
                <w:bCs/>
                <w:lang w:val="en-US"/>
              </w:rPr>
              <w:t>Categoría</w:t>
            </w:r>
            <w:proofErr w:type="spellEnd"/>
            <w:r w:rsidRPr="4E36C058">
              <w:rPr>
                <w:rFonts w:ascii="Arial" w:eastAsia="Arial" w:hAnsi="Arial" w:cs="Arial"/>
                <w:b/>
                <w:bCs/>
                <w:lang w:val="en-US"/>
              </w:rPr>
              <w:t>:</w:t>
            </w:r>
          </w:p>
        </w:tc>
        <w:tc>
          <w:tcPr>
            <w:tcW w:w="4500" w:type="dxa"/>
            <w:tcBorders>
              <w:right w:val="single" w:sz="6" w:space="0" w:color="auto"/>
            </w:tcBorders>
            <w:tcMar>
              <w:left w:w="90" w:type="dxa"/>
              <w:right w:w="90" w:type="dxa"/>
            </w:tcMar>
            <w:vAlign w:val="center"/>
          </w:tcPr>
          <w:p w14:paraId="5EBD7039" w14:textId="34F842E4" w:rsidR="4E36C058" w:rsidRDefault="4E36C058" w:rsidP="4E36C058">
            <w:pPr>
              <w:spacing w:line="360" w:lineRule="auto"/>
              <w:rPr>
                <w:rFonts w:ascii="Arial" w:eastAsia="Arial" w:hAnsi="Arial" w:cs="Arial"/>
              </w:rPr>
            </w:pPr>
            <w:r w:rsidRPr="4E36C058">
              <w:rPr>
                <w:rFonts w:ascii="Arial" w:eastAsia="Arial" w:hAnsi="Arial" w:cs="Arial"/>
                <w:lang w:val="en-US"/>
              </w:rPr>
              <w:t>ESG (Environmental, Social, Governance)</w:t>
            </w:r>
          </w:p>
        </w:tc>
      </w:tr>
      <w:tr w:rsidR="4E36C058" w14:paraId="6F680860" w14:textId="77777777" w:rsidTr="2F69AA16">
        <w:trPr>
          <w:trHeight w:val="300"/>
        </w:trPr>
        <w:tc>
          <w:tcPr>
            <w:tcW w:w="4500" w:type="dxa"/>
            <w:tcBorders>
              <w:left w:val="single" w:sz="6" w:space="0" w:color="auto"/>
            </w:tcBorders>
            <w:tcMar>
              <w:left w:w="90" w:type="dxa"/>
              <w:right w:w="90" w:type="dxa"/>
            </w:tcMar>
            <w:vAlign w:val="center"/>
          </w:tcPr>
          <w:p w14:paraId="75880C7F" w14:textId="6E868212" w:rsidR="4E36C058" w:rsidRDefault="4E36C058" w:rsidP="4E36C058">
            <w:pPr>
              <w:rPr>
                <w:rFonts w:ascii="Arial" w:eastAsia="Arial" w:hAnsi="Arial" w:cs="Arial"/>
              </w:rPr>
            </w:pPr>
            <w:r w:rsidRPr="4E36C058">
              <w:rPr>
                <w:rFonts w:ascii="Arial" w:eastAsia="Arial" w:hAnsi="Arial" w:cs="Arial"/>
                <w:b/>
                <w:bCs/>
              </w:rPr>
              <w:t>Datos del autor:</w:t>
            </w:r>
          </w:p>
        </w:tc>
        <w:tc>
          <w:tcPr>
            <w:tcW w:w="4500" w:type="dxa"/>
            <w:tcBorders>
              <w:right w:val="single" w:sz="6" w:space="0" w:color="auto"/>
            </w:tcBorders>
            <w:tcMar>
              <w:left w:w="90" w:type="dxa"/>
              <w:right w:w="90" w:type="dxa"/>
            </w:tcMar>
            <w:vAlign w:val="center"/>
          </w:tcPr>
          <w:p w14:paraId="0141BDEC" w14:textId="18D2E656" w:rsidR="4E36C058" w:rsidRDefault="4E36C058" w:rsidP="4E36C058">
            <w:pPr>
              <w:rPr>
                <w:rFonts w:ascii="Arial" w:eastAsia="Arial" w:hAnsi="Arial" w:cs="Arial"/>
              </w:rPr>
            </w:pPr>
            <w:r w:rsidRPr="4E36C058">
              <w:rPr>
                <w:rFonts w:ascii="Arial" w:eastAsia="Arial" w:hAnsi="Arial" w:cs="Arial"/>
              </w:rPr>
              <w:t>Dante Aguilar Onofre</w:t>
            </w:r>
          </w:p>
        </w:tc>
      </w:tr>
      <w:tr w:rsidR="4E36C058" w14:paraId="3D9039C9" w14:textId="77777777" w:rsidTr="2F69AA16">
        <w:trPr>
          <w:trHeight w:val="300"/>
        </w:trPr>
        <w:tc>
          <w:tcPr>
            <w:tcW w:w="4500" w:type="dxa"/>
            <w:tcBorders>
              <w:left w:val="single" w:sz="6" w:space="0" w:color="auto"/>
            </w:tcBorders>
            <w:tcMar>
              <w:left w:w="90" w:type="dxa"/>
              <w:right w:w="90" w:type="dxa"/>
            </w:tcMar>
            <w:vAlign w:val="center"/>
          </w:tcPr>
          <w:p w14:paraId="07396388" w14:textId="3AD26B76" w:rsidR="4E36C058" w:rsidRDefault="4E36C058" w:rsidP="4E36C058">
            <w:pPr>
              <w:rPr>
                <w:rFonts w:ascii="Arial" w:eastAsia="Arial" w:hAnsi="Arial" w:cs="Arial"/>
              </w:rPr>
            </w:pPr>
            <w:r w:rsidRPr="4E36C058">
              <w:rPr>
                <w:rFonts w:ascii="Arial" w:eastAsia="Arial" w:hAnsi="Arial" w:cs="Arial"/>
                <w:b/>
                <w:bCs/>
              </w:rPr>
              <w:t>Cargo:</w:t>
            </w:r>
          </w:p>
        </w:tc>
        <w:tc>
          <w:tcPr>
            <w:tcW w:w="4500" w:type="dxa"/>
            <w:tcBorders>
              <w:right w:val="single" w:sz="6" w:space="0" w:color="auto"/>
            </w:tcBorders>
            <w:tcMar>
              <w:left w:w="90" w:type="dxa"/>
              <w:right w:w="90" w:type="dxa"/>
            </w:tcMar>
            <w:vAlign w:val="center"/>
          </w:tcPr>
          <w:p w14:paraId="5BB730A3" w14:textId="7088E762" w:rsidR="4E36C058" w:rsidRDefault="4E36C058" w:rsidP="4E36C058">
            <w:pPr>
              <w:rPr>
                <w:rFonts w:ascii="Arial" w:eastAsia="Arial" w:hAnsi="Arial" w:cs="Arial"/>
              </w:rPr>
            </w:pPr>
            <w:r w:rsidRPr="4E36C058">
              <w:rPr>
                <w:rFonts w:ascii="Arial" w:eastAsia="Arial" w:hAnsi="Arial" w:cs="Arial"/>
              </w:rPr>
              <w:t>Gerente de Inversión Privada</w:t>
            </w:r>
          </w:p>
        </w:tc>
      </w:tr>
      <w:tr w:rsidR="4E36C058" w14:paraId="529FC101" w14:textId="77777777" w:rsidTr="2F69AA16">
        <w:trPr>
          <w:trHeight w:val="300"/>
        </w:trPr>
        <w:tc>
          <w:tcPr>
            <w:tcW w:w="4500" w:type="dxa"/>
            <w:tcBorders>
              <w:left w:val="single" w:sz="6" w:space="0" w:color="auto"/>
            </w:tcBorders>
            <w:tcMar>
              <w:left w:w="90" w:type="dxa"/>
              <w:right w:w="90" w:type="dxa"/>
            </w:tcMar>
            <w:vAlign w:val="center"/>
          </w:tcPr>
          <w:p w14:paraId="7805B14C" w14:textId="414ABA90" w:rsidR="4E36C058" w:rsidRDefault="4E36C058" w:rsidP="4E36C058">
            <w:pPr>
              <w:rPr>
                <w:rFonts w:ascii="Arial" w:eastAsia="Arial" w:hAnsi="Arial" w:cs="Arial"/>
              </w:rPr>
            </w:pPr>
            <w:r w:rsidRPr="4E36C058">
              <w:rPr>
                <w:rFonts w:ascii="Arial" w:eastAsia="Arial" w:hAnsi="Arial" w:cs="Arial"/>
                <w:b/>
                <w:bCs/>
              </w:rPr>
              <w:t>Empresa:</w:t>
            </w:r>
          </w:p>
        </w:tc>
        <w:tc>
          <w:tcPr>
            <w:tcW w:w="4500" w:type="dxa"/>
            <w:tcBorders>
              <w:right w:val="single" w:sz="6" w:space="0" w:color="auto"/>
            </w:tcBorders>
            <w:tcMar>
              <w:left w:w="90" w:type="dxa"/>
              <w:right w:w="90" w:type="dxa"/>
            </w:tcMar>
            <w:vAlign w:val="center"/>
          </w:tcPr>
          <w:p w14:paraId="0810114C" w14:textId="09445AB0" w:rsidR="4E36C058" w:rsidRDefault="4E36C058" w:rsidP="4E36C058">
            <w:pPr>
              <w:rPr>
                <w:rFonts w:ascii="Arial" w:eastAsia="Arial" w:hAnsi="Arial" w:cs="Arial"/>
              </w:rPr>
            </w:pPr>
            <w:r w:rsidRPr="4E36C058">
              <w:rPr>
                <w:rFonts w:ascii="Arial" w:eastAsia="Arial" w:hAnsi="Arial" w:cs="Arial"/>
              </w:rPr>
              <w:t>Activos Mineros S.A.C.</w:t>
            </w:r>
          </w:p>
        </w:tc>
      </w:tr>
      <w:tr w:rsidR="4E36C058" w14:paraId="29C8528E" w14:textId="77777777" w:rsidTr="2F69AA16">
        <w:trPr>
          <w:trHeight w:val="300"/>
        </w:trPr>
        <w:tc>
          <w:tcPr>
            <w:tcW w:w="4500" w:type="dxa"/>
            <w:tcBorders>
              <w:left w:val="single" w:sz="6" w:space="0" w:color="auto"/>
            </w:tcBorders>
            <w:tcMar>
              <w:left w:w="90" w:type="dxa"/>
              <w:right w:w="90" w:type="dxa"/>
            </w:tcMar>
            <w:vAlign w:val="center"/>
          </w:tcPr>
          <w:p w14:paraId="45942F7A" w14:textId="026EFE4F" w:rsidR="4E36C058" w:rsidRDefault="4E36C058" w:rsidP="4E36C058">
            <w:pPr>
              <w:rPr>
                <w:rFonts w:ascii="Arial" w:eastAsia="Arial" w:hAnsi="Arial" w:cs="Arial"/>
              </w:rPr>
            </w:pPr>
            <w:r w:rsidRPr="4E36C058">
              <w:rPr>
                <w:rFonts w:ascii="Arial" w:eastAsia="Arial" w:hAnsi="Arial" w:cs="Arial"/>
                <w:b/>
                <w:bCs/>
              </w:rPr>
              <w:t>Correo corporativo:</w:t>
            </w:r>
          </w:p>
        </w:tc>
        <w:tc>
          <w:tcPr>
            <w:tcW w:w="4500" w:type="dxa"/>
            <w:tcBorders>
              <w:right w:val="single" w:sz="6" w:space="0" w:color="auto"/>
            </w:tcBorders>
            <w:tcMar>
              <w:left w:w="90" w:type="dxa"/>
              <w:right w:w="90" w:type="dxa"/>
            </w:tcMar>
            <w:vAlign w:val="center"/>
          </w:tcPr>
          <w:p w14:paraId="01F5504A" w14:textId="00F4300F" w:rsidR="4E36C058" w:rsidRDefault="4E36C058" w:rsidP="6D860E73">
            <w:pPr>
              <w:rPr>
                <w:rFonts w:ascii="Arial" w:eastAsia="Arial" w:hAnsi="Arial" w:cs="Arial"/>
              </w:rPr>
            </w:pPr>
            <w:hyperlink r:id="rId9">
              <w:r w:rsidRPr="6D860E73">
                <w:rPr>
                  <w:rStyle w:val="Hipervnculo"/>
                  <w:rFonts w:ascii="Arial" w:eastAsia="Arial" w:hAnsi="Arial" w:cs="Arial"/>
                </w:rPr>
                <w:t>Dante.Aguilar@amsac.pe</w:t>
              </w:r>
            </w:hyperlink>
          </w:p>
        </w:tc>
      </w:tr>
      <w:tr w:rsidR="4E36C058" w14:paraId="5FD36B49" w14:textId="77777777" w:rsidTr="2F69AA16">
        <w:trPr>
          <w:trHeight w:val="300"/>
        </w:trPr>
        <w:tc>
          <w:tcPr>
            <w:tcW w:w="4500" w:type="dxa"/>
            <w:tcBorders>
              <w:left w:val="single" w:sz="6" w:space="0" w:color="auto"/>
            </w:tcBorders>
            <w:tcMar>
              <w:left w:w="90" w:type="dxa"/>
              <w:right w:w="90" w:type="dxa"/>
            </w:tcMar>
            <w:vAlign w:val="center"/>
          </w:tcPr>
          <w:p w14:paraId="625760D9" w14:textId="3DDF50CA" w:rsidR="4E36C058" w:rsidRDefault="4E36C058" w:rsidP="4E36C058">
            <w:pPr>
              <w:rPr>
                <w:rFonts w:ascii="Arial" w:eastAsia="Arial" w:hAnsi="Arial" w:cs="Arial"/>
              </w:rPr>
            </w:pPr>
            <w:r w:rsidRPr="4E36C058">
              <w:rPr>
                <w:rFonts w:ascii="Arial" w:eastAsia="Arial" w:hAnsi="Arial" w:cs="Arial"/>
                <w:b/>
                <w:bCs/>
              </w:rPr>
              <w:t>Correo personal:</w:t>
            </w:r>
          </w:p>
        </w:tc>
        <w:tc>
          <w:tcPr>
            <w:tcW w:w="4500" w:type="dxa"/>
            <w:tcBorders>
              <w:right w:val="single" w:sz="6" w:space="0" w:color="auto"/>
            </w:tcBorders>
            <w:tcMar>
              <w:left w:w="90" w:type="dxa"/>
              <w:right w:w="90" w:type="dxa"/>
            </w:tcMar>
            <w:vAlign w:val="center"/>
          </w:tcPr>
          <w:p w14:paraId="3250DDE8" w14:textId="36BA0E55" w:rsidR="4E36C058" w:rsidRDefault="4E36C058" w:rsidP="6D860E73">
            <w:pPr>
              <w:rPr>
                <w:rFonts w:ascii="Arial" w:eastAsia="Arial" w:hAnsi="Arial" w:cs="Arial"/>
              </w:rPr>
            </w:pPr>
            <w:hyperlink r:id="rId10">
              <w:r w:rsidRPr="6D860E73">
                <w:rPr>
                  <w:rStyle w:val="Hipervnculo"/>
                  <w:rFonts w:ascii="Arial" w:eastAsia="Arial" w:hAnsi="Arial" w:cs="Arial"/>
                </w:rPr>
                <w:t>dante.aguilar@outlook.com</w:t>
              </w:r>
            </w:hyperlink>
          </w:p>
        </w:tc>
      </w:tr>
      <w:tr w:rsidR="4E36C058" w14:paraId="2A2E80B9" w14:textId="77777777" w:rsidTr="2F69AA16">
        <w:trPr>
          <w:trHeight w:val="300"/>
        </w:trPr>
        <w:tc>
          <w:tcPr>
            <w:tcW w:w="4500" w:type="dxa"/>
            <w:tcBorders>
              <w:left w:val="single" w:sz="6" w:space="0" w:color="auto"/>
            </w:tcBorders>
            <w:tcMar>
              <w:left w:w="90" w:type="dxa"/>
              <w:right w:w="90" w:type="dxa"/>
            </w:tcMar>
            <w:vAlign w:val="center"/>
          </w:tcPr>
          <w:p w14:paraId="14DACF47" w14:textId="38899C65" w:rsidR="4E36C058" w:rsidRDefault="4E36C058" w:rsidP="4E36C058">
            <w:pPr>
              <w:rPr>
                <w:rFonts w:ascii="Arial" w:eastAsia="Arial" w:hAnsi="Arial" w:cs="Arial"/>
              </w:rPr>
            </w:pPr>
            <w:r w:rsidRPr="4E36C058">
              <w:rPr>
                <w:rFonts w:ascii="Arial" w:eastAsia="Arial" w:hAnsi="Arial" w:cs="Arial"/>
                <w:b/>
                <w:bCs/>
              </w:rPr>
              <w:t>Dirección:</w:t>
            </w:r>
          </w:p>
        </w:tc>
        <w:tc>
          <w:tcPr>
            <w:tcW w:w="4500" w:type="dxa"/>
            <w:tcBorders>
              <w:right w:val="single" w:sz="6" w:space="0" w:color="auto"/>
            </w:tcBorders>
            <w:tcMar>
              <w:left w:w="90" w:type="dxa"/>
              <w:right w:w="90" w:type="dxa"/>
            </w:tcMar>
            <w:vAlign w:val="center"/>
          </w:tcPr>
          <w:p w14:paraId="4DA36F35" w14:textId="574881CA" w:rsidR="4E36C058" w:rsidRDefault="4E36C058" w:rsidP="4E36C058">
            <w:pPr>
              <w:rPr>
                <w:rFonts w:ascii="Arial" w:eastAsia="Arial" w:hAnsi="Arial" w:cs="Arial"/>
                <w:color w:val="2A2A2A"/>
              </w:rPr>
            </w:pPr>
            <w:r w:rsidRPr="4E36C058">
              <w:rPr>
                <w:rFonts w:ascii="Arial" w:eastAsia="Arial" w:hAnsi="Arial" w:cs="Arial"/>
                <w:color w:val="2A2A2A"/>
              </w:rPr>
              <w:t>Calle Domingo Elías 148, Lima 18 - Perú</w:t>
            </w:r>
          </w:p>
        </w:tc>
      </w:tr>
      <w:tr w:rsidR="4E36C058" w14:paraId="5D742751" w14:textId="77777777" w:rsidTr="2F69AA16">
        <w:trPr>
          <w:trHeight w:val="300"/>
        </w:trPr>
        <w:tc>
          <w:tcPr>
            <w:tcW w:w="4500" w:type="dxa"/>
            <w:tcBorders>
              <w:left w:val="single" w:sz="6" w:space="0" w:color="auto"/>
            </w:tcBorders>
            <w:tcMar>
              <w:left w:w="90" w:type="dxa"/>
              <w:right w:w="90" w:type="dxa"/>
            </w:tcMar>
            <w:vAlign w:val="center"/>
          </w:tcPr>
          <w:p w14:paraId="50A5DB85" w14:textId="7CCD897D" w:rsidR="4E36C058" w:rsidRDefault="4E36C058" w:rsidP="4E36C058">
            <w:pPr>
              <w:rPr>
                <w:rFonts w:ascii="Arial" w:eastAsia="Arial" w:hAnsi="Arial" w:cs="Arial"/>
              </w:rPr>
            </w:pPr>
            <w:r w:rsidRPr="4E36C058">
              <w:rPr>
                <w:rFonts w:ascii="Arial" w:eastAsia="Arial" w:hAnsi="Arial" w:cs="Arial"/>
                <w:b/>
                <w:bCs/>
              </w:rPr>
              <w:t>Celular:</w:t>
            </w:r>
          </w:p>
        </w:tc>
        <w:tc>
          <w:tcPr>
            <w:tcW w:w="4500" w:type="dxa"/>
            <w:tcBorders>
              <w:right w:val="single" w:sz="6" w:space="0" w:color="auto"/>
            </w:tcBorders>
            <w:tcMar>
              <w:left w:w="90" w:type="dxa"/>
              <w:right w:w="90" w:type="dxa"/>
            </w:tcMar>
            <w:vAlign w:val="center"/>
          </w:tcPr>
          <w:p w14:paraId="249B43E2" w14:textId="586882AB" w:rsidR="4E36C058" w:rsidRDefault="4E36C058" w:rsidP="4E36C058">
            <w:pPr>
              <w:rPr>
                <w:rFonts w:ascii="Arial" w:eastAsia="Arial" w:hAnsi="Arial" w:cs="Arial"/>
              </w:rPr>
            </w:pPr>
            <w:r w:rsidRPr="4E36C058">
              <w:rPr>
                <w:rFonts w:ascii="Arial" w:eastAsia="Arial" w:hAnsi="Arial" w:cs="Arial"/>
              </w:rPr>
              <w:t>969456983</w:t>
            </w:r>
          </w:p>
        </w:tc>
      </w:tr>
      <w:tr w:rsidR="4E36C058" w14:paraId="5FC27851" w14:textId="77777777" w:rsidTr="2F69AA16">
        <w:trPr>
          <w:trHeight w:val="300"/>
        </w:trPr>
        <w:tc>
          <w:tcPr>
            <w:tcW w:w="4500" w:type="dxa"/>
            <w:tcBorders>
              <w:left w:val="single" w:sz="6" w:space="0" w:color="auto"/>
            </w:tcBorders>
            <w:tcMar>
              <w:left w:w="90" w:type="dxa"/>
              <w:right w:w="90" w:type="dxa"/>
            </w:tcMar>
            <w:vAlign w:val="center"/>
          </w:tcPr>
          <w:p w14:paraId="5AB32ECA" w14:textId="66585E88" w:rsidR="4E36C058" w:rsidRDefault="4E36C058" w:rsidP="4E36C058">
            <w:pPr>
              <w:rPr>
                <w:rFonts w:ascii="Arial" w:eastAsia="Arial" w:hAnsi="Arial" w:cs="Arial"/>
              </w:rPr>
            </w:pPr>
            <w:r w:rsidRPr="4E36C058">
              <w:rPr>
                <w:rFonts w:ascii="Arial" w:eastAsia="Arial" w:hAnsi="Arial" w:cs="Arial"/>
                <w:b/>
                <w:bCs/>
              </w:rPr>
              <w:t>Reseña profesional:</w:t>
            </w:r>
          </w:p>
        </w:tc>
        <w:tc>
          <w:tcPr>
            <w:tcW w:w="4500" w:type="dxa"/>
            <w:tcBorders>
              <w:right w:val="single" w:sz="6" w:space="0" w:color="auto"/>
            </w:tcBorders>
            <w:tcMar>
              <w:left w:w="90" w:type="dxa"/>
              <w:right w:w="90" w:type="dxa"/>
            </w:tcMar>
            <w:vAlign w:val="center"/>
          </w:tcPr>
          <w:p w14:paraId="1B5798AA" w14:textId="68757A7F" w:rsidR="4E36C058" w:rsidRDefault="4E36C058" w:rsidP="4E36C058">
            <w:pPr>
              <w:rPr>
                <w:rFonts w:ascii="Arial" w:eastAsia="Arial" w:hAnsi="Arial" w:cs="Arial"/>
              </w:rPr>
            </w:pPr>
            <w:r w:rsidRPr="4E36C058">
              <w:rPr>
                <w:rFonts w:ascii="Arial" w:eastAsia="Arial" w:hAnsi="Arial" w:cs="Arial"/>
              </w:rPr>
              <w:t xml:space="preserve">Abogado senior con sólida trayectoria en el ámbito corporativo, especializado en sectores estratégicos como energía, minería, infraestructura y promoción de la inversión privada. Ha liderado áreas legales en empresas de alto impacto como ProInversión, Grupo Gloria y Activos Mineros S.A.C., destacando por su enfoque en cumplimiento normativo, prevención de contingencias y resolución de controversias. Posee formación académica robusta, con un Máster en Derecho Internacional de la Empresa y estudios de maestría en Regulación y Gestión Empresarial. Su perfil combina </w:t>
            </w:r>
            <w:proofErr w:type="spellStart"/>
            <w:r w:rsidRPr="4E36C058">
              <w:rPr>
                <w:rFonts w:ascii="Arial" w:eastAsia="Arial" w:hAnsi="Arial" w:cs="Arial"/>
              </w:rPr>
              <w:t>expertise</w:t>
            </w:r>
            <w:proofErr w:type="spellEnd"/>
            <w:r w:rsidRPr="4E36C058">
              <w:rPr>
                <w:rFonts w:ascii="Arial" w:eastAsia="Arial" w:hAnsi="Arial" w:cs="Arial"/>
              </w:rPr>
              <w:t xml:space="preserve"> técnico, visión estratégica y liderazgo probado en entornos complejos y regulados.</w:t>
            </w:r>
          </w:p>
        </w:tc>
      </w:tr>
      <w:tr w:rsidR="4E36C058" w14:paraId="154C3030" w14:textId="77777777" w:rsidTr="2F69AA16">
        <w:trPr>
          <w:trHeight w:val="300"/>
        </w:trPr>
        <w:tc>
          <w:tcPr>
            <w:tcW w:w="4500" w:type="dxa"/>
            <w:tcBorders>
              <w:left w:val="single" w:sz="6" w:space="0" w:color="auto"/>
              <w:bottom w:val="single" w:sz="6" w:space="0" w:color="auto"/>
            </w:tcBorders>
            <w:tcMar>
              <w:left w:w="90" w:type="dxa"/>
              <w:right w:w="90" w:type="dxa"/>
            </w:tcMar>
            <w:vAlign w:val="center"/>
          </w:tcPr>
          <w:p w14:paraId="65113B7D" w14:textId="69CE9205" w:rsidR="4E36C058" w:rsidRDefault="4E36C058" w:rsidP="4E36C058">
            <w:pPr>
              <w:rPr>
                <w:rFonts w:ascii="Arial" w:eastAsia="Arial" w:hAnsi="Arial" w:cs="Arial"/>
              </w:rPr>
            </w:pPr>
            <w:r w:rsidRPr="4E36C058">
              <w:rPr>
                <w:rFonts w:ascii="Arial" w:eastAsia="Arial" w:hAnsi="Arial" w:cs="Arial"/>
                <w:b/>
                <w:bCs/>
              </w:rPr>
              <w:t>Palabras claves:</w:t>
            </w:r>
          </w:p>
        </w:tc>
        <w:tc>
          <w:tcPr>
            <w:tcW w:w="4500" w:type="dxa"/>
            <w:tcBorders>
              <w:bottom w:val="single" w:sz="6" w:space="0" w:color="auto"/>
              <w:right w:val="single" w:sz="6" w:space="0" w:color="auto"/>
            </w:tcBorders>
            <w:tcMar>
              <w:left w:w="90" w:type="dxa"/>
              <w:right w:w="90" w:type="dxa"/>
            </w:tcMar>
            <w:vAlign w:val="center"/>
          </w:tcPr>
          <w:p w14:paraId="38266B99" w14:textId="06C31BE4" w:rsidR="3FA1A0D9" w:rsidRDefault="3FA1A0D9" w:rsidP="6D860E73">
            <w:pPr>
              <w:rPr>
                <w:rFonts w:ascii="Arial" w:eastAsia="Arial" w:hAnsi="Arial" w:cs="Arial"/>
              </w:rPr>
            </w:pPr>
            <w:r w:rsidRPr="6D860E73">
              <w:rPr>
                <w:rFonts w:ascii="Arial" w:eastAsia="Arial" w:hAnsi="Arial" w:cs="Arial"/>
              </w:rPr>
              <w:t>Ladrillos ecológicos, aguas ácidas mineras, lodos de tratamiento, drenaje ácido de mina, revalorización minera, materiales sostenibles</w:t>
            </w:r>
          </w:p>
          <w:p w14:paraId="2BE43ADB" w14:textId="015EABC7" w:rsidR="4E36C058" w:rsidRDefault="4E36C058" w:rsidP="6D860E73">
            <w:pPr>
              <w:rPr>
                <w:rFonts w:ascii="Arial" w:eastAsia="Arial" w:hAnsi="Arial" w:cs="Arial"/>
              </w:rPr>
            </w:pPr>
          </w:p>
        </w:tc>
      </w:tr>
    </w:tbl>
    <w:p w14:paraId="479CD905" w14:textId="77777777" w:rsidR="00212187" w:rsidRDefault="00212187" w:rsidP="6D860E73">
      <w:pPr>
        <w:spacing w:before="281" w:after="281"/>
        <w:rPr>
          <w:rFonts w:ascii="Arial" w:eastAsia="Arial" w:hAnsi="Arial" w:cs="Arial"/>
          <w:b/>
          <w:bCs/>
        </w:rPr>
      </w:pPr>
    </w:p>
    <w:p w14:paraId="078E9ACD" w14:textId="77777777" w:rsidR="00212187" w:rsidRDefault="00212187" w:rsidP="6D860E73">
      <w:pPr>
        <w:spacing w:before="281" w:after="281"/>
        <w:rPr>
          <w:rFonts w:ascii="Arial" w:eastAsia="Arial" w:hAnsi="Arial" w:cs="Arial"/>
          <w:b/>
          <w:bCs/>
        </w:rPr>
      </w:pPr>
    </w:p>
    <w:p w14:paraId="29299656" w14:textId="678229E8" w:rsidR="0FC105E6" w:rsidRDefault="7F3E744A" w:rsidP="6D860E73">
      <w:pPr>
        <w:spacing w:before="281" w:after="281"/>
        <w:rPr>
          <w:rFonts w:ascii="Arial" w:eastAsia="Arial" w:hAnsi="Arial" w:cs="Arial"/>
          <w:b/>
          <w:bCs/>
        </w:rPr>
      </w:pPr>
      <w:r w:rsidRPr="6D860E73">
        <w:rPr>
          <w:rFonts w:ascii="Arial" w:eastAsia="Arial" w:hAnsi="Arial" w:cs="Arial"/>
          <w:b/>
          <w:bCs/>
        </w:rPr>
        <w:lastRenderedPageBreak/>
        <w:t>1. Contexto o escenario del trabajo</w:t>
      </w:r>
    </w:p>
    <w:p w14:paraId="3C889CED" w14:textId="4F9D53BB" w:rsidR="00E263BF" w:rsidRPr="00E263BF" w:rsidRDefault="00E263BF" w:rsidP="00E263BF">
      <w:pPr>
        <w:spacing w:line="360" w:lineRule="auto"/>
        <w:rPr>
          <w:rFonts w:ascii="Arial" w:eastAsia="Arial" w:hAnsi="Arial" w:cs="Arial"/>
        </w:rPr>
      </w:pPr>
      <w:r w:rsidRPr="00E263BF">
        <w:rPr>
          <w:rFonts w:ascii="Arial" w:eastAsia="Arial" w:hAnsi="Arial" w:cs="Arial"/>
        </w:rPr>
        <w:t>El presente trabajo se en</w:t>
      </w:r>
      <w:r w:rsidR="00F61167">
        <w:rPr>
          <w:rFonts w:ascii="Arial" w:eastAsia="Arial" w:hAnsi="Arial" w:cs="Arial"/>
        </w:rPr>
        <w:t>foca</w:t>
      </w:r>
      <w:r w:rsidRPr="00E263BF">
        <w:rPr>
          <w:rFonts w:ascii="Arial" w:eastAsia="Arial" w:hAnsi="Arial" w:cs="Arial"/>
        </w:rPr>
        <w:t xml:space="preserve"> en la necesidad crítica de abordar los pasivos ambientales mineros (PAM) generados por décadas de actividad minera intensiva en los Andes peruanos, particularmente en las regiones de Pasco y Junín. Estos pasivos han dejado una huella significativa en los ecosistemas altoandinos y en la salud de las comunidades locales, especialmente en áreas como Cerro de Pasco y La Oroya, altamente afectadas por la contaminación de metales pesados.</w:t>
      </w:r>
    </w:p>
    <w:p w14:paraId="5FF90B82" w14:textId="77777777" w:rsidR="00E263BF" w:rsidRPr="00E263BF" w:rsidRDefault="00E263BF" w:rsidP="00E263BF">
      <w:pPr>
        <w:spacing w:line="360" w:lineRule="auto"/>
        <w:rPr>
          <w:rFonts w:ascii="Arial" w:eastAsia="Arial" w:hAnsi="Arial" w:cs="Arial"/>
        </w:rPr>
      </w:pPr>
      <w:r w:rsidRPr="00E263BF">
        <w:rPr>
          <w:rFonts w:ascii="Arial" w:eastAsia="Arial" w:hAnsi="Arial" w:cs="Arial"/>
        </w:rPr>
        <w:t>Ante este escenario, el Estado peruano ha asumido un rol activo en la remediación de estos sitios mediante su empresa Activos Mineros SAC (AMSAC), destinando más de 340 millones de soles en una amplia cartera de proyectos. Dentro de este marco se desarrolla el Estudio de Retorno Socio-Ambiental de la Inversión (SEROI), como una herramienta innovadora para cuantificar el valor agregado a la sociedad y al medio ambiente por estas intervenciones.</w:t>
      </w:r>
    </w:p>
    <w:p w14:paraId="703B6B24" w14:textId="77777777" w:rsidR="00E263BF" w:rsidRPr="00E263BF" w:rsidRDefault="00E263BF" w:rsidP="00E263BF">
      <w:pPr>
        <w:spacing w:line="360" w:lineRule="auto"/>
        <w:rPr>
          <w:rFonts w:ascii="Arial" w:eastAsia="Arial" w:hAnsi="Arial" w:cs="Arial"/>
        </w:rPr>
      </w:pPr>
      <w:r w:rsidRPr="00E263BF">
        <w:rPr>
          <w:rFonts w:ascii="Arial" w:eastAsia="Arial" w:hAnsi="Arial" w:cs="Arial"/>
        </w:rPr>
        <w:t>Este estudio, resultado de la colaboración entre AMSAC y la Universidad Peruana Cayetano Heredia (UPCH), analiza tres proyectos emblemáticos de remediación: Excélsior y Delta de Upamayo en Pasco, y Calioc-Chacrapuquio en Junín. Cada uno de estos proyectos aborda problemáticas específicas como la estabilización de desmontes, la recuperación de ecosistemas afectados por sedimentos contaminados, y la revegetación de suelos degradados.</w:t>
      </w:r>
    </w:p>
    <w:p w14:paraId="70B58C95" w14:textId="77777777" w:rsidR="00E263BF" w:rsidRDefault="00E263BF" w:rsidP="00E263BF">
      <w:pPr>
        <w:spacing w:line="360" w:lineRule="auto"/>
        <w:rPr>
          <w:rFonts w:ascii="Arial" w:eastAsia="Arial" w:hAnsi="Arial" w:cs="Arial"/>
        </w:rPr>
      </w:pPr>
      <w:r w:rsidRPr="00E263BF">
        <w:rPr>
          <w:rFonts w:ascii="Arial" w:eastAsia="Arial" w:hAnsi="Arial" w:cs="Arial"/>
        </w:rPr>
        <w:t xml:space="preserve">El enfoque metodológico del SEROI permite medir los impactos en </w:t>
      </w:r>
      <w:r>
        <w:rPr>
          <w:rFonts w:ascii="Arial" w:eastAsia="Arial" w:hAnsi="Arial" w:cs="Arial"/>
        </w:rPr>
        <w:t xml:space="preserve">la dimensión, </w:t>
      </w:r>
      <w:r w:rsidRPr="00E263BF">
        <w:rPr>
          <w:rFonts w:ascii="Arial" w:eastAsia="Arial" w:hAnsi="Arial" w:cs="Arial"/>
        </w:rPr>
        <w:t>ambiental, social, económica y paisajístic</w:t>
      </w:r>
      <w:r>
        <w:rPr>
          <w:rFonts w:ascii="Arial" w:eastAsia="Arial" w:hAnsi="Arial" w:cs="Arial"/>
        </w:rPr>
        <w:t>a b</w:t>
      </w:r>
      <w:r w:rsidRPr="00E263BF">
        <w:rPr>
          <w:rFonts w:ascii="Arial" w:eastAsia="Arial" w:hAnsi="Arial" w:cs="Arial"/>
        </w:rPr>
        <w:t xml:space="preserve">ajo escenarios temporales diferenciados. </w:t>
      </w:r>
    </w:p>
    <w:p w14:paraId="328A3A04" w14:textId="335C22F3" w:rsidR="00E263BF" w:rsidRPr="00E263BF" w:rsidRDefault="00E263BF" w:rsidP="00E263BF">
      <w:pPr>
        <w:spacing w:line="360" w:lineRule="auto"/>
        <w:rPr>
          <w:rFonts w:ascii="Arial" w:eastAsia="Arial" w:hAnsi="Arial" w:cs="Arial"/>
        </w:rPr>
      </w:pPr>
      <w:r w:rsidRPr="00E263BF">
        <w:rPr>
          <w:rFonts w:ascii="Arial" w:eastAsia="Arial" w:hAnsi="Arial" w:cs="Arial"/>
        </w:rPr>
        <w:t>Esta evaluación es clave para fortalecer la planificación estratégica de AMSAC y justificar futuras inversiones públicas o público-privadas en remediación ambiental, promoviendo así el desarrollo sostenible y la justicia ambiental en zonas históricamente afectadas por la minería.</w:t>
      </w:r>
    </w:p>
    <w:p w14:paraId="2EA155EB" w14:textId="1FFECA6A" w:rsidR="4F2F950F" w:rsidRDefault="4F2F950F" w:rsidP="6D860E73">
      <w:pPr>
        <w:spacing w:line="360" w:lineRule="auto"/>
        <w:rPr>
          <w:rFonts w:ascii="Arial" w:eastAsia="Arial" w:hAnsi="Arial" w:cs="Arial"/>
        </w:rPr>
      </w:pPr>
      <w:r w:rsidRPr="6D860E73">
        <w:rPr>
          <w:rFonts w:ascii="Arial" w:eastAsia="Arial" w:hAnsi="Arial" w:cs="Arial"/>
          <w:b/>
          <w:bCs/>
        </w:rPr>
        <w:t>2. Objetivo del trabajo</w:t>
      </w:r>
    </w:p>
    <w:p w14:paraId="39897129" w14:textId="77777777" w:rsidR="00E263BF" w:rsidRDefault="00E263BF" w:rsidP="6D860E73">
      <w:pPr>
        <w:spacing w:line="360" w:lineRule="auto"/>
        <w:rPr>
          <w:rFonts w:ascii="Arial" w:eastAsia="Arial" w:hAnsi="Arial" w:cs="Arial"/>
        </w:rPr>
      </w:pPr>
      <w:r w:rsidRPr="00E263BF">
        <w:rPr>
          <w:rFonts w:ascii="Arial" w:eastAsia="Arial" w:hAnsi="Arial" w:cs="Arial"/>
        </w:rPr>
        <w:t xml:space="preserve">El objetivo principal de este estudio es evaluar el retorno socio-ambiental de la inversión realizada por Activos Mineros SAC (AMSAC) en tres proyectos de remediación de pasivos ambientales mineros, aplicando la metodología SEROI. A través de esta evaluación, se busca identificar y valorar los impactos positivos </w:t>
      </w:r>
      <w:r w:rsidRPr="00E263BF">
        <w:rPr>
          <w:rFonts w:ascii="Arial" w:eastAsia="Arial" w:hAnsi="Arial" w:cs="Arial"/>
        </w:rPr>
        <w:lastRenderedPageBreak/>
        <w:t>generados tanto en el entorno ecológico como en las condiciones de vida de las comunidades locales, para así determinar si la inversión pública está logrando transformar sitios contaminados en espacios seguros, saludables y sostenibles.</w:t>
      </w:r>
    </w:p>
    <w:p w14:paraId="003ADBDE" w14:textId="258D51D7" w:rsidR="4F2F950F" w:rsidRDefault="4F2F950F" w:rsidP="6D860E73">
      <w:pPr>
        <w:spacing w:line="360" w:lineRule="auto"/>
        <w:rPr>
          <w:rFonts w:ascii="Arial" w:eastAsia="Arial" w:hAnsi="Arial" w:cs="Arial"/>
          <w:b/>
          <w:bCs/>
        </w:rPr>
      </w:pPr>
      <w:r w:rsidRPr="6D860E73">
        <w:rPr>
          <w:rFonts w:ascii="Arial" w:eastAsia="Arial" w:hAnsi="Arial" w:cs="Arial"/>
          <w:b/>
          <w:bCs/>
        </w:rPr>
        <w:t>3. Metodología empleada</w:t>
      </w:r>
    </w:p>
    <w:p w14:paraId="7531B7E1" w14:textId="406A9A47" w:rsidR="00777C8C" w:rsidRPr="00777C8C" w:rsidRDefault="00F40275" w:rsidP="00777C8C">
      <w:pPr>
        <w:spacing w:before="240" w:after="240" w:line="276" w:lineRule="auto"/>
        <w:jc w:val="both"/>
        <w:rPr>
          <w:rFonts w:ascii="Arial" w:eastAsia="Arial" w:hAnsi="Arial" w:cs="Arial"/>
        </w:rPr>
      </w:pPr>
      <w:r>
        <w:rPr>
          <w:rFonts w:ascii="Arial" w:eastAsia="Arial" w:hAnsi="Arial" w:cs="Arial"/>
        </w:rPr>
        <w:t>E</w:t>
      </w:r>
      <w:r w:rsidR="00777C8C" w:rsidRPr="00777C8C">
        <w:rPr>
          <w:rFonts w:ascii="Arial" w:eastAsia="Arial" w:hAnsi="Arial" w:cs="Arial"/>
        </w:rPr>
        <w:t xml:space="preserve">l estudio utilizó una metodología adaptada del enfoque internacional conocido como </w:t>
      </w:r>
      <w:r w:rsidR="00777C8C" w:rsidRPr="00777C8C">
        <w:rPr>
          <w:rFonts w:ascii="Arial" w:eastAsia="Arial" w:hAnsi="Arial" w:cs="Arial"/>
          <w:b/>
          <w:bCs/>
        </w:rPr>
        <w:t>SEROI</w:t>
      </w:r>
      <w:r w:rsidR="00777C8C" w:rsidRPr="00777C8C">
        <w:rPr>
          <w:rFonts w:ascii="Arial" w:eastAsia="Arial" w:hAnsi="Arial" w:cs="Arial"/>
        </w:rPr>
        <w:t xml:space="preserve"> (Retorno Socio-Ambiental de la Inversión). Esta herramienta permite traducir en valor monetario los beneficios ambientales y sociales generados por una intervención.</w:t>
      </w:r>
    </w:p>
    <w:p w14:paraId="0F6832A5" w14:textId="7482317F" w:rsidR="00777C8C" w:rsidRPr="00777C8C" w:rsidRDefault="00777C8C" w:rsidP="00777C8C">
      <w:pPr>
        <w:spacing w:before="240" w:after="240" w:line="276" w:lineRule="auto"/>
        <w:jc w:val="both"/>
        <w:rPr>
          <w:rFonts w:ascii="Arial" w:eastAsia="Arial" w:hAnsi="Arial" w:cs="Arial"/>
        </w:rPr>
      </w:pPr>
      <w:r w:rsidRPr="00777C8C">
        <w:rPr>
          <w:rFonts w:ascii="Arial" w:eastAsia="Arial" w:hAnsi="Arial" w:cs="Arial"/>
        </w:rPr>
        <w:t xml:space="preserve">El proceso metodológico seguido en este estudio incluyó </w:t>
      </w:r>
      <w:r w:rsidR="00F61167">
        <w:rPr>
          <w:rFonts w:ascii="Arial" w:eastAsia="Arial" w:hAnsi="Arial" w:cs="Arial"/>
        </w:rPr>
        <w:t xml:space="preserve">las siguientes </w:t>
      </w:r>
      <w:proofErr w:type="gramStart"/>
      <w:r w:rsidR="00F61167">
        <w:rPr>
          <w:rFonts w:ascii="Arial" w:eastAsia="Arial" w:hAnsi="Arial" w:cs="Arial"/>
        </w:rPr>
        <w:t xml:space="preserve">etapas </w:t>
      </w:r>
      <w:r w:rsidRPr="00777C8C">
        <w:rPr>
          <w:rFonts w:ascii="Arial" w:eastAsia="Arial" w:hAnsi="Arial" w:cs="Arial"/>
        </w:rPr>
        <w:t>:</w:t>
      </w:r>
      <w:proofErr w:type="gramEnd"/>
    </w:p>
    <w:p w14:paraId="2B6B99D1" w14:textId="5109245A" w:rsidR="00777C8C" w:rsidRPr="00777C8C" w:rsidRDefault="00777C8C" w:rsidP="00777C8C">
      <w:pPr>
        <w:pStyle w:val="Prrafodelista"/>
        <w:numPr>
          <w:ilvl w:val="0"/>
          <w:numId w:val="7"/>
        </w:numPr>
        <w:spacing w:before="240" w:after="240" w:line="276" w:lineRule="auto"/>
        <w:jc w:val="both"/>
        <w:rPr>
          <w:rFonts w:ascii="Arial" w:eastAsia="Arial" w:hAnsi="Arial" w:cs="Arial"/>
          <w:b/>
          <w:bCs/>
        </w:rPr>
      </w:pPr>
      <w:r w:rsidRPr="00777C8C">
        <w:rPr>
          <w:rFonts w:ascii="Arial" w:eastAsia="Arial" w:hAnsi="Arial" w:cs="Arial"/>
          <w:b/>
          <w:bCs/>
        </w:rPr>
        <w:t>Definición del Alcance del Análisis</w:t>
      </w:r>
    </w:p>
    <w:p w14:paraId="59F8B167" w14:textId="77777777" w:rsidR="00777C8C" w:rsidRPr="00777C8C" w:rsidRDefault="00777C8C" w:rsidP="00777C8C">
      <w:pPr>
        <w:spacing w:before="240" w:after="240" w:line="276" w:lineRule="auto"/>
        <w:ind w:left="708"/>
        <w:jc w:val="both"/>
        <w:rPr>
          <w:rFonts w:ascii="Arial" w:eastAsia="Arial" w:hAnsi="Arial" w:cs="Arial"/>
        </w:rPr>
      </w:pPr>
      <w:r w:rsidRPr="00777C8C">
        <w:rPr>
          <w:rFonts w:ascii="Arial" w:eastAsia="Arial" w:hAnsi="Arial" w:cs="Arial"/>
        </w:rPr>
        <w:t>Se estableció qué se quería medir, en qué territorios, y con qué nivel de detalle. Para ello, se revisaron los planes de cierre de cada proyecto y se identificaron las zonas de influencia directa y los grupos de población afectados.</w:t>
      </w:r>
    </w:p>
    <w:p w14:paraId="34BAAB63" w14:textId="34164234" w:rsidR="00777C8C" w:rsidRPr="00777C8C" w:rsidRDefault="00777C8C" w:rsidP="00777C8C">
      <w:pPr>
        <w:pStyle w:val="Prrafodelista"/>
        <w:numPr>
          <w:ilvl w:val="0"/>
          <w:numId w:val="7"/>
        </w:numPr>
        <w:spacing w:before="240" w:after="240" w:line="276" w:lineRule="auto"/>
        <w:jc w:val="both"/>
        <w:rPr>
          <w:rFonts w:ascii="Arial" w:eastAsia="Arial" w:hAnsi="Arial" w:cs="Arial"/>
          <w:b/>
          <w:bCs/>
        </w:rPr>
      </w:pPr>
      <w:r w:rsidRPr="00777C8C">
        <w:rPr>
          <w:rFonts w:ascii="Arial" w:eastAsia="Arial" w:hAnsi="Arial" w:cs="Arial"/>
          <w:b/>
          <w:bCs/>
        </w:rPr>
        <w:t xml:space="preserve">Identificación de </w:t>
      </w:r>
      <w:proofErr w:type="spellStart"/>
      <w:r w:rsidRPr="00777C8C">
        <w:rPr>
          <w:rFonts w:ascii="Arial" w:eastAsia="Arial" w:hAnsi="Arial" w:cs="Arial"/>
          <w:b/>
          <w:bCs/>
        </w:rPr>
        <w:t>Stakeholders</w:t>
      </w:r>
      <w:proofErr w:type="spellEnd"/>
    </w:p>
    <w:p w14:paraId="784DCF2D" w14:textId="77777777" w:rsidR="00777C8C" w:rsidRPr="00777C8C" w:rsidRDefault="00777C8C" w:rsidP="00777C8C">
      <w:pPr>
        <w:spacing w:before="240" w:after="240" w:line="276" w:lineRule="auto"/>
        <w:ind w:left="708"/>
        <w:jc w:val="both"/>
        <w:rPr>
          <w:rFonts w:ascii="Arial" w:eastAsia="Arial" w:hAnsi="Arial" w:cs="Arial"/>
        </w:rPr>
      </w:pPr>
      <w:r w:rsidRPr="00777C8C">
        <w:rPr>
          <w:rFonts w:ascii="Arial" w:eastAsia="Arial" w:hAnsi="Arial" w:cs="Arial"/>
        </w:rPr>
        <w:t>Se identificaron los actores sociales relevantes: comunidades locales, autoridades regionales y locales, organizaciones sociales, y por supuesto, AMSAC como ejecutora. También se tomaron en cuenta profesionales del sector salud y educación que pudieran aportar datos sobre los cambios observados.</w:t>
      </w:r>
    </w:p>
    <w:p w14:paraId="5C11E5DC" w14:textId="3281E20C" w:rsidR="00777C8C" w:rsidRPr="00777C8C" w:rsidRDefault="00777C8C" w:rsidP="00777C8C">
      <w:pPr>
        <w:pStyle w:val="Prrafodelista"/>
        <w:numPr>
          <w:ilvl w:val="0"/>
          <w:numId w:val="7"/>
        </w:numPr>
        <w:spacing w:before="240" w:after="240" w:line="276" w:lineRule="auto"/>
        <w:jc w:val="both"/>
        <w:rPr>
          <w:rFonts w:ascii="Arial" w:eastAsia="Arial" w:hAnsi="Arial" w:cs="Arial"/>
          <w:b/>
          <w:bCs/>
        </w:rPr>
      </w:pPr>
      <w:r w:rsidRPr="00777C8C">
        <w:rPr>
          <w:rFonts w:ascii="Arial" w:eastAsia="Arial" w:hAnsi="Arial" w:cs="Arial"/>
          <w:b/>
          <w:bCs/>
        </w:rPr>
        <w:t>Modelo Conceptual del Sitio Contaminado</w:t>
      </w:r>
    </w:p>
    <w:p w14:paraId="35AC1425" w14:textId="77777777" w:rsidR="00777C8C" w:rsidRPr="00777C8C" w:rsidRDefault="00777C8C" w:rsidP="00777C8C">
      <w:pPr>
        <w:spacing w:before="240" w:after="240" w:line="276" w:lineRule="auto"/>
        <w:ind w:left="708"/>
        <w:jc w:val="both"/>
        <w:rPr>
          <w:rFonts w:ascii="Arial" w:eastAsia="Arial" w:hAnsi="Arial" w:cs="Arial"/>
        </w:rPr>
      </w:pPr>
      <w:r w:rsidRPr="00777C8C">
        <w:rPr>
          <w:rFonts w:ascii="Arial" w:eastAsia="Arial" w:hAnsi="Arial" w:cs="Arial"/>
        </w:rPr>
        <w:t>Se elaboraron diagramas para entender cómo se da la contaminación (fuentes, rutas de transporte, receptores), y cómo las acciones de remediación alteran esa dinámica.</w:t>
      </w:r>
    </w:p>
    <w:p w14:paraId="258DA683" w14:textId="5EC96EB1" w:rsidR="00777C8C" w:rsidRPr="00777C8C" w:rsidRDefault="00777C8C" w:rsidP="00777C8C">
      <w:pPr>
        <w:pStyle w:val="Prrafodelista"/>
        <w:numPr>
          <w:ilvl w:val="0"/>
          <w:numId w:val="7"/>
        </w:numPr>
        <w:spacing w:before="240" w:after="240" w:line="276" w:lineRule="auto"/>
        <w:jc w:val="both"/>
        <w:rPr>
          <w:rFonts w:ascii="Arial" w:eastAsia="Arial" w:hAnsi="Arial" w:cs="Arial"/>
          <w:b/>
          <w:bCs/>
        </w:rPr>
      </w:pPr>
      <w:r w:rsidRPr="00777C8C">
        <w:rPr>
          <w:rFonts w:ascii="Arial" w:eastAsia="Arial" w:hAnsi="Arial" w:cs="Arial"/>
          <w:b/>
          <w:bCs/>
        </w:rPr>
        <w:t>Matriz de Impactos</w:t>
      </w:r>
    </w:p>
    <w:p w14:paraId="4639A59D" w14:textId="77777777" w:rsidR="00777C8C" w:rsidRPr="00777C8C" w:rsidRDefault="00777C8C" w:rsidP="00777C8C">
      <w:pPr>
        <w:spacing w:before="240" w:after="240" w:line="276" w:lineRule="auto"/>
        <w:ind w:left="708"/>
        <w:jc w:val="both"/>
        <w:rPr>
          <w:rFonts w:ascii="Arial" w:eastAsia="Arial" w:hAnsi="Arial" w:cs="Arial"/>
        </w:rPr>
      </w:pPr>
      <w:r w:rsidRPr="00777C8C">
        <w:rPr>
          <w:rFonts w:ascii="Arial" w:eastAsia="Arial" w:hAnsi="Arial" w:cs="Arial"/>
        </w:rPr>
        <w:t>Se construyó una matriz que relaciona cada acción del proyecto (por ejemplo, revegetación o estabilización de desmontes) con sus efectos esperados en variables como calidad del agua, salud pública, biodiversidad, entre otros.</w:t>
      </w:r>
    </w:p>
    <w:p w14:paraId="2C935074" w14:textId="32DBFB2F" w:rsidR="00777C8C" w:rsidRPr="00777C8C" w:rsidRDefault="00777C8C" w:rsidP="00777C8C">
      <w:pPr>
        <w:pStyle w:val="Prrafodelista"/>
        <w:numPr>
          <w:ilvl w:val="0"/>
          <w:numId w:val="7"/>
        </w:numPr>
        <w:spacing w:before="240" w:after="240" w:line="276" w:lineRule="auto"/>
        <w:jc w:val="both"/>
        <w:rPr>
          <w:rFonts w:ascii="Arial" w:eastAsia="Arial" w:hAnsi="Arial" w:cs="Arial"/>
          <w:b/>
          <w:bCs/>
        </w:rPr>
      </w:pPr>
      <w:r w:rsidRPr="00777C8C">
        <w:rPr>
          <w:rFonts w:ascii="Arial" w:eastAsia="Arial" w:hAnsi="Arial" w:cs="Arial"/>
          <w:b/>
          <w:bCs/>
        </w:rPr>
        <w:t>Modelo de Impactos</w:t>
      </w:r>
    </w:p>
    <w:p w14:paraId="2A823281" w14:textId="77777777" w:rsidR="00777C8C" w:rsidRPr="00777C8C" w:rsidRDefault="00777C8C" w:rsidP="00777C8C">
      <w:pPr>
        <w:spacing w:before="240" w:after="240" w:line="276" w:lineRule="auto"/>
        <w:ind w:left="708"/>
        <w:jc w:val="both"/>
        <w:rPr>
          <w:rFonts w:ascii="Arial" w:eastAsia="Arial" w:hAnsi="Arial" w:cs="Arial"/>
        </w:rPr>
      </w:pPr>
      <w:r w:rsidRPr="00777C8C">
        <w:rPr>
          <w:rFonts w:ascii="Arial" w:eastAsia="Arial" w:hAnsi="Arial" w:cs="Arial"/>
        </w:rPr>
        <w:t>A partir de la matriz, se definieron los "</w:t>
      </w:r>
      <w:proofErr w:type="spellStart"/>
      <w:r w:rsidRPr="00777C8C">
        <w:rPr>
          <w:rFonts w:ascii="Arial" w:eastAsia="Arial" w:hAnsi="Arial" w:cs="Arial"/>
          <w:i/>
          <w:iCs/>
        </w:rPr>
        <w:t>outcomes</w:t>
      </w:r>
      <w:proofErr w:type="spellEnd"/>
      <w:r w:rsidRPr="00777C8C">
        <w:rPr>
          <w:rFonts w:ascii="Arial" w:eastAsia="Arial" w:hAnsi="Arial" w:cs="Arial"/>
        </w:rPr>
        <w:t>" (resultados medibles) y se asignaron valores monetarios de referencia, considerando beneficios como: reducción de enfermedades, menor gasto en salud, empleo generado, aumento del valor del paisaje, etc.</w:t>
      </w:r>
    </w:p>
    <w:p w14:paraId="5FD859D3" w14:textId="3C4009B9" w:rsidR="00777C8C" w:rsidRPr="00777C8C" w:rsidRDefault="00777C8C" w:rsidP="00777C8C">
      <w:pPr>
        <w:pStyle w:val="Prrafodelista"/>
        <w:numPr>
          <w:ilvl w:val="0"/>
          <w:numId w:val="7"/>
        </w:numPr>
        <w:spacing w:before="240" w:after="240" w:line="276" w:lineRule="auto"/>
        <w:jc w:val="both"/>
        <w:rPr>
          <w:rFonts w:ascii="Arial" w:eastAsia="Arial" w:hAnsi="Arial" w:cs="Arial"/>
          <w:b/>
          <w:bCs/>
        </w:rPr>
      </w:pPr>
      <w:r w:rsidRPr="00777C8C">
        <w:rPr>
          <w:rFonts w:ascii="Arial" w:eastAsia="Arial" w:hAnsi="Arial" w:cs="Arial"/>
          <w:b/>
          <w:bCs/>
        </w:rPr>
        <w:lastRenderedPageBreak/>
        <w:t>Cálculo del SEROI</w:t>
      </w:r>
    </w:p>
    <w:p w14:paraId="09FAE120" w14:textId="77777777" w:rsidR="00777C8C" w:rsidRPr="00777C8C" w:rsidRDefault="00777C8C" w:rsidP="00777C8C">
      <w:pPr>
        <w:spacing w:before="240" w:after="240" w:line="276" w:lineRule="auto"/>
        <w:ind w:left="708"/>
        <w:jc w:val="both"/>
        <w:rPr>
          <w:rFonts w:ascii="Arial" w:eastAsia="Arial" w:hAnsi="Arial" w:cs="Arial"/>
        </w:rPr>
      </w:pPr>
      <w:r w:rsidRPr="00777C8C">
        <w:rPr>
          <w:rFonts w:ascii="Arial" w:eastAsia="Arial" w:hAnsi="Arial" w:cs="Arial"/>
        </w:rPr>
        <w:t>Se aplicó la fórmula general del SEROI:</w:t>
      </w:r>
      <w:r w:rsidRPr="00777C8C">
        <w:rPr>
          <w:rFonts w:ascii="Arial" w:eastAsia="Arial" w:hAnsi="Arial" w:cs="Arial"/>
        </w:rPr>
        <w:br/>
      </w:r>
      <w:r w:rsidRPr="00777C8C">
        <w:rPr>
          <w:rFonts w:ascii="Arial" w:eastAsia="Arial" w:hAnsi="Arial" w:cs="Arial"/>
          <w:b/>
          <w:bCs/>
        </w:rPr>
        <w:t>SEROI = (Valor monetario de los beneficios totales) / (Inversión realizada)</w:t>
      </w:r>
    </w:p>
    <w:p w14:paraId="789B4A8F" w14:textId="77777777" w:rsidR="00777C8C" w:rsidRPr="00777C8C" w:rsidRDefault="00777C8C" w:rsidP="00777C8C">
      <w:pPr>
        <w:spacing w:before="240" w:after="240" w:line="276" w:lineRule="auto"/>
        <w:ind w:left="708"/>
        <w:jc w:val="both"/>
        <w:rPr>
          <w:rFonts w:ascii="Arial" w:eastAsia="Arial" w:hAnsi="Arial" w:cs="Arial"/>
        </w:rPr>
      </w:pPr>
      <w:r w:rsidRPr="00777C8C">
        <w:rPr>
          <w:rFonts w:ascii="Arial" w:eastAsia="Arial" w:hAnsi="Arial" w:cs="Arial"/>
        </w:rPr>
        <w:t>Se realizaron dos escenarios para cada proyecto:</w:t>
      </w:r>
    </w:p>
    <w:p w14:paraId="78884A27" w14:textId="77777777" w:rsidR="00777C8C" w:rsidRPr="00777C8C" w:rsidRDefault="00777C8C" w:rsidP="00777C8C">
      <w:pPr>
        <w:numPr>
          <w:ilvl w:val="0"/>
          <w:numId w:val="5"/>
        </w:numPr>
        <w:tabs>
          <w:tab w:val="num" w:pos="1428"/>
        </w:tabs>
        <w:spacing w:before="240" w:after="240" w:line="276" w:lineRule="auto"/>
        <w:ind w:left="1776"/>
        <w:jc w:val="both"/>
        <w:rPr>
          <w:rFonts w:ascii="Arial" w:eastAsia="Arial" w:hAnsi="Arial" w:cs="Arial"/>
        </w:rPr>
      </w:pPr>
      <w:r w:rsidRPr="00777C8C">
        <w:rPr>
          <w:rFonts w:ascii="Arial" w:eastAsia="Arial" w:hAnsi="Arial" w:cs="Arial"/>
          <w:b/>
          <w:bCs/>
        </w:rPr>
        <w:t>Escenario 1 (E1)</w:t>
      </w:r>
      <w:r w:rsidRPr="00777C8C">
        <w:rPr>
          <w:rFonts w:ascii="Arial" w:eastAsia="Arial" w:hAnsi="Arial" w:cs="Arial"/>
        </w:rPr>
        <w:t>: considera los beneficios acumulados desde el inicio de la ejecución.</w:t>
      </w:r>
    </w:p>
    <w:p w14:paraId="1F91C443" w14:textId="77777777" w:rsidR="00777C8C" w:rsidRPr="00777C8C" w:rsidRDefault="00777C8C" w:rsidP="00777C8C">
      <w:pPr>
        <w:numPr>
          <w:ilvl w:val="0"/>
          <w:numId w:val="5"/>
        </w:numPr>
        <w:tabs>
          <w:tab w:val="num" w:pos="1428"/>
        </w:tabs>
        <w:spacing w:before="240" w:after="240" w:line="276" w:lineRule="auto"/>
        <w:ind w:left="1776"/>
        <w:jc w:val="both"/>
        <w:rPr>
          <w:rFonts w:ascii="Arial" w:eastAsia="Arial" w:hAnsi="Arial" w:cs="Arial"/>
        </w:rPr>
      </w:pPr>
      <w:r w:rsidRPr="00777C8C">
        <w:rPr>
          <w:rFonts w:ascii="Arial" w:eastAsia="Arial" w:hAnsi="Arial" w:cs="Arial"/>
          <w:b/>
          <w:bCs/>
        </w:rPr>
        <w:t>Escenario 2 (E2)</w:t>
      </w:r>
      <w:r w:rsidRPr="00777C8C">
        <w:rPr>
          <w:rFonts w:ascii="Arial" w:eastAsia="Arial" w:hAnsi="Arial" w:cs="Arial"/>
        </w:rPr>
        <w:t>: analiza solo los beneficios generados desde la finalización de las obras, considerando los costos de mantenimiento y operación a futuro.</w:t>
      </w:r>
    </w:p>
    <w:p w14:paraId="36230F30" w14:textId="092852AB" w:rsidR="00777C8C" w:rsidRPr="00777C8C" w:rsidRDefault="00777C8C" w:rsidP="00777C8C">
      <w:pPr>
        <w:pStyle w:val="Prrafodelista"/>
        <w:numPr>
          <w:ilvl w:val="0"/>
          <w:numId w:val="5"/>
        </w:numPr>
        <w:tabs>
          <w:tab w:val="clear" w:pos="1068"/>
        </w:tabs>
        <w:spacing w:before="240" w:after="240" w:line="276" w:lineRule="auto"/>
        <w:ind w:firstLine="66"/>
        <w:jc w:val="both"/>
        <w:rPr>
          <w:rFonts w:ascii="Arial" w:eastAsia="Arial" w:hAnsi="Arial" w:cs="Arial"/>
          <w:b/>
          <w:bCs/>
        </w:rPr>
      </w:pPr>
      <w:r w:rsidRPr="00777C8C">
        <w:rPr>
          <w:rFonts w:ascii="Arial" w:eastAsia="Arial" w:hAnsi="Arial" w:cs="Arial"/>
          <w:b/>
          <w:bCs/>
        </w:rPr>
        <w:t>Análisis y Validación</w:t>
      </w:r>
    </w:p>
    <w:p w14:paraId="7A0A7DE6" w14:textId="77777777" w:rsidR="00777C8C" w:rsidRPr="00777C8C" w:rsidRDefault="00777C8C" w:rsidP="00777C8C">
      <w:pPr>
        <w:spacing w:before="240" w:after="240" w:line="276" w:lineRule="auto"/>
        <w:ind w:left="708"/>
        <w:jc w:val="both"/>
        <w:rPr>
          <w:rFonts w:ascii="Arial" w:eastAsia="Arial" w:hAnsi="Arial" w:cs="Arial"/>
        </w:rPr>
      </w:pPr>
      <w:r w:rsidRPr="00777C8C">
        <w:rPr>
          <w:rFonts w:ascii="Arial" w:eastAsia="Arial" w:hAnsi="Arial" w:cs="Arial"/>
        </w:rPr>
        <w:t>Los resultados fueron contrastados con entrevistas a actores locales, visitas de campo y revisión de información secundaria, para asegurar que los beneficios estimados tuvieran sustento en evidencias reales.</w:t>
      </w:r>
    </w:p>
    <w:p w14:paraId="0A48FC36" w14:textId="7782EFAD" w:rsidR="37BEF8D3" w:rsidRDefault="37BEF8D3" w:rsidP="457DECFA">
      <w:pPr>
        <w:spacing w:before="240" w:after="240" w:line="276" w:lineRule="auto"/>
        <w:jc w:val="both"/>
        <w:rPr>
          <w:rFonts w:ascii="Arial" w:eastAsia="Arial" w:hAnsi="Arial" w:cs="Arial"/>
        </w:rPr>
      </w:pPr>
    </w:p>
    <w:p w14:paraId="60513DD4" w14:textId="0C9C736C" w:rsidR="4F2F950F" w:rsidRDefault="4F2F950F" w:rsidP="6D860E73">
      <w:pPr>
        <w:spacing w:line="360" w:lineRule="auto"/>
        <w:rPr>
          <w:rFonts w:ascii="Arial" w:eastAsia="Arial" w:hAnsi="Arial" w:cs="Arial"/>
          <w:b/>
          <w:bCs/>
        </w:rPr>
      </w:pPr>
      <w:r w:rsidRPr="6D860E73">
        <w:rPr>
          <w:rFonts w:ascii="Arial" w:eastAsia="Arial" w:hAnsi="Arial" w:cs="Arial"/>
          <w:b/>
          <w:bCs/>
        </w:rPr>
        <w:t>4. Resultados alcanzados</w:t>
      </w:r>
    </w:p>
    <w:p w14:paraId="274232B6" w14:textId="77777777" w:rsidR="00777C8C" w:rsidRPr="00777C8C" w:rsidRDefault="00777C8C" w:rsidP="00777C8C">
      <w:pPr>
        <w:spacing w:line="360" w:lineRule="auto"/>
        <w:rPr>
          <w:rFonts w:ascii="Arial" w:eastAsia="Arial" w:hAnsi="Arial" w:cs="Arial"/>
        </w:rPr>
      </w:pPr>
      <w:r w:rsidRPr="00777C8C">
        <w:rPr>
          <w:rFonts w:ascii="Arial" w:eastAsia="Arial" w:hAnsi="Arial" w:cs="Arial"/>
        </w:rPr>
        <w:t>El estudio de Retorno Socio-Ambiental de la Inversión (SEROI) aplicado a tres proyectos emblemáticos de remediación ejecutados por Activos Mineros SAC (AMSAC) —Excélsior, Delta de Upamayo y Calioc-Chacrapuquio— demuestra que las inversiones en la recuperación de pasivos ambientales mineros no solo son necesarias desde el punto de vista ecológico, sino también altamente rentables en términos sociales y ambientales.</w:t>
      </w:r>
    </w:p>
    <w:p w14:paraId="31A02B63" w14:textId="77777777" w:rsidR="00777C8C" w:rsidRPr="00777C8C" w:rsidRDefault="00777C8C" w:rsidP="00777C8C">
      <w:pPr>
        <w:spacing w:line="360" w:lineRule="auto"/>
        <w:rPr>
          <w:rFonts w:ascii="Arial" w:eastAsia="Arial" w:hAnsi="Arial" w:cs="Arial"/>
        </w:rPr>
      </w:pPr>
      <w:r w:rsidRPr="00777C8C">
        <w:rPr>
          <w:rFonts w:ascii="Arial" w:eastAsia="Arial" w:hAnsi="Arial" w:cs="Arial"/>
        </w:rPr>
        <w:t>En conjunto, los proyectos han generado:</w:t>
      </w:r>
    </w:p>
    <w:p w14:paraId="68AD4270" w14:textId="77777777" w:rsidR="00777C8C" w:rsidRPr="00777C8C" w:rsidRDefault="00777C8C" w:rsidP="00777C8C">
      <w:pPr>
        <w:numPr>
          <w:ilvl w:val="0"/>
          <w:numId w:val="6"/>
        </w:numPr>
        <w:spacing w:line="360" w:lineRule="auto"/>
        <w:rPr>
          <w:rFonts w:ascii="Arial" w:eastAsia="Arial" w:hAnsi="Arial" w:cs="Arial"/>
        </w:rPr>
      </w:pPr>
      <w:r w:rsidRPr="00777C8C">
        <w:rPr>
          <w:rFonts w:ascii="Arial" w:eastAsia="Arial" w:hAnsi="Arial" w:cs="Arial"/>
          <w:b/>
          <w:bCs/>
        </w:rPr>
        <w:t>Mejoras ambientales significativas</w:t>
      </w:r>
      <w:r w:rsidRPr="00777C8C">
        <w:rPr>
          <w:rFonts w:ascii="Arial" w:eastAsia="Arial" w:hAnsi="Arial" w:cs="Arial"/>
        </w:rPr>
        <w:t>, incluyendo la recuperación de la calidad del agua, la estabilización de suelos, la revegetación de áreas degradadas y la captura de carbono.</w:t>
      </w:r>
    </w:p>
    <w:p w14:paraId="59DABBD8" w14:textId="77777777" w:rsidR="00777C8C" w:rsidRPr="00777C8C" w:rsidRDefault="00777C8C" w:rsidP="00777C8C">
      <w:pPr>
        <w:numPr>
          <w:ilvl w:val="0"/>
          <w:numId w:val="6"/>
        </w:numPr>
        <w:spacing w:line="360" w:lineRule="auto"/>
        <w:rPr>
          <w:rFonts w:ascii="Arial" w:eastAsia="Arial" w:hAnsi="Arial" w:cs="Arial"/>
        </w:rPr>
      </w:pPr>
      <w:r w:rsidRPr="00777C8C">
        <w:rPr>
          <w:rFonts w:ascii="Arial" w:eastAsia="Arial" w:hAnsi="Arial" w:cs="Arial"/>
          <w:b/>
          <w:bCs/>
        </w:rPr>
        <w:t>Impactos sociales positivos</w:t>
      </w:r>
      <w:r w:rsidRPr="00777C8C">
        <w:rPr>
          <w:rFonts w:ascii="Arial" w:eastAsia="Arial" w:hAnsi="Arial" w:cs="Arial"/>
        </w:rPr>
        <w:t>, como generación de empleo local, reducción de enfermedades respiratorias, fortalecimiento de capacidades comunitarias y mejora de las condiciones de vida.</w:t>
      </w:r>
    </w:p>
    <w:p w14:paraId="376542A8" w14:textId="77777777" w:rsidR="00777C8C" w:rsidRPr="00777C8C" w:rsidRDefault="00777C8C" w:rsidP="00777C8C">
      <w:pPr>
        <w:numPr>
          <w:ilvl w:val="0"/>
          <w:numId w:val="6"/>
        </w:numPr>
        <w:spacing w:line="360" w:lineRule="auto"/>
        <w:rPr>
          <w:rFonts w:ascii="Arial" w:eastAsia="Arial" w:hAnsi="Arial" w:cs="Arial"/>
        </w:rPr>
      </w:pPr>
      <w:r w:rsidRPr="00777C8C">
        <w:rPr>
          <w:rFonts w:ascii="Arial" w:eastAsia="Arial" w:hAnsi="Arial" w:cs="Arial"/>
          <w:b/>
          <w:bCs/>
        </w:rPr>
        <w:lastRenderedPageBreak/>
        <w:t>Beneficios económicos indirectos</w:t>
      </w:r>
      <w:r w:rsidRPr="00777C8C">
        <w:rPr>
          <w:rFonts w:ascii="Arial" w:eastAsia="Arial" w:hAnsi="Arial" w:cs="Arial"/>
        </w:rPr>
        <w:t>, como reducción de gastos en salud y mantenimiento, y apertura de oportunidades para el turismo ecológico y paisajístico.</w:t>
      </w:r>
    </w:p>
    <w:p w14:paraId="42BB042B" w14:textId="77777777" w:rsidR="00777C8C" w:rsidRDefault="00777C8C" w:rsidP="00777C8C">
      <w:pPr>
        <w:numPr>
          <w:ilvl w:val="0"/>
          <w:numId w:val="6"/>
        </w:numPr>
        <w:spacing w:line="360" w:lineRule="auto"/>
        <w:rPr>
          <w:rFonts w:ascii="Arial" w:eastAsia="Arial" w:hAnsi="Arial" w:cs="Arial"/>
        </w:rPr>
      </w:pPr>
      <w:r w:rsidRPr="00777C8C">
        <w:rPr>
          <w:rFonts w:ascii="Arial" w:eastAsia="Arial" w:hAnsi="Arial" w:cs="Arial"/>
          <w:b/>
          <w:bCs/>
        </w:rPr>
        <w:t>Resultados medibles y sostenibles</w:t>
      </w:r>
      <w:r w:rsidRPr="00777C8C">
        <w:rPr>
          <w:rFonts w:ascii="Arial" w:eastAsia="Arial" w:hAnsi="Arial" w:cs="Arial"/>
        </w:rPr>
        <w:t>: En los tres casos, el retorno socio-ambiental (SEROI) proyectado supera el valor de 1, lo que significa que los beneficios generados son mayores que la inversión realizada.</w:t>
      </w:r>
    </w:p>
    <w:p w14:paraId="42C48BD2" w14:textId="77777777" w:rsidR="00777C8C" w:rsidRPr="00777C8C" w:rsidRDefault="00777C8C" w:rsidP="00777C8C">
      <w:pPr>
        <w:spacing w:line="360" w:lineRule="auto"/>
        <w:ind w:left="720"/>
        <w:rPr>
          <w:rFonts w:ascii="Arial" w:eastAsia="Arial" w:hAnsi="Arial" w:cs="Arial"/>
        </w:rPr>
      </w:pPr>
    </w:p>
    <w:p w14:paraId="285BF490" w14:textId="15DB7EFD" w:rsidR="4F2F950F" w:rsidRDefault="4F2F950F" w:rsidP="6D860E73">
      <w:pPr>
        <w:spacing w:line="360" w:lineRule="auto"/>
        <w:rPr>
          <w:rFonts w:ascii="Arial" w:eastAsia="Arial" w:hAnsi="Arial" w:cs="Arial"/>
          <w:b/>
          <w:bCs/>
        </w:rPr>
      </w:pPr>
      <w:r w:rsidRPr="6D860E73">
        <w:rPr>
          <w:rFonts w:ascii="Arial" w:eastAsia="Arial" w:hAnsi="Arial" w:cs="Arial"/>
          <w:b/>
          <w:bCs/>
        </w:rPr>
        <w:t>5. Conclusión y recomendaciones</w:t>
      </w:r>
    </w:p>
    <w:p w14:paraId="3CC9ED81" w14:textId="77777777" w:rsidR="00777C8C" w:rsidRPr="00777C8C" w:rsidRDefault="00777C8C" w:rsidP="00777C8C">
      <w:pPr>
        <w:spacing w:line="276" w:lineRule="auto"/>
        <w:jc w:val="both"/>
        <w:rPr>
          <w:rFonts w:ascii="Arial" w:eastAsia="Arial" w:hAnsi="Arial" w:cs="Arial"/>
        </w:rPr>
      </w:pPr>
      <w:r w:rsidRPr="00777C8C">
        <w:rPr>
          <w:rFonts w:ascii="Arial" w:eastAsia="Arial" w:hAnsi="Arial" w:cs="Arial"/>
        </w:rPr>
        <w:t>El estudio de Retorno Socio-Ambiental de la Inversión (SEROI) demuestra que los proyectos de remediación ambiental liderados por Activos Mineros SAC (AMSAC) no solo cumplen con una función correctiva frente a los impactos históricos de la minería, sino que también generan valor tangible para la sociedad y el entorno natural.</w:t>
      </w:r>
    </w:p>
    <w:p w14:paraId="29A94CF3" w14:textId="33B5787A" w:rsidR="00777C8C" w:rsidRPr="00777C8C" w:rsidRDefault="00777C8C" w:rsidP="00777C8C">
      <w:pPr>
        <w:spacing w:line="276" w:lineRule="auto"/>
        <w:jc w:val="both"/>
        <w:rPr>
          <w:rFonts w:ascii="Arial" w:eastAsia="Arial" w:hAnsi="Arial" w:cs="Arial"/>
        </w:rPr>
      </w:pPr>
      <w:r w:rsidRPr="00777C8C">
        <w:rPr>
          <w:rFonts w:ascii="Arial" w:eastAsia="Arial" w:hAnsi="Arial" w:cs="Arial"/>
        </w:rPr>
        <w:t>Los tres casos analizados</w:t>
      </w:r>
      <w:r>
        <w:rPr>
          <w:rFonts w:ascii="Arial" w:eastAsia="Arial" w:hAnsi="Arial" w:cs="Arial"/>
        </w:rPr>
        <w:t xml:space="preserve">, </w:t>
      </w:r>
      <w:r w:rsidRPr="00777C8C">
        <w:rPr>
          <w:rFonts w:ascii="Arial" w:eastAsia="Arial" w:hAnsi="Arial" w:cs="Arial"/>
        </w:rPr>
        <w:t>Excélsior, Delta de Upamayo y Calioc-Chacrapuquio</w:t>
      </w:r>
      <w:r>
        <w:rPr>
          <w:rFonts w:ascii="Arial" w:eastAsia="Arial" w:hAnsi="Arial" w:cs="Arial"/>
        </w:rPr>
        <w:t xml:space="preserve">, </w:t>
      </w:r>
      <w:r w:rsidRPr="00777C8C">
        <w:rPr>
          <w:rFonts w:ascii="Arial" w:eastAsia="Arial" w:hAnsi="Arial" w:cs="Arial"/>
        </w:rPr>
        <w:t>evidencian que una inversión bien orientada en la recuperación de pasivos ambientales mineros puede traducirse en mejoras reales para la salud pública, la biodiversidad, el paisaje y las economías locales. Además, el enfoque SEROI permite cuantificar estos beneficios y comprobar que, en todos los casos, la inversión pública retorna en forma de impactos positivos superiores a los costos.</w:t>
      </w:r>
    </w:p>
    <w:p w14:paraId="42247DB5" w14:textId="00AB0ACC" w:rsidR="61BFAE3C" w:rsidRDefault="61BFAE3C" w:rsidP="00777C8C">
      <w:pPr>
        <w:spacing w:line="276" w:lineRule="auto"/>
        <w:jc w:val="both"/>
        <w:rPr>
          <w:rFonts w:ascii="Arial" w:eastAsia="Arial" w:hAnsi="Arial" w:cs="Arial"/>
        </w:rPr>
      </w:pPr>
    </w:p>
    <w:sectPr w:rsidR="61BFAE3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7884"/>
    <w:multiLevelType w:val="hybridMultilevel"/>
    <w:tmpl w:val="9BB0208A"/>
    <w:lvl w:ilvl="0" w:tplc="8EEC9876">
      <w:start w:val="1"/>
      <w:numFmt w:val="bullet"/>
      <w:lvlText w:val=""/>
      <w:lvlJc w:val="left"/>
      <w:pPr>
        <w:ind w:left="720" w:hanging="360"/>
      </w:pPr>
      <w:rPr>
        <w:rFonts w:ascii="Symbol" w:hAnsi="Symbol" w:hint="default"/>
      </w:rPr>
    </w:lvl>
    <w:lvl w:ilvl="1" w:tplc="5D3A028A">
      <w:start w:val="1"/>
      <w:numFmt w:val="bullet"/>
      <w:lvlText w:val="o"/>
      <w:lvlJc w:val="left"/>
      <w:pPr>
        <w:ind w:left="1440" w:hanging="360"/>
      </w:pPr>
      <w:rPr>
        <w:rFonts w:ascii="Courier New" w:hAnsi="Courier New" w:hint="default"/>
      </w:rPr>
    </w:lvl>
    <w:lvl w:ilvl="2" w:tplc="A3DE03A4">
      <w:start w:val="1"/>
      <w:numFmt w:val="bullet"/>
      <w:lvlText w:val=""/>
      <w:lvlJc w:val="left"/>
      <w:pPr>
        <w:ind w:left="2160" w:hanging="360"/>
      </w:pPr>
      <w:rPr>
        <w:rFonts w:ascii="Wingdings" w:hAnsi="Wingdings" w:hint="default"/>
      </w:rPr>
    </w:lvl>
    <w:lvl w:ilvl="3" w:tplc="169CE634">
      <w:start w:val="1"/>
      <w:numFmt w:val="bullet"/>
      <w:lvlText w:val=""/>
      <w:lvlJc w:val="left"/>
      <w:pPr>
        <w:ind w:left="2880" w:hanging="360"/>
      </w:pPr>
      <w:rPr>
        <w:rFonts w:ascii="Symbol" w:hAnsi="Symbol" w:hint="default"/>
      </w:rPr>
    </w:lvl>
    <w:lvl w:ilvl="4" w:tplc="EDC2B98A">
      <w:start w:val="1"/>
      <w:numFmt w:val="bullet"/>
      <w:lvlText w:val="o"/>
      <w:lvlJc w:val="left"/>
      <w:pPr>
        <w:ind w:left="3600" w:hanging="360"/>
      </w:pPr>
      <w:rPr>
        <w:rFonts w:ascii="Courier New" w:hAnsi="Courier New" w:hint="default"/>
      </w:rPr>
    </w:lvl>
    <w:lvl w:ilvl="5" w:tplc="7F08DFC4">
      <w:start w:val="1"/>
      <w:numFmt w:val="bullet"/>
      <w:lvlText w:val=""/>
      <w:lvlJc w:val="left"/>
      <w:pPr>
        <w:ind w:left="4320" w:hanging="360"/>
      </w:pPr>
      <w:rPr>
        <w:rFonts w:ascii="Wingdings" w:hAnsi="Wingdings" w:hint="default"/>
      </w:rPr>
    </w:lvl>
    <w:lvl w:ilvl="6" w:tplc="F8EE8BBA">
      <w:start w:val="1"/>
      <w:numFmt w:val="bullet"/>
      <w:lvlText w:val=""/>
      <w:lvlJc w:val="left"/>
      <w:pPr>
        <w:ind w:left="5040" w:hanging="360"/>
      </w:pPr>
      <w:rPr>
        <w:rFonts w:ascii="Symbol" w:hAnsi="Symbol" w:hint="default"/>
      </w:rPr>
    </w:lvl>
    <w:lvl w:ilvl="7" w:tplc="F026898E">
      <w:start w:val="1"/>
      <w:numFmt w:val="bullet"/>
      <w:lvlText w:val="o"/>
      <w:lvlJc w:val="left"/>
      <w:pPr>
        <w:ind w:left="5760" w:hanging="360"/>
      </w:pPr>
      <w:rPr>
        <w:rFonts w:ascii="Courier New" w:hAnsi="Courier New" w:hint="default"/>
      </w:rPr>
    </w:lvl>
    <w:lvl w:ilvl="8" w:tplc="AC54869C">
      <w:start w:val="1"/>
      <w:numFmt w:val="bullet"/>
      <w:lvlText w:val=""/>
      <w:lvlJc w:val="left"/>
      <w:pPr>
        <w:ind w:left="6480" w:hanging="360"/>
      </w:pPr>
      <w:rPr>
        <w:rFonts w:ascii="Wingdings" w:hAnsi="Wingdings" w:hint="default"/>
      </w:rPr>
    </w:lvl>
  </w:abstractNum>
  <w:abstractNum w:abstractNumId="1" w15:restartNumberingAfterBreak="0">
    <w:nsid w:val="1603FD8E"/>
    <w:multiLevelType w:val="hybridMultilevel"/>
    <w:tmpl w:val="91C22A06"/>
    <w:lvl w:ilvl="0" w:tplc="A0DE04E0">
      <w:start w:val="1"/>
      <w:numFmt w:val="bullet"/>
      <w:lvlText w:val=""/>
      <w:lvlJc w:val="left"/>
      <w:pPr>
        <w:ind w:left="720" w:hanging="360"/>
      </w:pPr>
      <w:rPr>
        <w:rFonts w:ascii="Symbol" w:hAnsi="Symbol" w:hint="default"/>
      </w:rPr>
    </w:lvl>
    <w:lvl w:ilvl="1" w:tplc="670007C6">
      <w:start w:val="1"/>
      <w:numFmt w:val="bullet"/>
      <w:lvlText w:val="o"/>
      <w:lvlJc w:val="left"/>
      <w:pPr>
        <w:ind w:left="1440" w:hanging="360"/>
      </w:pPr>
      <w:rPr>
        <w:rFonts w:ascii="Courier New" w:hAnsi="Courier New" w:hint="default"/>
      </w:rPr>
    </w:lvl>
    <w:lvl w:ilvl="2" w:tplc="95F0A4BE">
      <w:start w:val="1"/>
      <w:numFmt w:val="bullet"/>
      <w:lvlText w:val=""/>
      <w:lvlJc w:val="left"/>
      <w:pPr>
        <w:ind w:left="2160" w:hanging="360"/>
      </w:pPr>
      <w:rPr>
        <w:rFonts w:ascii="Wingdings" w:hAnsi="Wingdings" w:hint="default"/>
      </w:rPr>
    </w:lvl>
    <w:lvl w:ilvl="3" w:tplc="B4C6B4A8">
      <w:start w:val="1"/>
      <w:numFmt w:val="bullet"/>
      <w:lvlText w:val=""/>
      <w:lvlJc w:val="left"/>
      <w:pPr>
        <w:ind w:left="2880" w:hanging="360"/>
      </w:pPr>
      <w:rPr>
        <w:rFonts w:ascii="Symbol" w:hAnsi="Symbol" w:hint="default"/>
      </w:rPr>
    </w:lvl>
    <w:lvl w:ilvl="4" w:tplc="0FA81A3C">
      <w:start w:val="1"/>
      <w:numFmt w:val="bullet"/>
      <w:lvlText w:val="o"/>
      <w:lvlJc w:val="left"/>
      <w:pPr>
        <w:ind w:left="3600" w:hanging="360"/>
      </w:pPr>
      <w:rPr>
        <w:rFonts w:ascii="Courier New" w:hAnsi="Courier New" w:hint="default"/>
      </w:rPr>
    </w:lvl>
    <w:lvl w:ilvl="5" w:tplc="BC3E34E2">
      <w:start w:val="1"/>
      <w:numFmt w:val="bullet"/>
      <w:lvlText w:val=""/>
      <w:lvlJc w:val="left"/>
      <w:pPr>
        <w:ind w:left="4320" w:hanging="360"/>
      </w:pPr>
      <w:rPr>
        <w:rFonts w:ascii="Wingdings" w:hAnsi="Wingdings" w:hint="default"/>
      </w:rPr>
    </w:lvl>
    <w:lvl w:ilvl="6" w:tplc="0EE81F50">
      <w:start w:val="1"/>
      <w:numFmt w:val="bullet"/>
      <w:lvlText w:val=""/>
      <w:lvlJc w:val="left"/>
      <w:pPr>
        <w:ind w:left="5040" w:hanging="360"/>
      </w:pPr>
      <w:rPr>
        <w:rFonts w:ascii="Symbol" w:hAnsi="Symbol" w:hint="default"/>
      </w:rPr>
    </w:lvl>
    <w:lvl w:ilvl="7" w:tplc="A8C2B7F4">
      <w:start w:val="1"/>
      <w:numFmt w:val="bullet"/>
      <w:lvlText w:val="o"/>
      <w:lvlJc w:val="left"/>
      <w:pPr>
        <w:ind w:left="5760" w:hanging="360"/>
      </w:pPr>
      <w:rPr>
        <w:rFonts w:ascii="Courier New" w:hAnsi="Courier New" w:hint="default"/>
      </w:rPr>
    </w:lvl>
    <w:lvl w:ilvl="8" w:tplc="BDC2610A">
      <w:start w:val="1"/>
      <w:numFmt w:val="bullet"/>
      <w:lvlText w:val=""/>
      <w:lvlJc w:val="left"/>
      <w:pPr>
        <w:ind w:left="6480" w:hanging="360"/>
      </w:pPr>
      <w:rPr>
        <w:rFonts w:ascii="Wingdings" w:hAnsi="Wingdings" w:hint="default"/>
      </w:rPr>
    </w:lvl>
  </w:abstractNum>
  <w:abstractNum w:abstractNumId="2" w15:restartNumberingAfterBreak="0">
    <w:nsid w:val="266F7C67"/>
    <w:multiLevelType w:val="hybridMultilevel"/>
    <w:tmpl w:val="9B30000C"/>
    <w:lvl w:ilvl="0" w:tplc="08DC25AC">
      <w:start w:val="1"/>
      <w:numFmt w:val="bullet"/>
      <w:lvlText w:val=""/>
      <w:lvlJc w:val="left"/>
      <w:pPr>
        <w:ind w:left="720" w:hanging="360"/>
      </w:pPr>
      <w:rPr>
        <w:rFonts w:ascii="Symbol" w:hAnsi="Symbol" w:hint="default"/>
      </w:rPr>
    </w:lvl>
    <w:lvl w:ilvl="1" w:tplc="8DDA7244">
      <w:start w:val="1"/>
      <w:numFmt w:val="bullet"/>
      <w:lvlText w:val="o"/>
      <w:lvlJc w:val="left"/>
      <w:pPr>
        <w:ind w:left="1440" w:hanging="360"/>
      </w:pPr>
      <w:rPr>
        <w:rFonts w:ascii="Courier New" w:hAnsi="Courier New" w:hint="default"/>
      </w:rPr>
    </w:lvl>
    <w:lvl w:ilvl="2" w:tplc="09BA9B66">
      <w:start w:val="1"/>
      <w:numFmt w:val="bullet"/>
      <w:lvlText w:val=""/>
      <w:lvlJc w:val="left"/>
      <w:pPr>
        <w:ind w:left="2160" w:hanging="360"/>
      </w:pPr>
      <w:rPr>
        <w:rFonts w:ascii="Wingdings" w:hAnsi="Wingdings" w:hint="default"/>
      </w:rPr>
    </w:lvl>
    <w:lvl w:ilvl="3" w:tplc="0BE80AD6">
      <w:start w:val="1"/>
      <w:numFmt w:val="bullet"/>
      <w:lvlText w:val=""/>
      <w:lvlJc w:val="left"/>
      <w:pPr>
        <w:ind w:left="2880" w:hanging="360"/>
      </w:pPr>
      <w:rPr>
        <w:rFonts w:ascii="Symbol" w:hAnsi="Symbol" w:hint="default"/>
      </w:rPr>
    </w:lvl>
    <w:lvl w:ilvl="4" w:tplc="32F8C160">
      <w:start w:val="1"/>
      <w:numFmt w:val="bullet"/>
      <w:lvlText w:val="o"/>
      <w:lvlJc w:val="left"/>
      <w:pPr>
        <w:ind w:left="3600" w:hanging="360"/>
      </w:pPr>
      <w:rPr>
        <w:rFonts w:ascii="Courier New" w:hAnsi="Courier New" w:hint="default"/>
      </w:rPr>
    </w:lvl>
    <w:lvl w:ilvl="5" w:tplc="F3C0D416">
      <w:start w:val="1"/>
      <w:numFmt w:val="bullet"/>
      <w:lvlText w:val=""/>
      <w:lvlJc w:val="left"/>
      <w:pPr>
        <w:ind w:left="4320" w:hanging="360"/>
      </w:pPr>
      <w:rPr>
        <w:rFonts w:ascii="Wingdings" w:hAnsi="Wingdings" w:hint="default"/>
      </w:rPr>
    </w:lvl>
    <w:lvl w:ilvl="6" w:tplc="F18C0FEA">
      <w:start w:val="1"/>
      <w:numFmt w:val="bullet"/>
      <w:lvlText w:val=""/>
      <w:lvlJc w:val="left"/>
      <w:pPr>
        <w:ind w:left="5040" w:hanging="360"/>
      </w:pPr>
      <w:rPr>
        <w:rFonts w:ascii="Symbol" w:hAnsi="Symbol" w:hint="default"/>
      </w:rPr>
    </w:lvl>
    <w:lvl w:ilvl="7" w:tplc="DB10B57A">
      <w:start w:val="1"/>
      <w:numFmt w:val="bullet"/>
      <w:lvlText w:val="o"/>
      <w:lvlJc w:val="left"/>
      <w:pPr>
        <w:ind w:left="5760" w:hanging="360"/>
      </w:pPr>
      <w:rPr>
        <w:rFonts w:ascii="Courier New" w:hAnsi="Courier New" w:hint="default"/>
      </w:rPr>
    </w:lvl>
    <w:lvl w:ilvl="8" w:tplc="78C48904">
      <w:start w:val="1"/>
      <w:numFmt w:val="bullet"/>
      <w:lvlText w:val=""/>
      <w:lvlJc w:val="left"/>
      <w:pPr>
        <w:ind w:left="6480" w:hanging="360"/>
      </w:pPr>
      <w:rPr>
        <w:rFonts w:ascii="Wingdings" w:hAnsi="Wingdings" w:hint="default"/>
      </w:rPr>
    </w:lvl>
  </w:abstractNum>
  <w:abstractNum w:abstractNumId="3" w15:restartNumberingAfterBreak="0">
    <w:nsid w:val="2B2F77F8"/>
    <w:multiLevelType w:val="multilevel"/>
    <w:tmpl w:val="6D52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3037C"/>
    <w:multiLevelType w:val="hybridMultilevel"/>
    <w:tmpl w:val="2AF8D6E6"/>
    <w:lvl w:ilvl="0" w:tplc="E572EA7E">
      <w:start w:val="1"/>
      <w:numFmt w:val="bullet"/>
      <w:lvlText w:val=""/>
      <w:lvlJc w:val="left"/>
      <w:pPr>
        <w:ind w:left="720" w:hanging="360"/>
      </w:pPr>
      <w:rPr>
        <w:rFonts w:ascii="Symbol" w:hAnsi="Symbol" w:hint="default"/>
      </w:rPr>
    </w:lvl>
    <w:lvl w:ilvl="1" w:tplc="A7A62808">
      <w:start w:val="1"/>
      <w:numFmt w:val="bullet"/>
      <w:lvlText w:val="o"/>
      <w:lvlJc w:val="left"/>
      <w:pPr>
        <w:ind w:left="1440" w:hanging="360"/>
      </w:pPr>
      <w:rPr>
        <w:rFonts w:ascii="Courier New" w:hAnsi="Courier New" w:hint="default"/>
      </w:rPr>
    </w:lvl>
    <w:lvl w:ilvl="2" w:tplc="37648234">
      <w:start w:val="1"/>
      <w:numFmt w:val="bullet"/>
      <w:lvlText w:val=""/>
      <w:lvlJc w:val="left"/>
      <w:pPr>
        <w:ind w:left="2160" w:hanging="360"/>
      </w:pPr>
      <w:rPr>
        <w:rFonts w:ascii="Wingdings" w:hAnsi="Wingdings" w:hint="default"/>
      </w:rPr>
    </w:lvl>
    <w:lvl w:ilvl="3" w:tplc="682CFB72">
      <w:start w:val="1"/>
      <w:numFmt w:val="bullet"/>
      <w:lvlText w:val=""/>
      <w:lvlJc w:val="left"/>
      <w:pPr>
        <w:ind w:left="2880" w:hanging="360"/>
      </w:pPr>
      <w:rPr>
        <w:rFonts w:ascii="Symbol" w:hAnsi="Symbol" w:hint="default"/>
      </w:rPr>
    </w:lvl>
    <w:lvl w:ilvl="4" w:tplc="C9485418">
      <w:start w:val="1"/>
      <w:numFmt w:val="bullet"/>
      <w:lvlText w:val="o"/>
      <w:lvlJc w:val="left"/>
      <w:pPr>
        <w:ind w:left="3600" w:hanging="360"/>
      </w:pPr>
      <w:rPr>
        <w:rFonts w:ascii="Courier New" w:hAnsi="Courier New" w:hint="default"/>
      </w:rPr>
    </w:lvl>
    <w:lvl w:ilvl="5" w:tplc="B1245920">
      <w:start w:val="1"/>
      <w:numFmt w:val="bullet"/>
      <w:lvlText w:val=""/>
      <w:lvlJc w:val="left"/>
      <w:pPr>
        <w:ind w:left="4320" w:hanging="360"/>
      </w:pPr>
      <w:rPr>
        <w:rFonts w:ascii="Wingdings" w:hAnsi="Wingdings" w:hint="default"/>
      </w:rPr>
    </w:lvl>
    <w:lvl w:ilvl="6" w:tplc="90B04D32">
      <w:start w:val="1"/>
      <w:numFmt w:val="bullet"/>
      <w:lvlText w:val=""/>
      <w:lvlJc w:val="left"/>
      <w:pPr>
        <w:ind w:left="5040" w:hanging="360"/>
      </w:pPr>
      <w:rPr>
        <w:rFonts w:ascii="Symbol" w:hAnsi="Symbol" w:hint="default"/>
      </w:rPr>
    </w:lvl>
    <w:lvl w:ilvl="7" w:tplc="D43C937E">
      <w:start w:val="1"/>
      <w:numFmt w:val="bullet"/>
      <w:lvlText w:val="o"/>
      <w:lvlJc w:val="left"/>
      <w:pPr>
        <w:ind w:left="5760" w:hanging="360"/>
      </w:pPr>
      <w:rPr>
        <w:rFonts w:ascii="Courier New" w:hAnsi="Courier New" w:hint="default"/>
      </w:rPr>
    </w:lvl>
    <w:lvl w:ilvl="8" w:tplc="EB3E6E00">
      <w:start w:val="1"/>
      <w:numFmt w:val="bullet"/>
      <w:lvlText w:val=""/>
      <w:lvlJc w:val="left"/>
      <w:pPr>
        <w:ind w:left="6480" w:hanging="360"/>
      </w:pPr>
      <w:rPr>
        <w:rFonts w:ascii="Wingdings" w:hAnsi="Wingdings" w:hint="default"/>
      </w:rPr>
    </w:lvl>
  </w:abstractNum>
  <w:abstractNum w:abstractNumId="5" w15:restartNumberingAfterBreak="0">
    <w:nsid w:val="63CD7B40"/>
    <w:multiLevelType w:val="hybridMultilevel"/>
    <w:tmpl w:val="F0A46C7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7B431B79"/>
    <w:multiLevelType w:val="multilevel"/>
    <w:tmpl w:val="EB14006C"/>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214274940">
    <w:abstractNumId w:val="0"/>
  </w:num>
  <w:num w:numId="2" w16cid:durableId="1266184029">
    <w:abstractNumId w:val="2"/>
  </w:num>
  <w:num w:numId="3" w16cid:durableId="94639776">
    <w:abstractNumId w:val="4"/>
  </w:num>
  <w:num w:numId="4" w16cid:durableId="1542474363">
    <w:abstractNumId w:val="1"/>
  </w:num>
  <w:num w:numId="5" w16cid:durableId="1840073906">
    <w:abstractNumId w:val="6"/>
  </w:num>
  <w:num w:numId="6" w16cid:durableId="874316572">
    <w:abstractNumId w:val="3"/>
  </w:num>
  <w:num w:numId="7" w16cid:durableId="383718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D53759"/>
    <w:rsid w:val="00212187"/>
    <w:rsid w:val="00273C35"/>
    <w:rsid w:val="00777C8C"/>
    <w:rsid w:val="008371AE"/>
    <w:rsid w:val="00E263BF"/>
    <w:rsid w:val="00E752F9"/>
    <w:rsid w:val="00F40275"/>
    <w:rsid w:val="00F61167"/>
    <w:rsid w:val="01450DF1"/>
    <w:rsid w:val="01A9E073"/>
    <w:rsid w:val="0313A6B2"/>
    <w:rsid w:val="0B013557"/>
    <w:rsid w:val="0B6DE0A1"/>
    <w:rsid w:val="0B973EC1"/>
    <w:rsid w:val="0D3AFAF5"/>
    <w:rsid w:val="0FC105E6"/>
    <w:rsid w:val="1095D952"/>
    <w:rsid w:val="10EE0E5D"/>
    <w:rsid w:val="1124E7C9"/>
    <w:rsid w:val="11B7CECC"/>
    <w:rsid w:val="12CCC8C4"/>
    <w:rsid w:val="18E53E5E"/>
    <w:rsid w:val="1A44263E"/>
    <w:rsid w:val="1B62FD61"/>
    <w:rsid w:val="1B6CD4CA"/>
    <w:rsid w:val="1CF5E434"/>
    <w:rsid w:val="1E052DFA"/>
    <w:rsid w:val="1E522EF0"/>
    <w:rsid w:val="210CAEB1"/>
    <w:rsid w:val="21B0416F"/>
    <w:rsid w:val="21CDE51D"/>
    <w:rsid w:val="222F7B89"/>
    <w:rsid w:val="23A31E2A"/>
    <w:rsid w:val="240E39E4"/>
    <w:rsid w:val="2D743AB1"/>
    <w:rsid w:val="2E0BCF44"/>
    <w:rsid w:val="2E41D56A"/>
    <w:rsid w:val="2F69AA16"/>
    <w:rsid w:val="30BD1935"/>
    <w:rsid w:val="31771DE8"/>
    <w:rsid w:val="328C50C2"/>
    <w:rsid w:val="34B6B80B"/>
    <w:rsid w:val="36D84CA6"/>
    <w:rsid w:val="36F14517"/>
    <w:rsid w:val="37BEF8D3"/>
    <w:rsid w:val="38AC6B65"/>
    <w:rsid w:val="3A5DC461"/>
    <w:rsid w:val="3A6EFF14"/>
    <w:rsid w:val="3B8251F0"/>
    <w:rsid w:val="3C05F761"/>
    <w:rsid w:val="3CD01211"/>
    <w:rsid w:val="3D336511"/>
    <w:rsid w:val="3FA1A0D9"/>
    <w:rsid w:val="4141B5B6"/>
    <w:rsid w:val="4150CB04"/>
    <w:rsid w:val="440B43C9"/>
    <w:rsid w:val="450654BA"/>
    <w:rsid w:val="457DECFA"/>
    <w:rsid w:val="46768680"/>
    <w:rsid w:val="46FDA942"/>
    <w:rsid w:val="48028BC9"/>
    <w:rsid w:val="4A582A33"/>
    <w:rsid w:val="4C987A36"/>
    <w:rsid w:val="4D29FA5C"/>
    <w:rsid w:val="4DDD0520"/>
    <w:rsid w:val="4E047CEA"/>
    <w:rsid w:val="4E36C058"/>
    <w:rsid w:val="4F2F950F"/>
    <w:rsid w:val="56BA0681"/>
    <w:rsid w:val="5733780D"/>
    <w:rsid w:val="579F2EB5"/>
    <w:rsid w:val="57C0BD6B"/>
    <w:rsid w:val="5924C6DF"/>
    <w:rsid w:val="59851773"/>
    <w:rsid w:val="59A066F4"/>
    <w:rsid w:val="5D1A1985"/>
    <w:rsid w:val="5FABE6D6"/>
    <w:rsid w:val="60938EE1"/>
    <w:rsid w:val="60A98E61"/>
    <w:rsid w:val="60C9A8AC"/>
    <w:rsid w:val="6100CB18"/>
    <w:rsid w:val="6139A27A"/>
    <w:rsid w:val="61BFAE3C"/>
    <w:rsid w:val="61F8663A"/>
    <w:rsid w:val="62D99D07"/>
    <w:rsid w:val="64CC85B7"/>
    <w:rsid w:val="64D07C35"/>
    <w:rsid w:val="67A62033"/>
    <w:rsid w:val="6A3345B6"/>
    <w:rsid w:val="6C2C5053"/>
    <w:rsid w:val="6C497282"/>
    <w:rsid w:val="6D860E73"/>
    <w:rsid w:val="6DBAC1D7"/>
    <w:rsid w:val="6E3AD2C7"/>
    <w:rsid w:val="700746E1"/>
    <w:rsid w:val="763B3C16"/>
    <w:rsid w:val="788A5301"/>
    <w:rsid w:val="79C23266"/>
    <w:rsid w:val="7BBC6176"/>
    <w:rsid w:val="7D89CCD5"/>
    <w:rsid w:val="7E1E7A28"/>
    <w:rsid w:val="7E4F006F"/>
    <w:rsid w:val="7F3130C1"/>
    <w:rsid w:val="7F3E744A"/>
    <w:rsid w:val="7FD537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3759"/>
  <w15:chartTrackingRefBased/>
  <w15:docId w15:val="{B156082E-968D-4988-8898-F59A5C45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34B6B80B"/>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457DECFA"/>
    <w:pPr>
      <w:ind w:left="720"/>
      <w:contextualSpacing/>
    </w:pPr>
  </w:style>
  <w:style w:type="character" w:styleId="Mencinsinresolver">
    <w:name w:val="Unresolved Mention"/>
    <w:basedOn w:val="Fuentedeprrafopredeter"/>
    <w:uiPriority w:val="99"/>
    <w:semiHidden/>
    <w:unhideWhenUsed/>
    <w:rsid w:val="00212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43943">
      <w:bodyDiv w:val="1"/>
      <w:marLeft w:val="0"/>
      <w:marRight w:val="0"/>
      <w:marTop w:val="0"/>
      <w:marBottom w:val="0"/>
      <w:divBdr>
        <w:top w:val="none" w:sz="0" w:space="0" w:color="auto"/>
        <w:left w:val="none" w:sz="0" w:space="0" w:color="auto"/>
        <w:bottom w:val="none" w:sz="0" w:space="0" w:color="auto"/>
        <w:right w:val="none" w:sz="0" w:space="0" w:color="auto"/>
      </w:divBdr>
    </w:div>
    <w:div w:id="310334696">
      <w:bodyDiv w:val="1"/>
      <w:marLeft w:val="0"/>
      <w:marRight w:val="0"/>
      <w:marTop w:val="0"/>
      <w:marBottom w:val="0"/>
      <w:divBdr>
        <w:top w:val="none" w:sz="0" w:space="0" w:color="auto"/>
        <w:left w:val="none" w:sz="0" w:space="0" w:color="auto"/>
        <w:bottom w:val="none" w:sz="0" w:space="0" w:color="auto"/>
        <w:right w:val="none" w:sz="0" w:space="0" w:color="auto"/>
      </w:divBdr>
    </w:div>
    <w:div w:id="398940099">
      <w:bodyDiv w:val="1"/>
      <w:marLeft w:val="0"/>
      <w:marRight w:val="0"/>
      <w:marTop w:val="0"/>
      <w:marBottom w:val="0"/>
      <w:divBdr>
        <w:top w:val="none" w:sz="0" w:space="0" w:color="auto"/>
        <w:left w:val="none" w:sz="0" w:space="0" w:color="auto"/>
        <w:bottom w:val="none" w:sz="0" w:space="0" w:color="auto"/>
        <w:right w:val="none" w:sz="0" w:space="0" w:color="auto"/>
      </w:divBdr>
    </w:div>
    <w:div w:id="500587691">
      <w:bodyDiv w:val="1"/>
      <w:marLeft w:val="0"/>
      <w:marRight w:val="0"/>
      <w:marTop w:val="0"/>
      <w:marBottom w:val="0"/>
      <w:divBdr>
        <w:top w:val="none" w:sz="0" w:space="0" w:color="auto"/>
        <w:left w:val="none" w:sz="0" w:space="0" w:color="auto"/>
        <w:bottom w:val="none" w:sz="0" w:space="0" w:color="auto"/>
        <w:right w:val="none" w:sz="0" w:space="0" w:color="auto"/>
      </w:divBdr>
    </w:div>
    <w:div w:id="541016147">
      <w:bodyDiv w:val="1"/>
      <w:marLeft w:val="0"/>
      <w:marRight w:val="0"/>
      <w:marTop w:val="0"/>
      <w:marBottom w:val="0"/>
      <w:divBdr>
        <w:top w:val="none" w:sz="0" w:space="0" w:color="auto"/>
        <w:left w:val="none" w:sz="0" w:space="0" w:color="auto"/>
        <w:bottom w:val="none" w:sz="0" w:space="0" w:color="auto"/>
        <w:right w:val="none" w:sz="0" w:space="0" w:color="auto"/>
      </w:divBdr>
    </w:div>
    <w:div w:id="984239514">
      <w:bodyDiv w:val="1"/>
      <w:marLeft w:val="0"/>
      <w:marRight w:val="0"/>
      <w:marTop w:val="0"/>
      <w:marBottom w:val="0"/>
      <w:divBdr>
        <w:top w:val="none" w:sz="0" w:space="0" w:color="auto"/>
        <w:left w:val="none" w:sz="0" w:space="0" w:color="auto"/>
        <w:bottom w:val="none" w:sz="0" w:space="0" w:color="auto"/>
        <w:right w:val="none" w:sz="0" w:space="0" w:color="auto"/>
      </w:divBdr>
    </w:div>
    <w:div w:id="986127704">
      <w:bodyDiv w:val="1"/>
      <w:marLeft w:val="0"/>
      <w:marRight w:val="0"/>
      <w:marTop w:val="0"/>
      <w:marBottom w:val="0"/>
      <w:divBdr>
        <w:top w:val="none" w:sz="0" w:space="0" w:color="auto"/>
        <w:left w:val="none" w:sz="0" w:space="0" w:color="auto"/>
        <w:bottom w:val="none" w:sz="0" w:space="0" w:color="auto"/>
        <w:right w:val="none" w:sz="0" w:space="0" w:color="auto"/>
      </w:divBdr>
    </w:div>
    <w:div w:id="1033766104">
      <w:bodyDiv w:val="1"/>
      <w:marLeft w:val="0"/>
      <w:marRight w:val="0"/>
      <w:marTop w:val="0"/>
      <w:marBottom w:val="0"/>
      <w:divBdr>
        <w:top w:val="none" w:sz="0" w:space="0" w:color="auto"/>
        <w:left w:val="none" w:sz="0" w:space="0" w:color="auto"/>
        <w:bottom w:val="none" w:sz="0" w:space="0" w:color="auto"/>
        <w:right w:val="none" w:sz="0" w:space="0" w:color="auto"/>
      </w:divBdr>
    </w:div>
    <w:div w:id="1132020603">
      <w:bodyDiv w:val="1"/>
      <w:marLeft w:val="0"/>
      <w:marRight w:val="0"/>
      <w:marTop w:val="0"/>
      <w:marBottom w:val="0"/>
      <w:divBdr>
        <w:top w:val="none" w:sz="0" w:space="0" w:color="auto"/>
        <w:left w:val="none" w:sz="0" w:space="0" w:color="auto"/>
        <w:bottom w:val="none" w:sz="0" w:space="0" w:color="auto"/>
        <w:right w:val="none" w:sz="0" w:space="0" w:color="auto"/>
      </w:divBdr>
    </w:div>
    <w:div w:id="1560818737">
      <w:bodyDiv w:val="1"/>
      <w:marLeft w:val="0"/>
      <w:marRight w:val="0"/>
      <w:marTop w:val="0"/>
      <w:marBottom w:val="0"/>
      <w:divBdr>
        <w:top w:val="none" w:sz="0" w:space="0" w:color="auto"/>
        <w:left w:val="none" w:sz="0" w:space="0" w:color="auto"/>
        <w:bottom w:val="none" w:sz="0" w:space="0" w:color="auto"/>
        <w:right w:val="none" w:sz="0" w:space="0" w:color="auto"/>
      </w:divBdr>
    </w:div>
    <w:div w:id="1755514109">
      <w:bodyDiv w:val="1"/>
      <w:marLeft w:val="0"/>
      <w:marRight w:val="0"/>
      <w:marTop w:val="0"/>
      <w:marBottom w:val="0"/>
      <w:divBdr>
        <w:top w:val="none" w:sz="0" w:space="0" w:color="auto"/>
        <w:left w:val="none" w:sz="0" w:space="0" w:color="auto"/>
        <w:bottom w:val="none" w:sz="0" w:space="0" w:color="auto"/>
        <w:right w:val="none" w:sz="0" w:space="0" w:color="auto"/>
      </w:divBdr>
    </w:div>
    <w:div w:id="187488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sac.pe/wp-content/uploads/2025/04/1.-Estudio-SEROI-AMSAC.pdf" TargetMode="Externa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dante.aguilar@outlook.com" TargetMode="External"/><Relationship Id="rId4" Type="http://schemas.openxmlformats.org/officeDocument/2006/relationships/numbering" Target="numbering.xml"/><Relationship Id="rId9" Type="http://schemas.openxmlformats.org/officeDocument/2006/relationships/hyperlink" Target="mailto:Dante.Aguilar@amsac.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f8394e5-1a67-4509-9bab-61a8e3885612">
      <Terms xmlns="http://schemas.microsoft.com/office/infopath/2007/PartnerControls"/>
    </lcf76f155ced4ddcb4097134ff3c332f>
    <TaxCatchAll xmlns="4670b81d-8968-43e9-bfe0-3258100c6a5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434EBA1E640E74CA2517B86E0AF1F22" ma:contentTypeVersion="13" ma:contentTypeDescription="Crear nuevo documento." ma:contentTypeScope="" ma:versionID="2cd4ceb83fd92a4f620107edd8c0f326">
  <xsd:schema xmlns:xsd="http://www.w3.org/2001/XMLSchema" xmlns:xs="http://www.w3.org/2001/XMLSchema" xmlns:p="http://schemas.microsoft.com/office/2006/metadata/properties" xmlns:ns2="6f8394e5-1a67-4509-9bab-61a8e3885612" xmlns:ns3="4670b81d-8968-43e9-bfe0-3258100c6a50" targetNamespace="http://schemas.microsoft.com/office/2006/metadata/properties" ma:root="true" ma:fieldsID="8cd0534fb14a44b83088bb87d6d6a6be" ns2:_="" ns3:_="">
    <xsd:import namespace="6f8394e5-1a67-4509-9bab-61a8e3885612"/>
    <xsd:import namespace="4670b81d-8968-43e9-bfe0-3258100c6a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394e5-1a67-4509-9bab-61a8e38856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f136364-d481-4ea5-9ac7-80593dc26de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70b81d-8968-43e9-bfe0-3258100c6a5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0ebbae2-2e4c-413c-b94a-df32007591f1}" ma:internalName="TaxCatchAll" ma:showField="CatchAllData" ma:web="4670b81d-8968-43e9-bfe0-3258100c6a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E4FB64-4578-4546-B707-BB3F7CC94DFB}">
  <ds:schemaRefs>
    <ds:schemaRef ds:uri="http://schemas.microsoft.com/office/2006/metadata/properties"/>
    <ds:schemaRef ds:uri="http://schemas.microsoft.com/office/infopath/2007/PartnerControls"/>
    <ds:schemaRef ds:uri="6f8394e5-1a67-4509-9bab-61a8e3885612"/>
    <ds:schemaRef ds:uri="4670b81d-8968-43e9-bfe0-3258100c6a50"/>
  </ds:schemaRefs>
</ds:datastoreItem>
</file>

<file path=customXml/itemProps2.xml><?xml version="1.0" encoding="utf-8"?>
<ds:datastoreItem xmlns:ds="http://schemas.openxmlformats.org/officeDocument/2006/customXml" ds:itemID="{E4D22516-FC47-4D74-9133-08ACE19289E9}">
  <ds:schemaRefs>
    <ds:schemaRef ds:uri="http://schemas.microsoft.com/sharepoint/v3/contenttype/forms"/>
  </ds:schemaRefs>
</ds:datastoreItem>
</file>

<file path=customXml/itemProps3.xml><?xml version="1.0" encoding="utf-8"?>
<ds:datastoreItem xmlns:ds="http://schemas.openxmlformats.org/officeDocument/2006/customXml" ds:itemID="{5C58C11D-3094-4A54-8993-F05288B11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394e5-1a67-4509-9bab-61a8e3885612"/>
    <ds:schemaRef ds:uri="4670b81d-8968-43e9-bfe0-3258100c6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1286</Words>
  <Characters>7077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Rashell Chirinos</dc:creator>
  <cp:keywords/>
  <dc:description/>
  <cp:lastModifiedBy>Soporte GIP</cp:lastModifiedBy>
  <cp:revision>3</cp:revision>
  <dcterms:created xsi:type="dcterms:W3CDTF">2025-04-24T15:41:00Z</dcterms:created>
  <dcterms:modified xsi:type="dcterms:W3CDTF">2025-04-27T23:38:00Z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0x010100B434EBA1E640E74CA2517B86E0AF1F22</vt:lpwstr>
  </property>
  <property fmtid="{D5CDD505-2E9C-101B-9397-08002B2CF9AE}" pid="3" name="Order">
    <vt:r8>285800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