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F7FE2" w14:textId="77777777" w:rsidR="001916FA" w:rsidRDefault="00000000">
      <w:pPr>
        <w:spacing w:before="120" w:after="0" w:line="240" w:lineRule="auto"/>
        <w:jc w:val="center"/>
        <w:rPr>
          <w:rFonts w:ascii="Arial" w:eastAsia="Arial" w:hAnsi="Arial" w:cs="Arial"/>
          <w:sz w:val="22"/>
          <w:szCs w:val="22"/>
        </w:rPr>
      </w:pPr>
      <w:r>
        <w:rPr>
          <w:rFonts w:ascii="Arial" w:eastAsia="Arial" w:hAnsi="Arial" w:cs="Arial"/>
          <w:sz w:val="22"/>
          <w:szCs w:val="22"/>
        </w:rPr>
        <w:t>Uso de Reactores Nucleares Modulares Pequeños y Energía Renovable para la Independencia Energética y la Descarbonización de la Gran Minería Peruana</w:t>
      </w:r>
    </w:p>
    <w:p w14:paraId="2159F072" w14:textId="77777777" w:rsidR="001916FA" w:rsidRDefault="001916FA">
      <w:pPr>
        <w:spacing w:before="120" w:after="0" w:line="240" w:lineRule="auto"/>
        <w:jc w:val="center"/>
        <w:rPr>
          <w:rFonts w:ascii="Arial" w:eastAsia="Arial" w:hAnsi="Arial" w:cs="Arial"/>
          <w:sz w:val="22"/>
          <w:szCs w:val="22"/>
        </w:rPr>
      </w:pPr>
    </w:p>
    <w:p w14:paraId="126A1C1C" w14:textId="77777777" w:rsidR="001916FA" w:rsidRDefault="00000000">
      <w:pPr>
        <w:spacing w:after="0" w:line="240" w:lineRule="auto"/>
        <w:jc w:val="center"/>
        <w:rPr>
          <w:rFonts w:ascii="Arial" w:eastAsia="Arial" w:hAnsi="Arial" w:cs="Arial"/>
          <w:sz w:val="22"/>
          <w:szCs w:val="22"/>
        </w:rPr>
      </w:pPr>
      <w:r>
        <w:rPr>
          <w:rFonts w:ascii="Arial" w:eastAsia="Arial" w:hAnsi="Arial" w:cs="Arial"/>
          <w:sz w:val="22"/>
          <w:szCs w:val="22"/>
        </w:rPr>
        <w:t>(Impacto de la Transición Energética en la Minería)</w:t>
      </w:r>
    </w:p>
    <w:p w14:paraId="0BC517B8" w14:textId="77777777" w:rsidR="001916FA" w:rsidRDefault="001916FA">
      <w:pPr>
        <w:spacing w:after="0" w:line="240" w:lineRule="auto"/>
        <w:rPr>
          <w:rFonts w:ascii="Arial" w:eastAsia="Arial" w:hAnsi="Arial" w:cs="Arial"/>
          <w:sz w:val="22"/>
          <w:szCs w:val="22"/>
        </w:rPr>
      </w:pPr>
    </w:p>
    <w:p w14:paraId="232BB481" w14:textId="77777777" w:rsidR="001916FA" w:rsidRDefault="00000000">
      <w:pPr>
        <w:spacing w:after="0" w:line="240" w:lineRule="auto"/>
        <w:jc w:val="center"/>
        <w:rPr>
          <w:rFonts w:ascii="Arial" w:eastAsia="Arial" w:hAnsi="Arial" w:cs="Arial"/>
          <w:b/>
          <w:sz w:val="22"/>
          <w:szCs w:val="22"/>
        </w:rPr>
      </w:pPr>
      <w:r>
        <w:rPr>
          <w:rFonts w:ascii="Arial" w:eastAsia="Arial" w:hAnsi="Arial" w:cs="Arial"/>
          <w:b/>
          <w:sz w:val="22"/>
          <w:szCs w:val="22"/>
        </w:rPr>
        <w:t>Brian Pajares Correa</w:t>
      </w:r>
      <w:r>
        <w:rPr>
          <w:rFonts w:ascii="Arial" w:eastAsia="Arial" w:hAnsi="Arial" w:cs="Arial"/>
          <w:b/>
          <w:sz w:val="22"/>
          <w:szCs w:val="22"/>
          <w:vertAlign w:val="superscript"/>
        </w:rPr>
        <w:t>1</w:t>
      </w:r>
      <w:r>
        <w:rPr>
          <w:rFonts w:ascii="Arial" w:eastAsia="Arial" w:hAnsi="Arial" w:cs="Arial"/>
          <w:b/>
          <w:sz w:val="22"/>
          <w:szCs w:val="22"/>
        </w:rPr>
        <w:t xml:space="preserve">, </w:t>
      </w:r>
      <w:proofErr w:type="spellStart"/>
      <w:r>
        <w:rPr>
          <w:rFonts w:ascii="Arial" w:eastAsia="Arial" w:hAnsi="Arial" w:cs="Arial"/>
          <w:b/>
          <w:sz w:val="22"/>
          <w:szCs w:val="22"/>
        </w:rPr>
        <w:t>Yennifer</w:t>
      </w:r>
      <w:proofErr w:type="spellEnd"/>
      <w:r>
        <w:rPr>
          <w:rFonts w:ascii="Arial" w:eastAsia="Arial" w:hAnsi="Arial" w:cs="Arial"/>
          <w:b/>
          <w:sz w:val="22"/>
          <w:szCs w:val="22"/>
        </w:rPr>
        <w:t xml:space="preserve"> Ramírez Candiotti</w:t>
      </w:r>
      <w:r>
        <w:rPr>
          <w:rFonts w:ascii="Arial" w:eastAsia="Arial" w:hAnsi="Arial" w:cs="Arial"/>
          <w:b/>
          <w:sz w:val="22"/>
          <w:szCs w:val="22"/>
          <w:vertAlign w:val="superscript"/>
        </w:rPr>
        <w:t>2</w:t>
      </w:r>
      <w:r>
        <w:rPr>
          <w:rFonts w:ascii="Arial" w:eastAsia="Arial" w:hAnsi="Arial" w:cs="Arial"/>
          <w:b/>
          <w:sz w:val="22"/>
          <w:szCs w:val="22"/>
        </w:rPr>
        <w:t xml:space="preserve"> y Maria Taipe Ricse</w:t>
      </w:r>
      <w:r>
        <w:rPr>
          <w:rFonts w:ascii="Arial" w:eastAsia="Arial" w:hAnsi="Arial" w:cs="Arial"/>
          <w:b/>
          <w:sz w:val="22"/>
          <w:szCs w:val="22"/>
          <w:vertAlign w:val="superscript"/>
        </w:rPr>
        <w:t>3</w:t>
      </w:r>
    </w:p>
    <w:p w14:paraId="5EB8775A" w14:textId="77777777" w:rsidR="001916FA" w:rsidRDefault="001916FA">
      <w:pPr>
        <w:spacing w:after="0" w:line="240" w:lineRule="auto"/>
        <w:jc w:val="center"/>
        <w:rPr>
          <w:rFonts w:ascii="Arial" w:eastAsia="Arial" w:hAnsi="Arial" w:cs="Arial"/>
          <w:sz w:val="22"/>
          <w:szCs w:val="22"/>
        </w:rPr>
      </w:pPr>
    </w:p>
    <w:p w14:paraId="65C7A444" w14:textId="77777777" w:rsidR="001916FA" w:rsidRDefault="001916FA">
      <w:pPr>
        <w:spacing w:after="0" w:line="240" w:lineRule="auto"/>
        <w:rPr>
          <w:rFonts w:ascii="Arial" w:eastAsia="Arial" w:hAnsi="Arial" w:cs="Arial"/>
          <w:sz w:val="22"/>
          <w:szCs w:val="22"/>
        </w:rPr>
      </w:pPr>
    </w:p>
    <w:p w14:paraId="36F5A61C" w14:textId="77777777" w:rsidR="001916FA" w:rsidRDefault="00000000">
      <w:pPr>
        <w:spacing w:after="0" w:line="240" w:lineRule="auto"/>
        <w:ind w:left="142"/>
        <w:jc w:val="both"/>
        <w:rPr>
          <w:rFonts w:ascii="Arial" w:eastAsia="Arial" w:hAnsi="Arial" w:cs="Arial"/>
          <w:sz w:val="22"/>
          <w:szCs w:val="22"/>
        </w:rPr>
      </w:pPr>
      <w:r>
        <w:rPr>
          <w:rFonts w:ascii="Arial" w:eastAsia="Arial" w:hAnsi="Arial" w:cs="Arial"/>
          <w:sz w:val="22"/>
          <w:szCs w:val="22"/>
          <w:vertAlign w:val="superscript"/>
        </w:rPr>
        <w:t xml:space="preserve">1 </w:t>
      </w:r>
      <w:r>
        <w:rPr>
          <w:rFonts w:ascii="Arial" w:eastAsia="Arial" w:hAnsi="Arial" w:cs="Arial"/>
          <w:sz w:val="22"/>
          <w:szCs w:val="22"/>
        </w:rPr>
        <w:t>Independiente, Jr. Juan Pablo II 265, Cajamarca, Perú (</w:t>
      </w:r>
      <w:r>
        <w:rPr>
          <w:rFonts w:ascii="Arial" w:eastAsia="Arial" w:hAnsi="Arial" w:cs="Arial"/>
          <w:sz w:val="22"/>
          <w:szCs w:val="22"/>
          <w:u w:val="single"/>
        </w:rPr>
        <w:t>b</w:t>
      </w:r>
      <w:hyperlink r:id="rId8">
        <w:r w:rsidR="001916FA">
          <w:rPr>
            <w:rFonts w:ascii="Arial" w:eastAsia="Arial" w:hAnsi="Arial" w:cs="Arial"/>
            <w:sz w:val="22"/>
            <w:szCs w:val="22"/>
            <w:u w:val="single"/>
          </w:rPr>
          <w:t>rian.d.pajares@gmail.com</w:t>
        </w:r>
      </w:hyperlink>
      <w:r>
        <w:rPr>
          <w:rFonts w:ascii="Arial" w:eastAsia="Arial" w:hAnsi="Arial" w:cs="Arial"/>
          <w:sz w:val="22"/>
          <w:szCs w:val="22"/>
        </w:rPr>
        <w:t>,  +51 988808110)</w:t>
      </w:r>
    </w:p>
    <w:p w14:paraId="08F25F1C" w14:textId="77777777" w:rsidR="001916FA" w:rsidRDefault="00000000">
      <w:pPr>
        <w:spacing w:after="0" w:line="240" w:lineRule="auto"/>
        <w:ind w:left="142"/>
        <w:jc w:val="both"/>
        <w:rPr>
          <w:rFonts w:ascii="Arial" w:eastAsia="Arial" w:hAnsi="Arial" w:cs="Arial"/>
          <w:sz w:val="22"/>
          <w:szCs w:val="22"/>
        </w:rPr>
      </w:pPr>
      <w:r>
        <w:rPr>
          <w:rFonts w:ascii="Arial" w:eastAsia="Arial" w:hAnsi="Arial" w:cs="Arial"/>
          <w:sz w:val="22"/>
          <w:szCs w:val="22"/>
          <w:vertAlign w:val="superscript"/>
        </w:rPr>
        <w:t xml:space="preserve">2 </w:t>
      </w:r>
      <w:r>
        <w:rPr>
          <w:rFonts w:ascii="Arial" w:eastAsia="Arial" w:hAnsi="Arial" w:cs="Arial"/>
          <w:sz w:val="22"/>
          <w:szCs w:val="22"/>
        </w:rPr>
        <w:t>Independiente, Calle 14 225, Lima, Perú (</w:t>
      </w:r>
      <w:hyperlink r:id="rId9">
        <w:r w:rsidR="001916FA">
          <w:rPr>
            <w:rFonts w:ascii="Arial" w:eastAsia="Arial" w:hAnsi="Arial" w:cs="Arial"/>
            <w:color w:val="1155CC"/>
            <w:sz w:val="22"/>
            <w:szCs w:val="22"/>
            <w:u w:val="single"/>
          </w:rPr>
          <w:t>y.ramirezcandiotti@gmail.com</w:t>
        </w:r>
      </w:hyperlink>
      <w:r>
        <w:rPr>
          <w:rFonts w:ascii="Arial" w:eastAsia="Arial" w:hAnsi="Arial" w:cs="Arial"/>
          <w:sz w:val="22"/>
          <w:szCs w:val="22"/>
        </w:rPr>
        <w:t>, +51 994560832)</w:t>
      </w:r>
    </w:p>
    <w:p w14:paraId="55376DF7" w14:textId="7382A967" w:rsidR="001916FA" w:rsidRPr="005D4844" w:rsidRDefault="005D4844" w:rsidP="005D4844">
      <w:pPr>
        <w:spacing w:after="0" w:line="240" w:lineRule="auto"/>
        <w:jc w:val="both"/>
        <w:rPr>
          <w:rFonts w:ascii="Arial" w:eastAsia="Arial" w:hAnsi="Arial" w:cs="Arial"/>
          <w:sz w:val="22"/>
          <w:szCs w:val="22"/>
        </w:rPr>
      </w:pPr>
      <w:r>
        <w:rPr>
          <w:rFonts w:ascii="Arial" w:eastAsia="Arial" w:hAnsi="Arial" w:cs="Arial"/>
          <w:sz w:val="22"/>
          <w:szCs w:val="22"/>
          <w:vertAlign w:val="superscript"/>
        </w:rPr>
        <w:t xml:space="preserve">   3</w:t>
      </w:r>
      <w:r>
        <w:rPr>
          <w:rFonts w:ascii="Arial" w:eastAsia="Arial" w:hAnsi="Arial" w:cs="Arial"/>
          <w:sz w:val="22"/>
          <w:szCs w:val="22"/>
        </w:rPr>
        <w:t xml:space="preserve"> Independiente, dirección, Lima, Perú (</w:t>
      </w:r>
      <w:r w:rsidRPr="005D4844">
        <w:rPr>
          <w:rFonts w:ascii="Arial" w:eastAsia="Arial" w:hAnsi="Arial" w:cs="Arial"/>
          <w:sz w:val="22"/>
          <w:szCs w:val="22"/>
        </w:rPr>
        <w:t>maria.taipe@tecsup.edu.pe</w:t>
      </w:r>
      <w:r>
        <w:rPr>
          <w:rFonts w:ascii="Arial" w:eastAsia="Arial" w:hAnsi="Arial" w:cs="Arial"/>
          <w:sz w:val="22"/>
          <w:szCs w:val="22"/>
        </w:rPr>
        <w:t xml:space="preserve"> y </w:t>
      </w:r>
      <w:r w:rsidRPr="005D4844">
        <w:rPr>
          <w:rFonts w:ascii="Arial" w:eastAsia="Arial" w:hAnsi="Arial" w:cs="Arial"/>
          <w:sz w:val="22"/>
          <w:szCs w:val="22"/>
        </w:rPr>
        <w:t>9</w:t>
      </w:r>
      <w:r>
        <w:rPr>
          <w:rFonts w:ascii="Arial" w:eastAsia="Arial" w:hAnsi="Arial" w:cs="Arial"/>
          <w:sz w:val="22"/>
          <w:szCs w:val="22"/>
        </w:rPr>
        <w:t>+51/</w:t>
      </w:r>
      <w:r w:rsidRPr="005D4844">
        <w:rPr>
          <w:rFonts w:ascii="Arial" w:eastAsia="Arial" w:hAnsi="Arial" w:cs="Arial"/>
          <w:sz w:val="22"/>
          <w:szCs w:val="22"/>
        </w:rPr>
        <w:t>54 025 251)</w:t>
      </w:r>
    </w:p>
    <w:p w14:paraId="4A8290CB" w14:textId="77777777" w:rsidR="001916FA" w:rsidRDefault="00000000">
      <w:pPr>
        <w:spacing w:after="0" w:line="240" w:lineRule="auto"/>
        <w:rPr>
          <w:rFonts w:ascii="Arial" w:eastAsia="Arial" w:hAnsi="Arial" w:cs="Arial"/>
          <w:sz w:val="22"/>
          <w:szCs w:val="22"/>
        </w:rPr>
      </w:pPr>
      <w:r>
        <w:rPr>
          <w:rFonts w:ascii="Arial" w:eastAsia="Arial" w:hAnsi="Arial" w:cs="Arial"/>
          <w:sz w:val="22"/>
          <w:szCs w:val="22"/>
        </w:rPr>
        <w:t>______________________________________________________________________________________________</w:t>
      </w:r>
    </w:p>
    <w:p w14:paraId="0DF9A373" w14:textId="77777777" w:rsidR="001916FA" w:rsidRDefault="001916FA">
      <w:pPr>
        <w:spacing w:after="0" w:line="240" w:lineRule="auto"/>
        <w:rPr>
          <w:rFonts w:ascii="Arial" w:eastAsia="Arial" w:hAnsi="Arial" w:cs="Arial"/>
          <w:sz w:val="22"/>
          <w:szCs w:val="22"/>
        </w:rPr>
        <w:sectPr w:rsidR="001916FA">
          <w:headerReference w:type="default" r:id="rId10"/>
          <w:footerReference w:type="default" r:id="rId11"/>
          <w:pgSz w:w="12240" w:h="15840"/>
          <w:pgMar w:top="1440" w:right="1440" w:bottom="1440" w:left="1440" w:header="720" w:footer="720" w:gutter="0"/>
          <w:pgNumType w:start="1"/>
          <w:cols w:space="720"/>
        </w:sectPr>
      </w:pPr>
    </w:p>
    <w:p w14:paraId="3D00353D" w14:textId="77777777" w:rsidR="001916FA" w:rsidRDefault="00000000">
      <w:pPr>
        <w:spacing w:after="0" w:line="240" w:lineRule="auto"/>
        <w:jc w:val="both"/>
        <w:rPr>
          <w:rFonts w:ascii="Arial" w:eastAsia="Arial" w:hAnsi="Arial" w:cs="Arial"/>
          <w:b/>
          <w:sz w:val="22"/>
          <w:szCs w:val="22"/>
        </w:rPr>
      </w:pPr>
      <w:r>
        <w:rPr>
          <w:rFonts w:ascii="Arial" w:eastAsia="Arial" w:hAnsi="Arial" w:cs="Arial"/>
          <w:b/>
          <w:sz w:val="22"/>
          <w:szCs w:val="22"/>
        </w:rPr>
        <w:t>RESUMEN</w:t>
      </w:r>
    </w:p>
    <w:p w14:paraId="2942D2B2" w14:textId="77777777" w:rsidR="00F00BE9" w:rsidRDefault="00F00BE9">
      <w:pPr>
        <w:spacing w:after="0" w:line="240" w:lineRule="auto"/>
        <w:jc w:val="both"/>
        <w:rPr>
          <w:rFonts w:ascii="Arial" w:eastAsia="Arial" w:hAnsi="Arial" w:cs="Arial"/>
          <w:b/>
          <w:sz w:val="22"/>
          <w:szCs w:val="22"/>
        </w:rPr>
      </w:pPr>
    </w:p>
    <w:p w14:paraId="25A63541" w14:textId="77777777" w:rsidR="00F00BE9" w:rsidRPr="00F00BE9" w:rsidRDefault="00F00BE9" w:rsidP="00F00BE9">
      <w:pPr>
        <w:spacing w:after="0" w:line="240" w:lineRule="auto"/>
        <w:jc w:val="both"/>
        <w:rPr>
          <w:rFonts w:ascii="Arial" w:eastAsia="Arial" w:hAnsi="Arial" w:cs="Arial"/>
          <w:b/>
          <w:sz w:val="22"/>
          <w:szCs w:val="22"/>
        </w:rPr>
      </w:pPr>
      <w:r w:rsidRPr="00F00BE9">
        <w:rPr>
          <w:rFonts w:ascii="Arial" w:eastAsia="Arial" w:hAnsi="Arial" w:cs="Arial"/>
          <w:b/>
          <w:sz w:val="22"/>
          <w:szCs w:val="22"/>
        </w:rPr>
        <w:t xml:space="preserve">El estudio demuestra que la integración de </w:t>
      </w:r>
      <w:r w:rsidRPr="00F00BE9">
        <w:rPr>
          <w:rFonts w:ascii="Arial" w:eastAsia="Arial" w:hAnsi="Arial" w:cs="Arial"/>
          <w:b/>
          <w:bCs/>
          <w:sz w:val="22"/>
          <w:szCs w:val="22"/>
        </w:rPr>
        <w:t xml:space="preserve">reactores modulares pequeños (SMR) de 100 </w:t>
      </w:r>
      <w:proofErr w:type="spellStart"/>
      <w:r w:rsidRPr="00F00BE9">
        <w:rPr>
          <w:rFonts w:ascii="Arial" w:eastAsia="Arial" w:hAnsi="Arial" w:cs="Arial"/>
          <w:b/>
          <w:bCs/>
          <w:sz w:val="22"/>
          <w:szCs w:val="22"/>
        </w:rPr>
        <w:t>MWe</w:t>
      </w:r>
      <w:proofErr w:type="spellEnd"/>
      <w:r w:rsidRPr="00F00BE9">
        <w:rPr>
          <w:rFonts w:ascii="Arial" w:eastAsia="Arial" w:hAnsi="Arial" w:cs="Arial"/>
          <w:b/>
          <w:sz w:val="22"/>
          <w:szCs w:val="22"/>
        </w:rPr>
        <w:t xml:space="preserve">, combinados con </w:t>
      </w:r>
      <w:r w:rsidRPr="00F00BE9">
        <w:rPr>
          <w:rFonts w:ascii="Arial" w:eastAsia="Arial" w:hAnsi="Arial" w:cs="Arial"/>
          <w:b/>
          <w:bCs/>
          <w:sz w:val="22"/>
          <w:szCs w:val="22"/>
        </w:rPr>
        <w:t xml:space="preserve">parques solar-fotovoltaicos y eólicos respaldados por sistemas BESS de 50 MW/200 </w:t>
      </w:r>
      <w:proofErr w:type="spellStart"/>
      <w:r w:rsidRPr="00F00BE9">
        <w:rPr>
          <w:rFonts w:ascii="Arial" w:eastAsia="Arial" w:hAnsi="Arial" w:cs="Arial"/>
          <w:b/>
          <w:bCs/>
          <w:sz w:val="22"/>
          <w:szCs w:val="22"/>
        </w:rPr>
        <w:t>MWh</w:t>
      </w:r>
      <w:proofErr w:type="spellEnd"/>
      <w:r w:rsidRPr="00F00BE9">
        <w:rPr>
          <w:rFonts w:ascii="Arial" w:eastAsia="Arial" w:hAnsi="Arial" w:cs="Arial"/>
          <w:b/>
          <w:sz w:val="22"/>
          <w:szCs w:val="22"/>
        </w:rPr>
        <w:t xml:space="preserve">, constituye la estrategia óptima para abastecer en forma firme, competitiva y baja en carbono a las minas cupríferas peruanas situadas por encima de los 3 800 m </w:t>
      </w:r>
      <w:proofErr w:type="spellStart"/>
      <w:r w:rsidRPr="00F00BE9">
        <w:rPr>
          <w:rFonts w:ascii="Arial" w:eastAsia="Arial" w:hAnsi="Arial" w:cs="Arial"/>
          <w:b/>
          <w:sz w:val="22"/>
          <w:szCs w:val="22"/>
        </w:rPr>
        <w:t>s.n.m</w:t>
      </w:r>
      <w:proofErr w:type="spellEnd"/>
      <w:r w:rsidRPr="00F00BE9">
        <w:rPr>
          <w:rFonts w:ascii="Arial" w:eastAsia="Arial" w:hAnsi="Arial" w:cs="Arial"/>
          <w:b/>
          <w:sz w:val="22"/>
          <w:szCs w:val="22"/>
        </w:rPr>
        <w:t>. La metodología parte de la construcción de perfiles horarios representativos de demanda para Quellaveco, Las Bambas y Antapaccay, los cuales se someten a optimización MINLP en HOMER Pro y a simulaciones de sensibilidad Monte-Carlo variando WACC (6-12 %), penetración renovable (15-45 %) y CAPEX (±20 %). Se comparan tres escenarios: (A) diésel/red, con un LCOE de 80-120 USD/</w:t>
      </w:r>
      <w:proofErr w:type="spellStart"/>
      <w:r w:rsidRPr="00F00BE9">
        <w:rPr>
          <w:rFonts w:ascii="Arial" w:eastAsia="Arial" w:hAnsi="Arial" w:cs="Arial"/>
          <w:b/>
          <w:sz w:val="22"/>
          <w:szCs w:val="22"/>
        </w:rPr>
        <w:t>MWh</w:t>
      </w:r>
      <w:proofErr w:type="spellEnd"/>
      <w:r w:rsidRPr="00F00BE9">
        <w:rPr>
          <w:rFonts w:ascii="Arial" w:eastAsia="Arial" w:hAnsi="Arial" w:cs="Arial"/>
          <w:b/>
          <w:sz w:val="22"/>
          <w:szCs w:val="22"/>
        </w:rPr>
        <w:t xml:space="preserve"> y máxima huella de carbono; (B) SMR puro, que desciende a 50-70 USD/</w:t>
      </w:r>
      <w:proofErr w:type="spellStart"/>
      <w:r w:rsidRPr="00F00BE9">
        <w:rPr>
          <w:rFonts w:ascii="Arial" w:eastAsia="Arial" w:hAnsi="Arial" w:cs="Arial"/>
          <w:b/>
          <w:sz w:val="22"/>
          <w:szCs w:val="22"/>
        </w:rPr>
        <w:t>MWh</w:t>
      </w:r>
      <w:proofErr w:type="spellEnd"/>
      <w:r w:rsidRPr="00F00BE9">
        <w:rPr>
          <w:rFonts w:ascii="Arial" w:eastAsia="Arial" w:hAnsi="Arial" w:cs="Arial"/>
          <w:b/>
          <w:sz w:val="22"/>
          <w:szCs w:val="22"/>
        </w:rPr>
        <w:t xml:space="preserve"> y reduce 55 % de las emisiones; y (C) el sistema híbrido </w:t>
      </w:r>
      <w:r w:rsidRPr="00F00BE9">
        <w:rPr>
          <w:rFonts w:ascii="Arial" w:eastAsia="Arial" w:hAnsi="Arial" w:cs="Arial"/>
          <w:b/>
          <w:bCs/>
          <w:sz w:val="22"/>
          <w:szCs w:val="22"/>
        </w:rPr>
        <w:t>SMR + 35 % renovables</w:t>
      </w:r>
      <w:r w:rsidRPr="00F00BE9">
        <w:rPr>
          <w:rFonts w:ascii="Arial" w:eastAsia="Arial" w:hAnsi="Arial" w:cs="Arial"/>
          <w:b/>
          <w:sz w:val="22"/>
          <w:szCs w:val="22"/>
        </w:rPr>
        <w:t xml:space="preserve">, que logra </w:t>
      </w:r>
      <w:r w:rsidRPr="00F00BE9">
        <w:rPr>
          <w:rFonts w:ascii="Arial" w:eastAsia="Arial" w:hAnsi="Arial" w:cs="Arial"/>
          <w:b/>
          <w:bCs/>
          <w:sz w:val="22"/>
          <w:szCs w:val="22"/>
        </w:rPr>
        <w:t>45-65 USD/</w:t>
      </w:r>
      <w:proofErr w:type="spellStart"/>
      <w:r w:rsidRPr="00F00BE9">
        <w:rPr>
          <w:rFonts w:ascii="Arial" w:eastAsia="Arial" w:hAnsi="Arial" w:cs="Arial"/>
          <w:b/>
          <w:bCs/>
          <w:sz w:val="22"/>
          <w:szCs w:val="22"/>
        </w:rPr>
        <w:t>MWh</w:t>
      </w:r>
      <w:proofErr w:type="spellEnd"/>
      <w:r w:rsidRPr="00F00BE9">
        <w:rPr>
          <w:rFonts w:ascii="Arial" w:eastAsia="Arial" w:hAnsi="Arial" w:cs="Arial"/>
          <w:b/>
          <w:bCs/>
          <w:sz w:val="22"/>
          <w:szCs w:val="22"/>
        </w:rPr>
        <w:t>, recorta hasta 70 % de CO</w:t>
      </w:r>
      <w:r w:rsidRPr="00F00BE9">
        <w:rPr>
          <w:rFonts w:ascii="Cambria Math" w:eastAsia="Arial" w:hAnsi="Cambria Math" w:cs="Cambria Math"/>
          <w:b/>
          <w:bCs/>
          <w:sz w:val="22"/>
          <w:szCs w:val="22"/>
        </w:rPr>
        <w:t>₂</w:t>
      </w:r>
      <w:r w:rsidRPr="00F00BE9">
        <w:rPr>
          <w:rFonts w:ascii="Arial" w:eastAsia="Arial" w:hAnsi="Arial" w:cs="Arial"/>
          <w:b/>
          <w:bCs/>
          <w:sz w:val="22"/>
          <w:szCs w:val="22"/>
        </w:rPr>
        <w:t xml:space="preserve"> y disminuye 18 000 viajes cisterna anuales</w:t>
      </w:r>
      <w:r w:rsidRPr="00F00BE9">
        <w:rPr>
          <w:rFonts w:ascii="Arial" w:eastAsia="Arial" w:hAnsi="Arial" w:cs="Arial"/>
          <w:b/>
          <w:sz w:val="22"/>
          <w:szCs w:val="22"/>
        </w:rPr>
        <w:t xml:space="preserve">, mejorando la confiabilidad a un LOLP de 0,002 h/año y reduciendo el tiempo de </w:t>
      </w:r>
      <w:proofErr w:type="spellStart"/>
      <w:r w:rsidRPr="00F00BE9">
        <w:rPr>
          <w:rFonts w:ascii="Arial" w:eastAsia="Arial" w:hAnsi="Arial" w:cs="Arial"/>
          <w:b/>
          <w:sz w:val="22"/>
          <w:szCs w:val="22"/>
        </w:rPr>
        <w:t>black-start</w:t>
      </w:r>
      <w:proofErr w:type="spellEnd"/>
      <w:r w:rsidRPr="00F00BE9">
        <w:rPr>
          <w:rFonts w:ascii="Arial" w:eastAsia="Arial" w:hAnsi="Arial" w:cs="Arial"/>
          <w:b/>
          <w:sz w:val="22"/>
          <w:szCs w:val="22"/>
        </w:rPr>
        <w:t xml:space="preserve"> de 6 h a 43 min. Sólo en Las Bambas, el cambio del escenario A al C ahorra 59,6 M USD al año y evita cerca de 0,97 Mt CO</w:t>
      </w:r>
      <w:r w:rsidRPr="00F00BE9">
        <w:rPr>
          <w:rFonts w:ascii="Cambria Math" w:eastAsia="Arial" w:hAnsi="Cambria Math" w:cs="Cambria Math"/>
          <w:b/>
          <w:sz w:val="22"/>
          <w:szCs w:val="22"/>
        </w:rPr>
        <w:t>₂</w:t>
      </w:r>
      <w:r w:rsidRPr="00F00BE9">
        <w:rPr>
          <w:rFonts w:ascii="Arial" w:eastAsia="Arial" w:hAnsi="Arial" w:cs="Arial"/>
          <w:b/>
          <w:sz w:val="22"/>
          <w:szCs w:val="22"/>
        </w:rPr>
        <w:t xml:space="preserve"> anuales. Los SMR, fabricados en serie y transportables por carretera, se despliegan modularmente, evitando sobredimensionamiento y mitigando riesgos financieros, mientras su diseño de seguridad pasiva garantiza operación autónoma en entornos andinos. Para viabilizar </w:t>
      </w:r>
      <w:r w:rsidRPr="00F00BE9">
        <w:rPr>
          <w:rFonts w:ascii="Arial" w:eastAsia="Arial" w:hAnsi="Arial" w:cs="Arial"/>
          <w:b/>
          <w:sz w:val="22"/>
          <w:szCs w:val="22"/>
        </w:rPr>
        <w:t xml:space="preserve">la adopción se propone un </w:t>
      </w:r>
      <w:r w:rsidRPr="00F00BE9">
        <w:rPr>
          <w:rFonts w:ascii="Arial" w:eastAsia="Arial" w:hAnsi="Arial" w:cs="Arial"/>
          <w:b/>
          <w:bCs/>
          <w:sz w:val="22"/>
          <w:szCs w:val="22"/>
        </w:rPr>
        <w:t xml:space="preserve">Reglamento de Reactores de Potencia ≤ 300 </w:t>
      </w:r>
      <w:proofErr w:type="spellStart"/>
      <w:r w:rsidRPr="00F00BE9">
        <w:rPr>
          <w:rFonts w:ascii="Arial" w:eastAsia="Arial" w:hAnsi="Arial" w:cs="Arial"/>
          <w:b/>
          <w:bCs/>
          <w:sz w:val="22"/>
          <w:szCs w:val="22"/>
        </w:rPr>
        <w:t>MWe</w:t>
      </w:r>
      <w:proofErr w:type="spellEnd"/>
      <w:r w:rsidRPr="00F00BE9">
        <w:rPr>
          <w:rFonts w:ascii="Arial" w:eastAsia="Arial" w:hAnsi="Arial" w:cs="Arial"/>
          <w:b/>
          <w:sz w:val="22"/>
          <w:szCs w:val="22"/>
        </w:rPr>
        <w:t>, un modelo de financiamiento BOOT respaldado por bonos verdes y un programa de diálogo comunitario que refuerza la licencia social; con ello, la solución posiciona al cobre peruano como insumo “net-</w:t>
      </w:r>
      <w:proofErr w:type="spellStart"/>
      <w:r w:rsidRPr="00F00BE9">
        <w:rPr>
          <w:rFonts w:ascii="Arial" w:eastAsia="Arial" w:hAnsi="Arial" w:cs="Arial"/>
          <w:b/>
          <w:sz w:val="22"/>
          <w:szCs w:val="22"/>
        </w:rPr>
        <w:t>zero</w:t>
      </w:r>
      <w:proofErr w:type="spellEnd"/>
      <w:r w:rsidRPr="00F00BE9">
        <w:rPr>
          <w:rFonts w:ascii="Arial" w:eastAsia="Arial" w:hAnsi="Arial" w:cs="Arial"/>
          <w:b/>
          <w:sz w:val="22"/>
          <w:szCs w:val="22"/>
        </w:rPr>
        <w:t>”, genera primas ESG superiores a 5 USD/t y contribuiría con hasta un 6 % a la meta nacional de reducción de gases de efecto invernadero al 2030, consolidando la competitividad y sostenibilidad de la gran minería del país.</w:t>
      </w:r>
    </w:p>
    <w:p w14:paraId="7455CAAA" w14:textId="77777777" w:rsidR="00F00BE9" w:rsidRPr="00F00BE9" w:rsidRDefault="00F00BE9" w:rsidP="00F00BE9">
      <w:pPr>
        <w:spacing w:after="0" w:line="240" w:lineRule="auto"/>
        <w:jc w:val="both"/>
        <w:rPr>
          <w:rFonts w:ascii="Arial" w:eastAsia="Arial" w:hAnsi="Arial" w:cs="Arial"/>
          <w:b/>
          <w:sz w:val="22"/>
          <w:szCs w:val="22"/>
          <w:lang w:val="en-US"/>
        </w:rPr>
      </w:pPr>
      <w:proofErr w:type="spellStart"/>
      <w:r w:rsidRPr="00F00BE9">
        <w:rPr>
          <w:rFonts w:ascii="Arial" w:eastAsia="Arial" w:hAnsi="Arial" w:cs="Arial"/>
          <w:b/>
          <w:sz w:val="22"/>
          <w:szCs w:val="22"/>
          <w:lang w:val="en-US"/>
        </w:rPr>
        <w:t>Preguntar</w:t>
      </w:r>
      <w:proofErr w:type="spellEnd"/>
      <w:r w:rsidRPr="00F00BE9">
        <w:rPr>
          <w:rFonts w:ascii="Arial" w:eastAsia="Arial" w:hAnsi="Arial" w:cs="Arial"/>
          <w:b/>
          <w:sz w:val="22"/>
          <w:szCs w:val="22"/>
          <w:lang w:val="en-US"/>
        </w:rPr>
        <w:t xml:space="preserve"> a ChatGPT</w:t>
      </w:r>
    </w:p>
    <w:p w14:paraId="2B1FF291" w14:textId="77777777" w:rsidR="001916FA" w:rsidRDefault="001916FA">
      <w:pPr>
        <w:spacing w:after="0" w:line="240" w:lineRule="auto"/>
        <w:jc w:val="both"/>
        <w:rPr>
          <w:rFonts w:ascii="Arial" w:eastAsia="Arial" w:hAnsi="Arial" w:cs="Arial"/>
          <w:sz w:val="22"/>
          <w:szCs w:val="22"/>
        </w:rPr>
      </w:pPr>
    </w:p>
    <w:p w14:paraId="03A96079" w14:textId="77777777" w:rsidR="001916FA" w:rsidRDefault="00000000" w:rsidP="00F00BE9">
      <w:pPr>
        <w:spacing w:line="240" w:lineRule="auto"/>
        <w:rPr>
          <w:rFonts w:ascii="Arial" w:eastAsia="Arial" w:hAnsi="Arial" w:cs="Arial"/>
          <w:b/>
          <w:sz w:val="22"/>
          <w:szCs w:val="22"/>
        </w:rPr>
      </w:pPr>
      <w:r>
        <w:rPr>
          <w:rFonts w:ascii="Arial" w:eastAsia="Arial" w:hAnsi="Arial" w:cs="Arial"/>
          <w:b/>
          <w:sz w:val="22"/>
          <w:szCs w:val="22"/>
        </w:rPr>
        <w:t xml:space="preserve">Palabras Clave: </w:t>
      </w:r>
      <w:r>
        <w:rPr>
          <w:rFonts w:ascii="Arial" w:eastAsia="Arial" w:hAnsi="Arial" w:cs="Arial"/>
          <w:sz w:val="22"/>
          <w:szCs w:val="22"/>
        </w:rPr>
        <w:t>Energía Nuclear, SMR (Reactores Modulares Pequeños), Energías Renovables, Minería Remota, Costos de Producción, Reducción de CO</w:t>
      </w:r>
      <w:r>
        <w:rPr>
          <w:rFonts w:ascii="Cambria Math" w:eastAsia="Cambria Math" w:hAnsi="Cambria Math" w:cs="Cambria Math"/>
          <w:sz w:val="22"/>
          <w:szCs w:val="22"/>
        </w:rPr>
        <w:t>₂</w:t>
      </w:r>
    </w:p>
    <w:p w14:paraId="13E6B37D" w14:textId="77777777" w:rsidR="001916FA" w:rsidRDefault="00000000">
      <w:pPr>
        <w:spacing w:after="0" w:line="240" w:lineRule="auto"/>
        <w:jc w:val="both"/>
        <w:rPr>
          <w:rFonts w:ascii="Arial" w:eastAsia="Arial" w:hAnsi="Arial" w:cs="Arial"/>
          <w:b/>
          <w:sz w:val="22"/>
          <w:szCs w:val="22"/>
        </w:rPr>
      </w:pPr>
      <w:r>
        <w:rPr>
          <w:rFonts w:ascii="Arial" w:eastAsia="Arial" w:hAnsi="Arial" w:cs="Arial"/>
          <w:b/>
          <w:sz w:val="22"/>
          <w:szCs w:val="22"/>
        </w:rPr>
        <w:t xml:space="preserve">1. Introducción </w:t>
      </w:r>
    </w:p>
    <w:p w14:paraId="1480785D" w14:textId="77777777" w:rsidR="001916FA" w:rsidRDefault="001916FA">
      <w:pPr>
        <w:spacing w:after="0" w:line="240" w:lineRule="auto"/>
        <w:jc w:val="both"/>
        <w:rPr>
          <w:rFonts w:ascii="Arial" w:eastAsia="Arial" w:hAnsi="Arial" w:cs="Arial"/>
          <w:b/>
          <w:sz w:val="22"/>
          <w:szCs w:val="22"/>
        </w:rPr>
      </w:pPr>
    </w:p>
    <w:p w14:paraId="35CCAA89" w14:textId="77777777" w:rsidR="00F00BE9" w:rsidRPr="00F00BE9" w:rsidRDefault="00F00BE9" w:rsidP="00F00BE9">
      <w:pPr>
        <w:spacing w:after="0" w:line="240" w:lineRule="auto"/>
        <w:ind w:firstLine="720"/>
        <w:jc w:val="both"/>
        <w:rPr>
          <w:rFonts w:ascii="Arial" w:eastAsia="Arial" w:hAnsi="Arial" w:cs="Arial"/>
          <w:sz w:val="22"/>
          <w:szCs w:val="22"/>
        </w:rPr>
      </w:pPr>
      <w:r w:rsidRPr="00F00BE9">
        <w:rPr>
          <w:rFonts w:ascii="Arial" w:eastAsia="Arial" w:hAnsi="Arial" w:cs="Arial"/>
          <w:sz w:val="22"/>
          <w:szCs w:val="22"/>
        </w:rPr>
        <w:t xml:space="preserve">En </w:t>
      </w:r>
      <w:r w:rsidRPr="00F00BE9">
        <w:rPr>
          <w:rFonts w:ascii="Arial" w:eastAsia="Arial" w:hAnsi="Arial" w:cs="Arial"/>
          <w:b/>
          <w:bCs/>
          <w:sz w:val="22"/>
          <w:szCs w:val="22"/>
        </w:rPr>
        <w:t>2024, el Perú se consolidó como el segundo productor mundial de cobre</w:t>
      </w:r>
      <w:r w:rsidRPr="00F00BE9">
        <w:rPr>
          <w:rFonts w:ascii="Arial" w:eastAsia="Arial" w:hAnsi="Arial" w:cs="Arial"/>
          <w:sz w:val="22"/>
          <w:szCs w:val="22"/>
        </w:rPr>
        <w:t xml:space="preserve">, con un volumen &gt; 2,3 Mt que aportó casi </w:t>
      </w:r>
      <w:r w:rsidRPr="00F00BE9">
        <w:rPr>
          <w:rFonts w:ascii="Arial" w:eastAsia="Arial" w:hAnsi="Arial" w:cs="Arial"/>
          <w:b/>
          <w:bCs/>
          <w:sz w:val="22"/>
          <w:szCs w:val="22"/>
        </w:rPr>
        <w:t>30 % del valor total de las exportaciones nacionales</w:t>
      </w:r>
      <w:r w:rsidRPr="00F00BE9">
        <w:rPr>
          <w:rFonts w:ascii="Arial" w:eastAsia="Arial" w:hAnsi="Arial" w:cs="Arial"/>
          <w:sz w:val="22"/>
          <w:szCs w:val="22"/>
        </w:rPr>
        <w:t xml:space="preserve"> (</w:t>
      </w:r>
      <w:proofErr w:type="spellStart"/>
      <w:r w:rsidRPr="00F00BE9">
        <w:rPr>
          <w:rFonts w:ascii="Arial" w:eastAsia="Arial" w:hAnsi="Arial" w:cs="Arial"/>
          <w:sz w:val="22"/>
          <w:szCs w:val="22"/>
        </w:rPr>
        <w:t>ComexPerú</w:t>
      </w:r>
      <w:proofErr w:type="spellEnd"/>
      <w:r w:rsidRPr="00F00BE9">
        <w:rPr>
          <w:rFonts w:ascii="Arial" w:eastAsia="Arial" w:hAnsi="Arial" w:cs="Arial"/>
          <w:sz w:val="22"/>
          <w:szCs w:val="22"/>
        </w:rPr>
        <w:t xml:space="preserve">, 2024). Este liderazgo se sustenta en </w:t>
      </w:r>
      <w:proofErr w:type="spellStart"/>
      <w:r w:rsidRPr="00F00BE9">
        <w:rPr>
          <w:rFonts w:ascii="Arial" w:eastAsia="Arial" w:hAnsi="Arial" w:cs="Arial"/>
          <w:sz w:val="22"/>
          <w:szCs w:val="22"/>
        </w:rPr>
        <w:t>mega-yacimientos</w:t>
      </w:r>
      <w:proofErr w:type="spellEnd"/>
      <w:r w:rsidRPr="00F00BE9">
        <w:rPr>
          <w:rFonts w:ascii="Arial" w:eastAsia="Arial" w:hAnsi="Arial" w:cs="Arial"/>
          <w:sz w:val="22"/>
          <w:szCs w:val="22"/>
        </w:rPr>
        <w:t xml:space="preserve"> de alta ley situados en la Cordillera de los Andes—generalmente a más de 3 800 m </w:t>
      </w:r>
      <w:proofErr w:type="spellStart"/>
      <w:r w:rsidRPr="00F00BE9">
        <w:rPr>
          <w:rFonts w:ascii="Arial" w:eastAsia="Arial" w:hAnsi="Arial" w:cs="Arial"/>
          <w:sz w:val="22"/>
          <w:szCs w:val="22"/>
        </w:rPr>
        <w:t>s.n.m</w:t>
      </w:r>
      <w:proofErr w:type="spellEnd"/>
      <w:r w:rsidRPr="00F00BE9">
        <w:rPr>
          <w:rFonts w:ascii="Arial" w:eastAsia="Arial" w:hAnsi="Arial" w:cs="Arial"/>
          <w:sz w:val="22"/>
          <w:szCs w:val="22"/>
        </w:rPr>
        <w:t xml:space="preserve">.—cuyos procesos de perforación, voladura, chancado, molienda y bombeo demandan </w:t>
      </w:r>
      <w:r w:rsidRPr="00F00BE9">
        <w:rPr>
          <w:rFonts w:ascii="Arial" w:eastAsia="Arial" w:hAnsi="Arial" w:cs="Arial"/>
          <w:b/>
          <w:bCs/>
          <w:sz w:val="22"/>
          <w:szCs w:val="22"/>
        </w:rPr>
        <w:t>intensidades energéticas que superan los 100 kWh/t de mineral</w:t>
      </w:r>
      <w:r w:rsidRPr="00F00BE9">
        <w:rPr>
          <w:rFonts w:ascii="Arial" w:eastAsia="Arial" w:hAnsi="Arial" w:cs="Arial"/>
          <w:sz w:val="22"/>
          <w:szCs w:val="22"/>
        </w:rPr>
        <w:t xml:space="preserve">. Tal consumo aumenta de modo no lineal cuando la operación se ubica en regiones remotas, debido a pérdidas en líneas de transmisión, uso de diésel para </w:t>
      </w:r>
      <w:r w:rsidRPr="00F00BE9">
        <w:rPr>
          <w:rFonts w:ascii="Arial" w:eastAsia="Arial" w:hAnsi="Arial" w:cs="Arial"/>
          <w:sz w:val="22"/>
          <w:szCs w:val="22"/>
        </w:rPr>
        <w:lastRenderedPageBreak/>
        <w:t>generación in situ y la logística de transporte de combustibles a través de rutas de difícil acceso.</w:t>
      </w:r>
    </w:p>
    <w:p w14:paraId="07B7093D" w14:textId="77777777" w:rsidR="00F00BE9" w:rsidRPr="00F00BE9" w:rsidRDefault="00F00BE9" w:rsidP="00F00BE9">
      <w:pPr>
        <w:spacing w:after="0" w:line="240" w:lineRule="auto"/>
        <w:ind w:firstLine="720"/>
        <w:jc w:val="both"/>
        <w:rPr>
          <w:rFonts w:ascii="Arial" w:eastAsia="Arial" w:hAnsi="Arial" w:cs="Arial"/>
          <w:sz w:val="22"/>
          <w:szCs w:val="22"/>
        </w:rPr>
      </w:pPr>
      <w:r w:rsidRPr="00F00BE9">
        <w:rPr>
          <w:rFonts w:ascii="Arial" w:eastAsia="Arial" w:hAnsi="Arial" w:cs="Arial"/>
          <w:sz w:val="22"/>
          <w:szCs w:val="22"/>
        </w:rPr>
        <w:t xml:space="preserve">En el marco de la </w:t>
      </w:r>
      <w:r w:rsidRPr="00F00BE9">
        <w:rPr>
          <w:rFonts w:ascii="Arial" w:eastAsia="Arial" w:hAnsi="Arial" w:cs="Arial"/>
          <w:b/>
          <w:bCs/>
          <w:sz w:val="22"/>
          <w:szCs w:val="22"/>
        </w:rPr>
        <w:t>transición energética global y los compromisos climáticos firmados en la COP28</w:t>
      </w:r>
      <w:r w:rsidRPr="00F00BE9">
        <w:rPr>
          <w:rFonts w:ascii="Arial" w:eastAsia="Arial" w:hAnsi="Arial" w:cs="Arial"/>
          <w:sz w:val="22"/>
          <w:szCs w:val="22"/>
        </w:rPr>
        <w:t xml:space="preserve">, la industria minera peruana se enfrenta a un doble reto: </w:t>
      </w:r>
      <w:r w:rsidRPr="00F00BE9">
        <w:rPr>
          <w:rFonts w:ascii="Arial" w:eastAsia="Arial" w:hAnsi="Arial" w:cs="Arial"/>
          <w:b/>
          <w:bCs/>
          <w:sz w:val="22"/>
          <w:szCs w:val="22"/>
        </w:rPr>
        <w:t>garantizar un suministro eléctrico confiable que sustente la expansión de la producción</w:t>
      </w:r>
      <w:r w:rsidRPr="00F00BE9">
        <w:rPr>
          <w:rFonts w:ascii="Arial" w:eastAsia="Arial" w:hAnsi="Arial" w:cs="Arial"/>
          <w:sz w:val="22"/>
          <w:szCs w:val="22"/>
        </w:rPr>
        <w:t xml:space="preserve">—proyectada a 3 Mt de cobre fino para 2030—y, simultáneamente, </w:t>
      </w:r>
      <w:r w:rsidRPr="00F00BE9">
        <w:rPr>
          <w:rFonts w:ascii="Arial" w:eastAsia="Arial" w:hAnsi="Arial" w:cs="Arial"/>
          <w:b/>
          <w:bCs/>
          <w:sz w:val="22"/>
          <w:szCs w:val="22"/>
        </w:rPr>
        <w:t>reducir su huella de carbono para preservar la competitividad</w:t>
      </w:r>
      <w:r w:rsidRPr="00F00BE9">
        <w:rPr>
          <w:rFonts w:ascii="Arial" w:eastAsia="Arial" w:hAnsi="Arial" w:cs="Arial"/>
          <w:sz w:val="22"/>
          <w:szCs w:val="22"/>
        </w:rPr>
        <w:t xml:space="preserve"> en mercados que penalizan la intensidad de emisiones mediante mecanismos como el CBAM europeo. El inventario energético actual del sector muestra una </w:t>
      </w:r>
      <w:r w:rsidRPr="00F00BE9">
        <w:rPr>
          <w:rFonts w:ascii="Arial" w:eastAsia="Arial" w:hAnsi="Arial" w:cs="Arial"/>
          <w:b/>
          <w:bCs/>
          <w:sz w:val="22"/>
          <w:szCs w:val="22"/>
        </w:rPr>
        <w:t>dependencia del 75,2 % de la electricidad de la red</w:t>
      </w:r>
      <w:r w:rsidRPr="00F00BE9">
        <w:rPr>
          <w:rFonts w:ascii="Arial" w:eastAsia="Arial" w:hAnsi="Arial" w:cs="Arial"/>
          <w:sz w:val="22"/>
          <w:szCs w:val="22"/>
        </w:rPr>
        <w:t xml:space="preserve"> y un </w:t>
      </w:r>
      <w:r w:rsidRPr="00F00BE9">
        <w:rPr>
          <w:rFonts w:ascii="Arial" w:eastAsia="Arial" w:hAnsi="Arial" w:cs="Arial"/>
          <w:b/>
          <w:bCs/>
          <w:sz w:val="22"/>
          <w:szCs w:val="22"/>
        </w:rPr>
        <w:t>17,4 % de Diésel B5</w:t>
      </w:r>
      <w:r w:rsidRPr="00F00BE9">
        <w:rPr>
          <w:rFonts w:ascii="Arial" w:eastAsia="Arial" w:hAnsi="Arial" w:cs="Arial"/>
          <w:sz w:val="22"/>
          <w:szCs w:val="22"/>
        </w:rPr>
        <w:t xml:space="preserve"> (MINSUS, 2021); la proporción restante incluye gas natural y combustibles secundarios. Este </w:t>
      </w:r>
      <w:proofErr w:type="spellStart"/>
      <w:r w:rsidRPr="00F00BE9">
        <w:rPr>
          <w:rFonts w:ascii="Arial" w:eastAsia="Arial" w:hAnsi="Arial" w:cs="Arial"/>
          <w:sz w:val="22"/>
          <w:szCs w:val="22"/>
        </w:rPr>
        <w:t>mix</w:t>
      </w:r>
      <w:proofErr w:type="spellEnd"/>
      <w:r w:rsidRPr="00F00BE9">
        <w:rPr>
          <w:rFonts w:ascii="Arial" w:eastAsia="Arial" w:hAnsi="Arial" w:cs="Arial"/>
          <w:sz w:val="22"/>
          <w:szCs w:val="22"/>
        </w:rPr>
        <w:t xml:space="preserve"> implica un factor de emisión promedio de 0,35 kg CO</w:t>
      </w:r>
      <w:r w:rsidRPr="00F00BE9">
        <w:rPr>
          <w:rFonts w:ascii="Cambria Math" w:eastAsia="Arial" w:hAnsi="Cambria Math" w:cs="Cambria Math"/>
          <w:sz w:val="22"/>
          <w:szCs w:val="22"/>
        </w:rPr>
        <w:t>₂</w:t>
      </w:r>
      <w:r w:rsidRPr="00F00BE9">
        <w:rPr>
          <w:rFonts w:ascii="Arial" w:eastAsia="Arial" w:hAnsi="Arial" w:cs="Arial"/>
          <w:sz w:val="22"/>
          <w:szCs w:val="22"/>
        </w:rPr>
        <w:t xml:space="preserve">/kWh, muy por encima de los umbrales exigidos por clientes </w:t>
      </w:r>
      <w:proofErr w:type="spellStart"/>
      <w:r w:rsidRPr="00F00BE9">
        <w:rPr>
          <w:rFonts w:ascii="Arial" w:eastAsia="Arial" w:hAnsi="Arial" w:cs="Arial"/>
          <w:sz w:val="22"/>
          <w:szCs w:val="22"/>
        </w:rPr>
        <w:t>downstream</w:t>
      </w:r>
      <w:proofErr w:type="spellEnd"/>
      <w:r w:rsidRPr="00F00BE9">
        <w:rPr>
          <w:rFonts w:ascii="Arial" w:eastAsia="Arial" w:hAnsi="Arial" w:cs="Arial"/>
          <w:sz w:val="22"/>
          <w:szCs w:val="22"/>
        </w:rPr>
        <w:t xml:space="preserve"> (automotrices, fabricantes de cables y electrónica) que buscan material “net-</w:t>
      </w:r>
      <w:proofErr w:type="spellStart"/>
      <w:r w:rsidRPr="00F00BE9">
        <w:rPr>
          <w:rFonts w:ascii="Arial" w:eastAsia="Arial" w:hAnsi="Arial" w:cs="Arial"/>
          <w:sz w:val="22"/>
          <w:szCs w:val="22"/>
        </w:rPr>
        <w:t>zero</w:t>
      </w:r>
      <w:proofErr w:type="spellEnd"/>
      <w:r w:rsidRPr="00F00BE9">
        <w:rPr>
          <w:rFonts w:ascii="Arial" w:eastAsia="Arial" w:hAnsi="Arial" w:cs="Arial"/>
          <w:sz w:val="22"/>
          <w:szCs w:val="22"/>
        </w:rPr>
        <w:t>”.</w:t>
      </w:r>
    </w:p>
    <w:p w14:paraId="3F713228" w14:textId="749E043E" w:rsidR="00F00BE9" w:rsidRPr="00F00BE9" w:rsidRDefault="00F00BE9" w:rsidP="00F00BE9">
      <w:pPr>
        <w:spacing w:after="0" w:line="240" w:lineRule="auto"/>
        <w:ind w:firstLine="720"/>
        <w:jc w:val="both"/>
        <w:rPr>
          <w:rFonts w:ascii="Arial" w:eastAsia="Arial" w:hAnsi="Arial" w:cs="Arial"/>
          <w:sz w:val="22"/>
          <w:szCs w:val="22"/>
        </w:rPr>
      </w:pPr>
      <w:r w:rsidRPr="00F00BE9">
        <w:rPr>
          <w:rFonts w:ascii="Arial" w:eastAsia="Arial" w:hAnsi="Arial" w:cs="Arial"/>
          <w:sz w:val="22"/>
          <w:szCs w:val="22"/>
        </w:rPr>
        <w:t xml:space="preserve">Son particularmente ilustrativos los casos de </w:t>
      </w:r>
      <w:r w:rsidRPr="00F00BE9">
        <w:rPr>
          <w:rFonts w:ascii="Arial" w:eastAsia="Arial" w:hAnsi="Arial" w:cs="Arial"/>
          <w:b/>
          <w:bCs/>
          <w:sz w:val="22"/>
          <w:szCs w:val="22"/>
        </w:rPr>
        <w:t>Las Bambas (MMG) y Antapaccay (Glencore)</w:t>
      </w:r>
      <w:r w:rsidRPr="00F00BE9">
        <w:rPr>
          <w:rFonts w:ascii="Arial" w:eastAsia="Arial" w:hAnsi="Arial" w:cs="Arial"/>
          <w:sz w:val="22"/>
          <w:szCs w:val="22"/>
        </w:rPr>
        <w:t xml:space="preserve">, cuyas demandas combinadas—≈300 MW continuos, equivalentes al 5,4 % del consumo energético minero nacional—se satisfacen hoy mediante contratos PPA con la red interconectada y grupos electrógenos diésel de respaldo. La distancia media a los centros de generación (≥ 700 km) implica pérdidas técnicas del 7 % y sobrecostos logísticos que encarecen el kWh hasta 0,12 USD en punta, además de más de </w:t>
      </w:r>
      <w:r w:rsidRPr="00F00BE9">
        <w:rPr>
          <w:rFonts w:ascii="Arial" w:eastAsia="Arial" w:hAnsi="Arial" w:cs="Arial"/>
          <w:b/>
          <w:bCs/>
          <w:sz w:val="22"/>
          <w:szCs w:val="22"/>
        </w:rPr>
        <w:t>1 Mt CO</w:t>
      </w:r>
      <w:r w:rsidRPr="00F00BE9">
        <w:rPr>
          <w:rFonts w:ascii="Cambria Math" w:eastAsia="Arial" w:hAnsi="Cambria Math" w:cs="Cambria Math"/>
          <w:b/>
          <w:bCs/>
          <w:sz w:val="22"/>
          <w:szCs w:val="22"/>
        </w:rPr>
        <w:t>₂</w:t>
      </w:r>
      <w:r w:rsidRPr="00F00BE9">
        <w:rPr>
          <w:rFonts w:ascii="Arial" w:eastAsia="Arial" w:hAnsi="Arial" w:cs="Arial"/>
          <w:b/>
          <w:bCs/>
          <w:sz w:val="22"/>
          <w:szCs w:val="22"/>
        </w:rPr>
        <w:t>/año</w:t>
      </w:r>
      <w:r w:rsidRPr="00F00BE9">
        <w:rPr>
          <w:rFonts w:ascii="Arial" w:eastAsia="Arial" w:hAnsi="Arial" w:cs="Arial"/>
          <w:sz w:val="22"/>
          <w:szCs w:val="22"/>
        </w:rPr>
        <w:t xml:space="preserve"> en emisiones combinadas. Con la entrada en vigencia de regulaciones ESG más estrictas y de impuestos al carbono implícitos, </w:t>
      </w:r>
      <w:r w:rsidRPr="00F00BE9">
        <w:rPr>
          <w:rFonts w:ascii="Arial" w:eastAsia="Arial" w:hAnsi="Arial" w:cs="Arial"/>
          <w:b/>
          <w:bCs/>
          <w:sz w:val="22"/>
          <w:szCs w:val="22"/>
        </w:rPr>
        <w:t>el costo de oportunidad de continuar con este modelo fósil se vuelve prohibitivo</w:t>
      </w:r>
      <w:r w:rsidRPr="00F00BE9">
        <w:rPr>
          <w:rFonts w:ascii="Arial" w:eastAsia="Arial" w:hAnsi="Arial" w:cs="Arial"/>
          <w:sz w:val="22"/>
          <w:szCs w:val="22"/>
        </w:rPr>
        <w:t>.</w:t>
      </w:r>
    </w:p>
    <w:p w14:paraId="167C14D9" w14:textId="77777777" w:rsidR="00F00BE9" w:rsidRPr="00F00BE9" w:rsidRDefault="00F00BE9" w:rsidP="00F00BE9">
      <w:pPr>
        <w:spacing w:after="0" w:line="240" w:lineRule="auto"/>
        <w:ind w:firstLine="720"/>
        <w:jc w:val="both"/>
        <w:rPr>
          <w:rFonts w:ascii="Arial" w:eastAsia="Arial" w:hAnsi="Arial" w:cs="Arial"/>
          <w:sz w:val="22"/>
          <w:szCs w:val="22"/>
        </w:rPr>
      </w:pPr>
      <w:r w:rsidRPr="00F00BE9">
        <w:rPr>
          <w:rFonts w:ascii="Arial" w:eastAsia="Arial" w:hAnsi="Arial" w:cs="Arial"/>
          <w:sz w:val="22"/>
          <w:szCs w:val="22"/>
        </w:rPr>
        <w:t>Frente a este panorama, la convergencia de tres factores—</w:t>
      </w:r>
      <w:r w:rsidRPr="00F00BE9">
        <w:rPr>
          <w:rFonts w:ascii="Arial" w:eastAsia="Arial" w:hAnsi="Arial" w:cs="Arial"/>
          <w:b/>
          <w:bCs/>
          <w:sz w:val="22"/>
          <w:szCs w:val="22"/>
        </w:rPr>
        <w:t>maduración tecnológica de los Reactores Modulares Pequeños (SMR)</w:t>
      </w:r>
      <w:r w:rsidRPr="00F00BE9">
        <w:rPr>
          <w:rFonts w:ascii="Arial" w:eastAsia="Arial" w:hAnsi="Arial" w:cs="Arial"/>
          <w:sz w:val="22"/>
          <w:szCs w:val="22"/>
        </w:rPr>
        <w:t xml:space="preserve">, caída estructural del CAPEX de </w:t>
      </w:r>
      <w:r w:rsidRPr="00F00BE9">
        <w:rPr>
          <w:rFonts w:ascii="Arial" w:eastAsia="Arial" w:hAnsi="Arial" w:cs="Arial"/>
          <w:b/>
          <w:bCs/>
          <w:sz w:val="22"/>
          <w:szCs w:val="22"/>
        </w:rPr>
        <w:t>energía solar-fotovoltaica y eólica de altura</w:t>
      </w:r>
      <w:r w:rsidRPr="00F00BE9">
        <w:rPr>
          <w:rFonts w:ascii="Arial" w:eastAsia="Arial" w:hAnsi="Arial" w:cs="Arial"/>
          <w:sz w:val="22"/>
          <w:szCs w:val="22"/>
        </w:rPr>
        <w:t xml:space="preserve">, y avances en </w:t>
      </w:r>
      <w:r w:rsidRPr="00F00BE9">
        <w:rPr>
          <w:rFonts w:ascii="Arial" w:eastAsia="Arial" w:hAnsi="Arial" w:cs="Arial"/>
          <w:b/>
          <w:bCs/>
          <w:sz w:val="22"/>
          <w:szCs w:val="22"/>
        </w:rPr>
        <w:t>BESS de ion-litio de larga duración</w:t>
      </w:r>
      <w:r w:rsidRPr="00F00BE9">
        <w:rPr>
          <w:rFonts w:ascii="Arial" w:eastAsia="Arial" w:hAnsi="Arial" w:cs="Arial"/>
          <w:sz w:val="22"/>
          <w:szCs w:val="22"/>
        </w:rPr>
        <w:t xml:space="preserve">—abre una ventana estratégica: </w:t>
      </w:r>
      <w:r w:rsidRPr="00F00BE9">
        <w:rPr>
          <w:rFonts w:ascii="Arial" w:eastAsia="Arial" w:hAnsi="Arial" w:cs="Arial"/>
          <w:b/>
          <w:bCs/>
          <w:sz w:val="22"/>
          <w:szCs w:val="22"/>
        </w:rPr>
        <w:t>desplegar microrredes de potencia firme respaldadas por energía nuclear modular y renovables</w:t>
      </w:r>
      <w:r w:rsidRPr="00F00BE9">
        <w:rPr>
          <w:rFonts w:ascii="Arial" w:eastAsia="Arial" w:hAnsi="Arial" w:cs="Arial"/>
          <w:sz w:val="22"/>
          <w:szCs w:val="22"/>
        </w:rPr>
        <w:t xml:space="preserve"> directamente en el distrito minero. Esta arquitectura promete no solo reducir costos y emisiones, sino también </w:t>
      </w:r>
      <w:r w:rsidRPr="00F00BE9">
        <w:rPr>
          <w:rFonts w:ascii="Arial" w:eastAsia="Arial" w:hAnsi="Arial" w:cs="Arial"/>
          <w:b/>
          <w:bCs/>
          <w:sz w:val="22"/>
          <w:szCs w:val="22"/>
        </w:rPr>
        <w:t>fortalecer la seguridad energética</w:t>
      </w:r>
      <w:r w:rsidRPr="00F00BE9">
        <w:rPr>
          <w:rFonts w:ascii="Arial" w:eastAsia="Arial" w:hAnsi="Arial" w:cs="Arial"/>
          <w:sz w:val="22"/>
          <w:szCs w:val="22"/>
        </w:rPr>
        <w:t>, mitigar riesgos de interrupciones en la red nacional y crear un nuevo polo de desarrollo tecnológico-industrial en la sierra peruana. El presente trabajo profundiza esta oportunidad: establece la base de datos, la metodología de simulación y los criterios de evaluación que permiten demostrar la viabilidad integral del sistema híbrido SMR + Renovables como motor de la próxima revolución energética minera en el Perú.</w:t>
      </w:r>
    </w:p>
    <w:p w14:paraId="53310F83" w14:textId="6D15A4F3" w:rsidR="001916FA" w:rsidRDefault="00000000" w:rsidP="00F00BE9">
      <w:pPr>
        <w:spacing w:after="0" w:line="240" w:lineRule="auto"/>
        <w:ind w:firstLine="720"/>
        <w:jc w:val="both"/>
        <w:rPr>
          <w:rFonts w:ascii="Arial" w:eastAsia="Arial" w:hAnsi="Arial" w:cs="Arial"/>
          <w:sz w:val="22"/>
          <w:szCs w:val="22"/>
        </w:rPr>
      </w:pPr>
      <w:r>
        <w:rPr>
          <w:rFonts w:ascii="Arial" w:eastAsia="Arial" w:hAnsi="Arial" w:cs="Arial"/>
          <w:sz w:val="22"/>
          <w:szCs w:val="22"/>
        </w:rPr>
        <w:t xml:space="preserve"> </w:t>
      </w:r>
    </w:p>
    <w:p w14:paraId="1C2D0835" w14:textId="77777777" w:rsidR="001916FA" w:rsidRDefault="001916FA">
      <w:pPr>
        <w:spacing w:after="0" w:line="240" w:lineRule="auto"/>
        <w:ind w:firstLine="720"/>
        <w:jc w:val="both"/>
        <w:rPr>
          <w:rFonts w:ascii="Arial" w:eastAsia="Arial" w:hAnsi="Arial" w:cs="Arial"/>
          <w:sz w:val="22"/>
          <w:szCs w:val="22"/>
        </w:rPr>
      </w:pPr>
    </w:p>
    <w:p w14:paraId="06A09726" w14:textId="77777777" w:rsidR="001916FA" w:rsidRDefault="00000000">
      <w:pPr>
        <w:spacing w:after="0" w:line="240" w:lineRule="auto"/>
        <w:jc w:val="both"/>
        <w:rPr>
          <w:rFonts w:ascii="Arial" w:eastAsia="Arial" w:hAnsi="Arial" w:cs="Arial"/>
          <w:sz w:val="16"/>
          <w:szCs w:val="16"/>
        </w:rPr>
      </w:pPr>
      <w:r>
        <w:rPr>
          <w:rFonts w:ascii="Arial" w:eastAsia="Arial" w:hAnsi="Arial" w:cs="Arial"/>
          <w:sz w:val="16"/>
          <w:szCs w:val="16"/>
        </w:rPr>
        <w:t xml:space="preserve">Figura 1. Participación de fuentes de energía en el consumo final del sector minero. </w:t>
      </w:r>
    </w:p>
    <w:p w14:paraId="59D341A1" w14:textId="77777777" w:rsidR="001916FA" w:rsidRDefault="00000000">
      <w:pPr>
        <w:spacing w:after="0" w:line="240" w:lineRule="auto"/>
        <w:jc w:val="both"/>
        <w:rPr>
          <w:rFonts w:ascii="Arial" w:eastAsia="Arial" w:hAnsi="Arial" w:cs="Arial"/>
          <w:sz w:val="22"/>
          <w:szCs w:val="22"/>
        </w:rPr>
      </w:pPr>
      <w:r>
        <w:rPr>
          <w:rFonts w:ascii="Arial" w:eastAsia="Arial" w:hAnsi="Arial" w:cs="Arial"/>
          <w:noProof/>
          <w:sz w:val="22"/>
          <w:szCs w:val="22"/>
        </w:rPr>
        <w:drawing>
          <wp:inline distT="114300" distB="114300" distL="114300" distR="114300" wp14:anchorId="25440D0C" wp14:editId="3EB53CE2">
            <wp:extent cx="3162300" cy="1892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162300" cy="1892300"/>
                    </a:xfrm>
                    <a:prstGeom prst="rect">
                      <a:avLst/>
                    </a:prstGeom>
                    <a:ln/>
                  </pic:spPr>
                </pic:pic>
              </a:graphicData>
            </a:graphic>
          </wp:inline>
        </w:drawing>
      </w:r>
    </w:p>
    <w:p w14:paraId="18899981" w14:textId="77777777" w:rsidR="001916FA" w:rsidRDefault="001916FA">
      <w:pPr>
        <w:spacing w:after="0" w:line="240" w:lineRule="auto"/>
        <w:jc w:val="both"/>
        <w:rPr>
          <w:rFonts w:ascii="Arial" w:eastAsia="Arial" w:hAnsi="Arial" w:cs="Arial"/>
          <w:sz w:val="22"/>
          <w:szCs w:val="22"/>
        </w:rPr>
      </w:pPr>
    </w:p>
    <w:p w14:paraId="71D29F6F" w14:textId="77777777" w:rsidR="001916FA" w:rsidRDefault="00000000">
      <w:pPr>
        <w:spacing w:after="0" w:line="240" w:lineRule="auto"/>
        <w:jc w:val="center"/>
        <w:rPr>
          <w:rFonts w:ascii="Arial" w:eastAsia="Arial" w:hAnsi="Arial" w:cs="Arial"/>
          <w:sz w:val="16"/>
          <w:szCs w:val="16"/>
        </w:rPr>
      </w:pPr>
      <w:r>
        <w:rPr>
          <w:rFonts w:ascii="Arial" w:eastAsia="Arial" w:hAnsi="Arial" w:cs="Arial"/>
          <w:sz w:val="16"/>
          <w:szCs w:val="16"/>
        </w:rPr>
        <w:t>Fuente: Balance Nacional Energético, Ministerio de Energía y Minas, Publicación 2019.</w:t>
      </w:r>
    </w:p>
    <w:p w14:paraId="383B60A8" w14:textId="77777777" w:rsidR="001916FA" w:rsidRDefault="001916FA">
      <w:pPr>
        <w:spacing w:after="0" w:line="240" w:lineRule="auto"/>
        <w:jc w:val="both"/>
        <w:rPr>
          <w:rFonts w:ascii="Arial" w:eastAsia="Arial" w:hAnsi="Arial" w:cs="Arial"/>
          <w:sz w:val="22"/>
          <w:szCs w:val="22"/>
        </w:rPr>
      </w:pPr>
    </w:p>
    <w:p w14:paraId="58F7E645" w14:textId="77777777" w:rsidR="001916FA" w:rsidRDefault="00000000">
      <w:pPr>
        <w:ind w:firstLine="720"/>
        <w:jc w:val="both"/>
        <w:rPr>
          <w:rFonts w:ascii="Arial" w:eastAsia="Arial" w:hAnsi="Arial" w:cs="Arial"/>
          <w:sz w:val="22"/>
          <w:szCs w:val="22"/>
        </w:rPr>
      </w:pPr>
      <w:r>
        <w:rPr>
          <w:rFonts w:ascii="Arial" w:eastAsia="Arial" w:hAnsi="Arial" w:cs="Arial"/>
          <w:sz w:val="22"/>
          <w:szCs w:val="22"/>
        </w:rPr>
        <w:t xml:space="preserve">En este contexto, empresas como las antes mencionadas, están apostando por </w:t>
      </w:r>
      <w:proofErr w:type="spellStart"/>
      <w:r>
        <w:rPr>
          <w:rFonts w:ascii="Arial" w:eastAsia="Arial" w:hAnsi="Arial" w:cs="Arial"/>
          <w:sz w:val="22"/>
          <w:szCs w:val="22"/>
        </w:rPr>
        <w:t>transicionar</w:t>
      </w:r>
      <w:proofErr w:type="spellEnd"/>
      <w:r>
        <w:rPr>
          <w:rFonts w:ascii="Arial" w:eastAsia="Arial" w:hAnsi="Arial" w:cs="Arial"/>
          <w:sz w:val="22"/>
          <w:szCs w:val="22"/>
        </w:rPr>
        <w:t xml:space="preserve"> a fuentes de energías renovables. Un ejemplo notable es Quellaveco de la compañía Anglo-American abastecida por el mayor parque de molinos de  viento del país (Forbes Perú, 2023). </w:t>
      </w:r>
    </w:p>
    <w:p w14:paraId="3949CBB8" w14:textId="77777777" w:rsidR="001916FA" w:rsidRDefault="00000000">
      <w:pPr>
        <w:ind w:firstLine="720"/>
        <w:jc w:val="both"/>
        <w:rPr>
          <w:rFonts w:ascii="Arial" w:eastAsia="Arial" w:hAnsi="Arial" w:cs="Arial"/>
          <w:sz w:val="22"/>
          <w:szCs w:val="22"/>
        </w:rPr>
      </w:pPr>
      <w:r>
        <w:rPr>
          <w:rFonts w:ascii="Arial" w:eastAsia="Arial" w:hAnsi="Arial" w:cs="Arial"/>
          <w:sz w:val="22"/>
          <w:szCs w:val="22"/>
        </w:rPr>
        <w:t>Por otro lado, existe una actividad significativa en la comercialización de tecnología SMR, subconjunto de reactores con una potencia de salida reducida en comparación a los convencionales, pero que ofrecen una alternativa de energía continua y de bajo impacto. Esto ha llamado la atención del sector minero, cuya implementación híbrida con otras fuentes de energía renovables permitirían aumentar su producción y disminuir y avanzar en el proceso de descarbonización (NEA, 2024)</w:t>
      </w:r>
    </w:p>
    <w:p w14:paraId="5F1925D6" w14:textId="77777777" w:rsidR="001916FA" w:rsidRDefault="00000000">
      <w:pPr>
        <w:jc w:val="both"/>
        <w:rPr>
          <w:rFonts w:ascii="Arial" w:eastAsia="Arial" w:hAnsi="Arial" w:cs="Arial"/>
          <w:b/>
          <w:color w:val="808080"/>
          <w:sz w:val="22"/>
          <w:szCs w:val="22"/>
        </w:rPr>
      </w:pPr>
      <w:r>
        <w:rPr>
          <w:rFonts w:ascii="Arial" w:eastAsia="Arial" w:hAnsi="Arial" w:cs="Arial"/>
          <w:b/>
          <w:sz w:val="22"/>
          <w:szCs w:val="22"/>
        </w:rPr>
        <w:t>2. Objetivos</w:t>
      </w:r>
      <w:r>
        <w:rPr>
          <w:rFonts w:ascii="Arial" w:eastAsia="Arial" w:hAnsi="Arial" w:cs="Arial"/>
          <w:b/>
          <w:color w:val="808080"/>
          <w:sz w:val="22"/>
          <w:szCs w:val="22"/>
        </w:rPr>
        <w:t xml:space="preserve"> </w:t>
      </w:r>
    </w:p>
    <w:p w14:paraId="62CD7455" w14:textId="77777777" w:rsidR="001916FA" w:rsidRDefault="001916FA">
      <w:pPr>
        <w:spacing w:after="0" w:line="240" w:lineRule="auto"/>
        <w:jc w:val="both"/>
        <w:rPr>
          <w:rFonts w:ascii="Arial" w:eastAsia="Arial" w:hAnsi="Arial" w:cs="Arial"/>
          <w:sz w:val="22"/>
          <w:szCs w:val="22"/>
        </w:rPr>
      </w:pPr>
    </w:p>
    <w:p w14:paraId="7EF4C8CD"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ab/>
        <w:t>El presente trabajo tiene como finalidad principal evaluar el potencial técnico, económico y ambiental  del uso de los SMR en operaciones mineras peruanas. Para lograrlo se plantean los siguientes objetivos:</w:t>
      </w:r>
    </w:p>
    <w:p w14:paraId="0FC85E35" w14:textId="77777777" w:rsidR="001916FA" w:rsidRDefault="001916FA">
      <w:pPr>
        <w:spacing w:after="0" w:line="240" w:lineRule="auto"/>
        <w:jc w:val="both"/>
        <w:rPr>
          <w:rFonts w:ascii="Arial" w:eastAsia="Arial" w:hAnsi="Arial" w:cs="Arial"/>
          <w:b/>
          <w:color w:val="808080"/>
          <w:sz w:val="22"/>
          <w:szCs w:val="22"/>
        </w:rPr>
      </w:pPr>
    </w:p>
    <w:p w14:paraId="14D2C2F1" w14:textId="77777777" w:rsidR="001916FA" w:rsidRDefault="00000000">
      <w:pPr>
        <w:numPr>
          <w:ilvl w:val="1"/>
          <w:numId w:val="2"/>
        </w:numPr>
        <w:spacing w:after="0" w:line="240" w:lineRule="auto"/>
        <w:jc w:val="both"/>
        <w:rPr>
          <w:rFonts w:ascii="Arial" w:eastAsia="Arial" w:hAnsi="Arial" w:cs="Arial"/>
          <w:sz w:val="22"/>
          <w:szCs w:val="22"/>
        </w:rPr>
      </w:pPr>
      <w:r>
        <w:rPr>
          <w:rFonts w:ascii="Arial" w:eastAsia="Arial" w:hAnsi="Arial" w:cs="Arial"/>
          <w:b/>
          <w:sz w:val="22"/>
          <w:szCs w:val="22"/>
        </w:rPr>
        <w:t>Cuantificar la factibilidad técnica</w:t>
      </w:r>
      <w:r>
        <w:rPr>
          <w:rFonts w:ascii="Arial" w:eastAsia="Arial" w:hAnsi="Arial" w:cs="Arial"/>
          <w:sz w:val="22"/>
          <w:szCs w:val="22"/>
        </w:rPr>
        <w:t xml:space="preserve"> de la implementación de SMR en conjunto con energías renovables para suministrar la demanda energética de grandes operaciones cupríferas peruanas ubicadas en zonas remotas.</w:t>
      </w:r>
    </w:p>
    <w:p w14:paraId="748D470D" w14:textId="77777777" w:rsidR="001916FA" w:rsidRDefault="001916FA">
      <w:pPr>
        <w:spacing w:after="0" w:line="240" w:lineRule="auto"/>
        <w:ind w:left="1440"/>
        <w:jc w:val="both"/>
        <w:rPr>
          <w:rFonts w:ascii="Arial" w:eastAsia="Arial" w:hAnsi="Arial" w:cs="Arial"/>
          <w:sz w:val="22"/>
          <w:szCs w:val="22"/>
        </w:rPr>
      </w:pPr>
    </w:p>
    <w:p w14:paraId="6AEBC411" w14:textId="77777777" w:rsidR="001916FA" w:rsidRDefault="00000000">
      <w:pPr>
        <w:numPr>
          <w:ilvl w:val="1"/>
          <w:numId w:val="2"/>
        </w:numPr>
        <w:jc w:val="both"/>
        <w:rPr>
          <w:rFonts w:ascii="Arial" w:eastAsia="Arial" w:hAnsi="Arial" w:cs="Arial"/>
          <w:sz w:val="22"/>
          <w:szCs w:val="22"/>
        </w:rPr>
      </w:pPr>
      <w:r>
        <w:rPr>
          <w:rFonts w:ascii="Arial" w:eastAsia="Arial" w:hAnsi="Arial" w:cs="Arial"/>
          <w:sz w:val="22"/>
          <w:szCs w:val="22"/>
        </w:rPr>
        <w:t xml:space="preserve">Determinar el </w:t>
      </w:r>
      <w:r>
        <w:rPr>
          <w:rFonts w:ascii="Arial" w:eastAsia="Arial" w:hAnsi="Arial" w:cs="Arial"/>
          <w:b/>
          <w:sz w:val="22"/>
          <w:szCs w:val="22"/>
        </w:rPr>
        <w:t>Costo Nivelado de Energía (LCOE)</w:t>
      </w:r>
      <w:r>
        <w:rPr>
          <w:rFonts w:ascii="Arial" w:eastAsia="Arial" w:hAnsi="Arial" w:cs="Arial"/>
          <w:sz w:val="22"/>
          <w:szCs w:val="22"/>
        </w:rPr>
        <w:t xml:space="preserve"> bajo distintos escenarios (base diésel, red eléctrica convencional, </w:t>
      </w:r>
      <w:proofErr w:type="spellStart"/>
      <w:r>
        <w:rPr>
          <w:rFonts w:ascii="Arial" w:eastAsia="Arial" w:hAnsi="Arial" w:cs="Arial"/>
          <w:sz w:val="22"/>
          <w:szCs w:val="22"/>
        </w:rPr>
        <w:t>solar+SMR</w:t>
      </w:r>
      <w:proofErr w:type="spellEnd"/>
      <w:r>
        <w:rPr>
          <w:rFonts w:ascii="Arial" w:eastAsia="Arial" w:hAnsi="Arial" w:cs="Arial"/>
          <w:sz w:val="22"/>
          <w:szCs w:val="22"/>
        </w:rPr>
        <w:t xml:space="preserve">, </w:t>
      </w:r>
      <w:proofErr w:type="spellStart"/>
      <w:r>
        <w:rPr>
          <w:rFonts w:ascii="Arial" w:eastAsia="Arial" w:hAnsi="Arial" w:cs="Arial"/>
          <w:sz w:val="22"/>
          <w:szCs w:val="22"/>
        </w:rPr>
        <w:t>eólica+SMR</w:t>
      </w:r>
      <w:proofErr w:type="spellEnd"/>
      <w:r>
        <w:rPr>
          <w:rFonts w:ascii="Arial" w:eastAsia="Arial" w:hAnsi="Arial" w:cs="Arial"/>
          <w:sz w:val="22"/>
          <w:szCs w:val="22"/>
        </w:rPr>
        <w:t>).</w:t>
      </w:r>
    </w:p>
    <w:p w14:paraId="71CDB43D" w14:textId="77777777" w:rsidR="001916FA" w:rsidRDefault="00000000">
      <w:pPr>
        <w:numPr>
          <w:ilvl w:val="1"/>
          <w:numId w:val="2"/>
        </w:numPr>
        <w:jc w:val="both"/>
        <w:rPr>
          <w:rFonts w:ascii="Arial" w:eastAsia="Arial" w:hAnsi="Arial" w:cs="Arial"/>
          <w:sz w:val="22"/>
          <w:szCs w:val="22"/>
        </w:rPr>
      </w:pPr>
      <w:r>
        <w:rPr>
          <w:rFonts w:ascii="Arial" w:eastAsia="Arial" w:hAnsi="Arial" w:cs="Arial"/>
          <w:sz w:val="22"/>
          <w:szCs w:val="22"/>
        </w:rPr>
        <w:t xml:space="preserve">Estimar la </w:t>
      </w:r>
      <w:r>
        <w:rPr>
          <w:rFonts w:ascii="Arial" w:eastAsia="Arial" w:hAnsi="Arial" w:cs="Arial"/>
          <w:b/>
          <w:sz w:val="22"/>
          <w:szCs w:val="22"/>
        </w:rPr>
        <w:t>reducción de emisiones de CO₂</w:t>
      </w:r>
      <w:r>
        <w:rPr>
          <w:rFonts w:ascii="Arial" w:eastAsia="Arial" w:hAnsi="Arial" w:cs="Arial"/>
          <w:sz w:val="22"/>
          <w:szCs w:val="22"/>
        </w:rPr>
        <w:t xml:space="preserve"> frente al uso de combustibles fósiles en la generación eléctrica requerida por minas remotas. Caso de estudio Quellaveco.</w:t>
      </w:r>
    </w:p>
    <w:p w14:paraId="7B886FEF" w14:textId="77777777" w:rsidR="001916FA" w:rsidRDefault="00000000">
      <w:pPr>
        <w:numPr>
          <w:ilvl w:val="1"/>
          <w:numId w:val="2"/>
        </w:numPr>
        <w:jc w:val="both"/>
        <w:rPr>
          <w:rFonts w:ascii="Arial" w:eastAsia="Arial" w:hAnsi="Arial" w:cs="Arial"/>
          <w:sz w:val="22"/>
          <w:szCs w:val="22"/>
        </w:rPr>
      </w:pPr>
      <w:r>
        <w:rPr>
          <w:rFonts w:ascii="Arial" w:eastAsia="Arial" w:hAnsi="Arial" w:cs="Arial"/>
          <w:b/>
          <w:sz w:val="22"/>
          <w:szCs w:val="22"/>
        </w:rPr>
        <w:t>Proponer lineamientos regulatorios</w:t>
      </w:r>
      <w:r>
        <w:rPr>
          <w:rFonts w:ascii="Arial" w:eastAsia="Arial" w:hAnsi="Arial" w:cs="Arial"/>
          <w:sz w:val="22"/>
          <w:szCs w:val="22"/>
        </w:rPr>
        <w:t xml:space="preserve"> que faciliten la adopción de SMR y renovables, garantizando seguridad, competitividad y sostenibilidad.</w:t>
      </w:r>
    </w:p>
    <w:p w14:paraId="3C3B13B1" w14:textId="77777777" w:rsidR="001916FA" w:rsidRDefault="001916FA">
      <w:pPr>
        <w:spacing w:after="0" w:line="240" w:lineRule="auto"/>
        <w:ind w:firstLine="142"/>
        <w:jc w:val="both"/>
        <w:rPr>
          <w:rFonts w:ascii="Arial" w:eastAsia="Arial" w:hAnsi="Arial" w:cs="Arial"/>
          <w:sz w:val="22"/>
          <w:szCs w:val="22"/>
        </w:rPr>
      </w:pPr>
    </w:p>
    <w:p w14:paraId="416F4E7C" w14:textId="77777777" w:rsidR="001916FA" w:rsidRDefault="00000000">
      <w:pPr>
        <w:spacing w:after="0" w:line="240" w:lineRule="auto"/>
        <w:jc w:val="both"/>
        <w:rPr>
          <w:rFonts w:ascii="Arial" w:eastAsia="Arial" w:hAnsi="Arial" w:cs="Arial"/>
          <w:b/>
          <w:sz w:val="22"/>
          <w:szCs w:val="22"/>
        </w:rPr>
      </w:pPr>
      <w:r>
        <w:rPr>
          <w:rFonts w:ascii="Arial" w:eastAsia="Arial" w:hAnsi="Arial" w:cs="Arial"/>
          <w:b/>
          <w:sz w:val="22"/>
          <w:szCs w:val="22"/>
        </w:rPr>
        <w:t>3. Compilación de Datos y Desarrollo del Trabajo</w:t>
      </w:r>
    </w:p>
    <w:p w14:paraId="6622B513" w14:textId="77777777" w:rsidR="001916FA" w:rsidRDefault="001916FA">
      <w:pPr>
        <w:spacing w:after="0" w:line="240" w:lineRule="auto"/>
        <w:jc w:val="both"/>
        <w:rPr>
          <w:rFonts w:ascii="Arial" w:eastAsia="Arial" w:hAnsi="Arial" w:cs="Arial"/>
          <w:b/>
          <w:sz w:val="22"/>
          <w:szCs w:val="22"/>
        </w:rPr>
      </w:pPr>
    </w:p>
    <w:p w14:paraId="5C89856C" w14:textId="77777777" w:rsidR="001916FA" w:rsidRDefault="00000000">
      <w:pPr>
        <w:spacing w:after="0" w:line="240" w:lineRule="auto"/>
        <w:jc w:val="both"/>
        <w:rPr>
          <w:rFonts w:ascii="Arial" w:eastAsia="Arial" w:hAnsi="Arial" w:cs="Arial"/>
          <w:b/>
          <w:sz w:val="22"/>
          <w:szCs w:val="22"/>
        </w:rPr>
      </w:pPr>
      <w:r>
        <w:rPr>
          <w:rFonts w:ascii="Arial" w:eastAsia="Arial" w:hAnsi="Arial" w:cs="Arial"/>
          <w:b/>
          <w:sz w:val="22"/>
          <w:szCs w:val="22"/>
        </w:rPr>
        <w:t>3.1 Consumo eléctrico promedio en minas de cobre</w:t>
      </w:r>
    </w:p>
    <w:p w14:paraId="22D0732D" w14:textId="77777777" w:rsidR="001916FA" w:rsidRDefault="001916FA">
      <w:pPr>
        <w:spacing w:after="0" w:line="240" w:lineRule="auto"/>
        <w:jc w:val="both"/>
        <w:rPr>
          <w:rFonts w:ascii="Arial" w:eastAsia="Arial" w:hAnsi="Arial" w:cs="Arial"/>
          <w:b/>
          <w:sz w:val="22"/>
          <w:szCs w:val="22"/>
        </w:rPr>
      </w:pPr>
    </w:p>
    <w:p w14:paraId="31DF5140"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Las operaciones mineras como Quellaveco, Las Bambas y Antapaccay presentan demandas energéticas significativas. Por ejemplo:</w:t>
      </w:r>
    </w:p>
    <w:p w14:paraId="5F3CDE2A" w14:textId="77777777" w:rsidR="001916FA" w:rsidRDefault="00000000">
      <w:pPr>
        <w:numPr>
          <w:ilvl w:val="0"/>
          <w:numId w:val="1"/>
        </w:numPr>
        <w:spacing w:after="0" w:line="240" w:lineRule="auto"/>
        <w:jc w:val="both"/>
        <w:rPr>
          <w:rFonts w:ascii="Arial" w:eastAsia="Arial" w:hAnsi="Arial" w:cs="Arial"/>
          <w:sz w:val="22"/>
          <w:szCs w:val="22"/>
        </w:rPr>
      </w:pPr>
      <w:r>
        <w:rPr>
          <w:rFonts w:ascii="Arial" w:eastAsia="Arial" w:hAnsi="Arial" w:cs="Arial"/>
          <w:sz w:val="22"/>
          <w:szCs w:val="22"/>
        </w:rPr>
        <w:t xml:space="preserve">Quellaveco proyectó una demanda de 163 MW en 2024, con estimaciones actuales que alcanzan entre 200 y 300 MW para 2025 (Ministerio de Energía y Minas, 2024). </w:t>
      </w:r>
    </w:p>
    <w:p w14:paraId="3D23C9E6" w14:textId="77777777" w:rsidR="001916FA" w:rsidRDefault="00000000">
      <w:pPr>
        <w:numPr>
          <w:ilvl w:val="0"/>
          <w:numId w:val="1"/>
        </w:numPr>
        <w:spacing w:after="0" w:line="240" w:lineRule="auto"/>
        <w:jc w:val="both"/>
        <w:rPr>
          <w:rFonts w:ascii="Arial" w:eastAsia="Arial" w:hAnsi="Arial" w:cs="Arial"/>
          <w:sz w:val="22"/>
          <w:szCs w:val="22"/>
        </w:rPr>
      </w:pPr>
      <w:r>
        <w:rPr>
          <w:rFonts w:ascii="Arial" w:eastAsia="Arial" w:hAnsi="Arial" w:cs="Arial"/>
          <w:sz w:val="22"/>
          <w:szCs w:val="22"/>
        </w:rPr>
        <w:t>Las Bambas, por su parte, opera con una demanda estimada de 200 MW y un factor de carga del 85%, lo que representa un consumo anual de aproximadamente 1,490 GWh (SNC-</w:t>
      </w:r>
      <w:proofErr w:type="spellStart"/>
      <w:r>
        <w:rPr>
          <w:rFonts w:ascii="Arial" w:eastAsia="Arial" w:hAnsi="Arial" w:cs="Arial"/>
          <w:sz w:val="22"/>
          <w:szCs w:val="22"/>
        </w:rPr>
        <w:t>Lavalin</w:t>
      </w:r>
      <w:proofErr w:type="spellEnd"/>
      <w:r>
        <w:rPr>
          <w:rFonts w:ascii="Arial" w:eastAsia="Arial" w:hAnsi="Arial" w:cs="Arial"/>
          <w:sz w:val="22"/>
          <w:szCs w:val="22"/>
        </w:rPr>
        <w:t xml:space="preserve"> Perú, 2016).</w:t>
      </w:r>
    </w:p>
    <w:p w14:paraId="210551D3" w14:textId="77777777" w:rsidR="001916FA" w:rsidRDefault="00000000">
      <w:pPr>
        <w:numPr>
          <w:ilvl w:val="0"/>
          <w:numId w:val="1"/>
        </w:numPr>
        <w:spacing w:after="0" w:line="240" w:lineRule="auto"/>
        <w:jc w:val="both"/>
        <w:rPr>
          <w:rFonts w:ascii="Arial" w:eastAsia="Arial" w:hAnsi="Arial" w:cs="Arial"/>
          <w:sz w:val="22"/>
          <w:szCs w:val="22"/>
        </w:rPr>
      </w:pPr>
      <w:r>
        <w:rPr>
          <w:rFonts w:ascii="Arial" w:eastAsia="Arial" w:hAnsi="Arial" w:cs="Arial"/>
          <w:sz w:val="22"/>
          <w:szCs w:val="22"/>
        </w:rPr>
        <w:t>Antapaccay, similar a Las Bambas, opera con una demanda de 180 - 200 MW aproximadamente, con una dependencia significativa de diésel durante contingencias. (Rumbo Minero, 2022)</w:t>
      </w:r>
    </w:p>
    <w:p w14:paraId="6420DA40" w14:textId="77777777" w:rsidR="001916FA" w:rsidRDefault="001916FA">
      <w:pPr>
        <w:spacing w:after="0" w:line="240" w:lineRule="auto"/>
        <w:jc w:val="both"/>
        <w:rPr>
          <w:rFonts w:ascii="Arial" w:eastAsia="Arial" w:hAnsi="Arial" w:cs="Arial"/>
          <w:sz w:val="22"/>
          <w:szCs w:val="22"/>
        </w:rPr>
      </w:pPr>
    </w:p>
    <w:p w14:paraId="5B61B7D8"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Estas cifras reflejan la necesidad de soluciones energéticas robustas, sostenibles y adaptadas a zonas remotas, donde el acceso a la red eléctrica es limitado y el uso de diésel implica altos costos logísticos y ambientales (Ministerio de Energía y Minas, 2024).</w:t>
      </w:r>
    </w:p>
    <w:p w14:paraId="4ED6B734" w14:textId="77777777" w:rsidR="001916FA" w:rsidRDefault="001916FA">
      <w:pPr>
        <w:spacing w:after="0" w:line="240" w:lineRule="auto"/>
        <w:jc w:val="both"/>
        <w:rPr>
          <w:rFonts w:ascii="Arial" w:eastAsia="Arial" w:hAnsi="Arial" w:cs="Arial"/>
          <w:sz w:val="22"/>
          <w:szCs w:val="22"/>
        </w:rPr>
      </w:pPr>
    </w:p>
    <w:p w14:paraId="1E3F28A6" w14:textId="77777777" w:rsidR="001916FA" w:rsidRDefault="00000000">
      <w:pPr>
        <w:spacing w:after="0" w:line="240" w:lineRule="auto"/>
        <w:jc w:val="both"/>
        <w:rPr>
          <w:rFonts w:ascii="Arial" w:eastAsia="Arial" w:hAnsi="Arial" w:cs="Arial"/>
          <w:b/>
          <w:sz w:val="22"/>
          <w:szCs w:val="22"/>
        </w:rPr>
      </w:pPr>
      <w:r>
        <w:rPr>
          <w:rFonts w:ascii="Arial" w:eastAsia="Arial" w:hAnsi="Arial" w:cs="Arial"/>
          <w:b/>
          <w:sz w:val="22"/>
          <w:szCs w:val="22"/>
        </w:rPr>
        <w:t>3.2. Integración de SMR con Energías Renovables en Entornos Mineros</w:t>
      </w:r>
    </w:p>
    <w:p w14:paraId="78072B36" w14:textId="77777777" w:rsidR="001916FA" w:rsidRDefault="001916FA">
      <w:pPr>
        <w:pBdr>
          <w:top w:val="nil"/>
          <w:left w:val="nil"/>
          <w:bottom w:val="nil"/>
          <w:right w:val="nil"/>
          <w:between w:val="nil"/>
        </w:pBdr>
        <w:spacing w:after="0" w:line="240" w:lineRule="auto"/>
        <w:jc w:val="both"/>
        <w:rPr>
          <w:rFonts w:ascii="Arial" w:eastAsia="Arial" w:hAnsi="Arial" w:cs="Arial"/>
          <w:sz w:val="22"/>
          <w:szCs w:val="22"/>
        </w:rPr>
      </w:pPr>
    </w:p>
    <w:p w14:paraId="4611BEB0" w14:textId="77777777" w:rsidR="001916FA" w:rsidRDefault="00000000">
      <w:pPr>
        <w:pBdr>
          <w:top w:val="nil"/>
          <w:left w:val="nil"/>
          <w:bottom w:val="nil"/>
          <w:right w:val="nil"/>
          <w:between w:val="nil"/>
        </w:pBdr>
        <w:spacing w:after="0" w:line="240" w:lineRule="auto"/>
        <w:jc w:val="both"/>
        <w:rPr>
          <w:rFonts w:ascii="Arial" w:eastAsia="Arial" w:hAnsi="Arial" w:cs="Arial"/>
          <w:sz w:val="22"/>
          <w:szCs w:val="22"/>
        </w:rPr>
      </w:pPr>
      <w:r>
        <w:rPr>
          <w:rFonts w:ascii="Arial" w:eastAsia="Arial" w:hAnsi="Arial" w:cs="Arial"/>
          <w:sz w:val="22"/>
          <w:szCs w:val="22"/>
        </w:rPr>
        <w:t>La integración de reactores modulares pequeños (SMR) son fuentes de energía renovable y representa una solución energética híbrida atractiva para operaciones mineras en zonas remotas. Esta combinación permite aprovechar la estabilidad y continuidad del suministro nuclear con la variabilidad y bajo costo operativo de tecnologías como la solar fotovoltaica y la eólica.</w:t>
      </w:r>
    </w:p>
    <w:p w14:paraId="31CD3A62" w14:textId="77777777" w:rsidR="001916FA" w:rsidRDefault="001916FA">
      <w:pPr>
        <w:pBdr>
          <w:top w:val="nil"/>
          <w:left w:val="nil"/>
          <w:bottom w:val="nil"/>
          <w:right w:val="nil"/>
          <w:between w:val="nil"/>
        </w:pBdr>
        <w:spacing w:after="0" w:line="240" w:lineRule="auto"/>
        <w:jc w:val="both"/>
        <w:rPr>
          <w:rFonts w:ascii="Arial" w:eastAsia="Arial" w:hAnsi="Arial" w:cs="Arial"/>
          <w:sz w:val="22"/>
          <w:szCs w:val="22"/>
        </w:rPr>
      </w:pPr>
    </w:p>
    <w:p w14:paraId="29459047" w14:textId="77777777" w:rsidR="001916FA" w:rsidRDefault="00000000">
      <w:pPr>
        <w:pBdr>
          <w:top w:val="nil"/>
          <w:left w:val="nil"/>
          <w:bottom w:val="nil"/>
          <w:right w:val="nil"/>
          <w:between w:val="nil"/>
        </w:pBdr>
        <w:spacing w:after="0" w:line="240" w:lineRule="auto"/>
        <w:jc w:val="both"/>
        <w:rPr>
          <w:rFonts w:ascii="Arial" w:eastAsia="Arial" w:hAnsi="Arial" w:cs="Arial"/>
          <w:sz w:val="22"/>
          <w:szCs w:val="22"/>
        </w:rPr>
      </w:pPr>
      <w:r>
        <w:rPr>
          <w:rFonts w:ascii="Arial" w:eastAsia="Arial" w:hAnsi="Arial" w:cs="Arial"/>
          <w:sz w:val="22"/>
          <w:szCs w:val="22"/>
        </w:rPr>
        <w:t>Según la Agencia Internacional de Energía Atómica (IAEA, 2025), los SMR están diseñados para operar de forma flexible, lo que los hace compatibles con sistemas híbridos que incluyen energías renovables. Esta sinergia permite reducir la dependencia de combustibles fósiles, mejorar la resiliencia energética y disminuir significativamente las emisiones de gases de efecto invernadero. Además, su capacidad de operar en modo de carga base complementa perfectamente la intermitencia de las renovables, garantizando un suministro continuo incluso en condiciones climáticas adversas.</w:t>
      </w:r>
    </w:p>
    <w:p w14:paraId="6CBCC2FD" w14:textId="77777777" w:rsidR="001916FA" w:rsidRDefault="001916FA">
      <w:pPr>
        <w:pBdr>
          <w:top w:val="nil"/>
          <w:left w:val="nil"/>
          <w:bottom w:val="nil"/>
          <w:right w:val="nil"/>
          <w:between w:val="nil"/>
        </w:pBdr>
        <w:spacing w:after="0" w:line="240" w:lineRule="auto"/>
        <w:jc w:val="both"/>
        <w:rPr>
          <w:rFonts w:ascii="Arial" w:eastAsia="Arial" w:hAnsi="Arial" w:cs="Arial"/>
          <w:sz w:val="22"/>
          <w:szCs w:val="22"/>
        </w:rPr>
      </w:pPr>
    </w:p>
    <w:p w14:paraId="209163E4" w14:textId="77777777" w:rsidR="001916FA" w:rsidRDefault="00000000">
      <w:pPr>
        <w:pBdr>
          <w:top w:val="nil"/>
          <w:left w:val="nil"/>
          <w:bottom w:val="nil"/>
          <w:right w:val="nil"/>
          <w:between w:val="nil"/>
        </w:pBdr>
        <w:spacing w:after="0" w:line="240" w:lineRule="auto"/>
        <w:jc w:val="both"/>
        <w:rPr>
          <w:rFonts w:ascii="Arial" w:eastAsia="Arial" w:hAnsi="Arial" w:cs="Arial"/>
          <w:sz w:val="22"/>
          <w:szCs w:val="22"/>
        </w:rPr>
      </w:pPr>
      <w:r>
        <w:rPr>
          <w:rFonts w:ascii="Arial" w:eastAsia="Arial" w:hAnsi="Arial" w:cs="Arial"/>
          <w:sz w:val="22"/>
          <w:szCs w:val="22"/>
        </w:rPr>
        <w:t xml:space="preserve">A nivel internacional, existen propuestas y estudios que respaldan esta integración. Por ejemplo, en regiones como Canadá, Rusia y China, se están desarrollando proyectos piloto donde los SMR se combinan con renovables para abastecer comunidades aisladas, instalaciones industriales y operaciones mineras (IAEA, 2025; IEEE </w:t>
      </w:r>
      <w:proofErr w:type="spellStart"/>
      <w:r>
        <w:rPr>
          <w:rFonts w:ascii="Arial" w:eastAsia="Arial" w:hAnsi="Arial" w:cs="Arial"/>
          <w:sz w:val="22"/>
          <w:szCs w:val="22"/>
        </w:rPr>
        <w:t>Spectrum</w:t>
      </w:r>
      <w:proofErr w:type="spellEnd"/>
      <w:r>
        <w:rPr>
          <w:rFonts w:ascii="Arial" w:eastAsia="Arial" w:hAnsi="Arial" w:cs="Arial"/>
          <w:sz w:val="22"/>
          <w:szCs w:val="22"/>
        </w:rPr>
        <w:t>, 2025). Estos modelos demuestran que la tecnología no solo es viable, sino que puede ser replicable en contextos como el peruano, donde la minería opera en zonas de difícil acceso y con alta demanda energética.</w:t>
      </w:r>
    </w:p>
    <w:p w14:paraId="04B1DE99" w14:textId="77777777" w:rsidR="001916FA" w:rsidRDefault="001916FA">
      <w:pPr>
        <w:pBdr>
          <w:top w:val="nil"/>
          <w:left w:val="nil"/>
          <w:bottom w:val="nil"/>
          <w:right w:val="nil"/>
          <w:between w:val="nil"/>
        </w:pBdr>
        <w:spacing w:after="0" w:line="240" w:lineRule="auto"/>
        <w:jc w:val="both"/>
        <w:rPr>
          <w:rFonts w:ascii="Arial" w:eastAsia="Arial" w:hAnsi="Arial" w:cs="Arial"/>
          <w:sz w:val="22"/>
          <w:szCs w:val="22"/>
        </w:rPr>
      </w:pPr>
    </w:p>
    <w:p w14:paraId="36B552F9" w14:textId="77777777" w:rsidR="001916FA" w:rsidRDefault="00000000">
      <w:pPr>
        <w:pBdr>
          <w:top w:val="nil"/>
          <w:left w:val="nil"/>
          <w:bottom w:val="nil"/>
          <w:right w:val="nil"/>
          <w:between w:val="nil"/>
        </w:pBdr>
        <w:spacing w:after="0" w:line="240" w:lineRule="auto"/>
        <w:jc w:val="both"/>
        <w:rPr>
          <w:rFonts w:ascii="Arial" w:eastAsia="Arial" w:hAnsi="Arial" w:cs="Arial"/>
          <w:sz w:val="22"/>
          <w:szCs w:val="22"/>
        </w:rPr>
      </w:pPr>
      <w:r>
        <w:rPr>
          <w:rFonts w:ascii="Arial" w:eastAsia="Arial" w:hAnsi="Arial" w:cs="Arial"/>
          <w:sz w:val="22"/>
          <w:szCs w:val="22"/>
        </w:rPr>
        <w:t>En este contexto, la adopción de sistemas híbridos SMR más renovables no solo representa una alternativa técnica y ambientalmente sólida, sino también una estrategia de independencia energética.</w:t>
      </w:r>
    </w:p>
    <w:p w14:paraId="653CE78E" w14:textId="77777777" w:rsidR="001916FA" w:rsidRDefault="001916FA">
      <w:pPr>
        <w:pBdr>
          <w:top w:val="nil"/>
          <w:left w:val="nil"/>
          <w:bottom w:val="nil"/>
          <w:right w:val="nil"/>
          <w:between w:val="nil"/>
        </w:pBdr>
        <w:spacing w:after="0" w:line="240" w:lineRule="auto"/>
        <w:jc w:val="both"/>
        <w:rPr>
          <w:rFonts w:ascii="Arial" w:eastAsia="Arial" w:hAnsi="Arial" w:cs="Arial"/>
          <w:sz w:val="22"/>
          <w:szCs w:val="22"/>
        </w:rPr>
      </w:pPr>
    </w:p>
    <w:p w14:paraId="6C8C2F44" w14:textId="77777777" w:rsidR="001916FA" w:rsidRDefault="00000000">
      <w:pPr>
        <w:pBdr>
          <w:top w:val="nil"/>
          <w:left w:val="nil"/>
          <w:bottom w:val="nil"/>
          <w:right w:val="nil"/>
          <w:between w:val="nil"/>
        </w:pBdr>
        <w:spacing w:after="0" w:line="240" w:lineRule="auto"/>
        <w:jc w:val="both"/>
        <w:rPr>
          <w:rFonts w:ascii="Arial" w:eastAsia="Arial" w:hAnsi="Arial" w:cs="Arial"/>
          <w:b/>
          <w:sz w:val="22"/>
          <w:szCs w:val="22"/>
        </w:rPr>
      </w:pPr>
      <w:r>
        <w:rPr>
          <w:rFonts w:ascii="Arial" w:eastAsia="Arial" w:hAnsi="Arial" w:cs="Arial"/>
          <w:b/>
          <w:sz w:val="22"/>
          <w:szCs w:val="22"/>
        </w:rPr>
        <w:t>3.3. Selección de Tecnologías SMR y Capacidades de Diseño</w:t>
      </w:r>
    </w:p>
    <w:p w14:paraId="58FE2722" w14:textId="77777777" w:rsidR="001916FA" w:rsidRDefault="001916FA">
      <w:pPr>
        <w:pBdr>
          <w:top w:val="nil"/>
          <w:left w:val="nil"/>
          <w:bottom w:val="nil"/>
          <w:right w:val="nil"/>
          <w:between w:val="nil"/>
        </w:pBdr>
        <w:spacing w:after="0" w:line="240" w:lineRule="auto"/>
        <w:jc w:val="both"/>
        <w:rPr>
          <w:rFonts w:ascii="Arial" w:eastAsia="Arial" w:hAnsi="Arial" w:cs="Arial"/>
          <w:b/>
          <w:sz w:val="22"/>
          <w:szCs w:val="22"/>
        </w:rPr>
      </w:pPr>
    </w:p>
    <w:p w14:paraId="29301EB1" w14:textId="77777777" w:rsidR="001916FA" w:rsidRDefault="00000000">
      <w:pPr>
        <w:pBdr>
          <w:top w:val="nil"/>
          <w:left w:val="nil"/>
          <w:bottom w:val="nil"/>
          <w:right w:val="nil"/>
          <w:between w:val="nil"/>
        </w:pBdr>
        <w:spacing w:after="0" w:line="240" w:lineRule="auto"/>
        <w:jc w:val="both"/>
        <w:rPr>
          <w:rFonts w:ascii="Arial" w:eastAsia="Arial" w:hAnsi="Arial" w:cs="Arial"/>
          <w:sz w:val="22"/>
          <w:szCs w:val="22"/>
        </w:rPr>
      </w:pPr>
      <w:r>
        <w:rPr>
          <w:rFonts w:ascii="Arial" w:eastAsia="Arial" w:hAnsi="Arial" w:cs="Arial"/>
          <w:sz w:val="22"/>
          <w:szCs w:val="22"/>
        </w:rPr>
        <w:t xml:space="preserve">Los Small Modular </w:t>
      </w:r>
      <w:proofErr w:type="spellStart"/>
      <w:r>
        <w:rPr>
          <w:rFonts w:ascii="Arial" w:eastAsia="Arial" w:hAnsi="Arial" w:cs="Arial"/>
          <w:sz w:val="22"/>
          <w:szCs w:val="22"/>
        </w:rPr>
        <w:t>Reactors</w:t>
      </w:r>
      <w:proofErr w:type="spellEnd"/>
      <w:r>
        <w:rPr>
          <w:rFonts w:ascii="Arial" w:eastAsia="Arial" w:hAnsi="Arial" w:cs="Arial"/>
          <w:sz w:val="22"/>
          <w:szCs w:val="22"/>
        </w:rPr>
        <w:t xml:space="preserve"> (SMR) son reactores nucleares avanzados con una capacidad de generación eléctrica de hasta 300 </w:t>
      </w:r>
      <w:proofErr w:type="spellStart"/>
      <w:r>
        <w:rPr>
          <w:rFonts w:ascii="Arial" w:eastAsia="Arial" w:hAnsi="Arial" w:cs="Arial"/>
          <w:sz w:val="22"/>
          <w:szCs w:val="22"/>
        </w:rPr>
        <w:t>MWe</w:t>
      </w:r>
      <w:proofErr w:type="spellEnd"/>
      <w:r>
        <w:rPr>
          <w:rFonts w:ascii="Arial" w:eastAsia="Arial" w:hAnsi="Arial" w:cs="Arial"/>
          <w:sz w:val="22"/>
          <w:szCs w:val="22"/>
        </w:rPr>
        <w:t xml:space="preserve"> por módulo, diseñados para ser fabricados en serie y ensamblados en sitio. Esta categoría incluye una variedad de tecnologías, como reactores de agua a presión (PWR), reactores de sales fundidas (MSR), reactores rápidos refrigerados por gas o metal, y reactores de alta temperatura moderados por grafito (</w:t>
      </w:r>
      <w:proofErr w:type="spellStart"/>
      <w:r>
        <w:rPr>
          <w:rFonts w:ascii="Arial" w:eastAsia="Arial" w:hAnsi="Arial" w:cs="Arial"/>
          <w:sz w:val="22"/>
          <w:szCs w:val="22"/>
        </w:rPr>
        <w:t>World</w:t>
      </w:r>
      <w:proofErr w:type="spellEnd"/>
      <w:r>
        <w:rPr>
          <w:rFonts w:ascii="Arial" w:eastAsia="Arial" w:hAnsi="Arial" w:cs="Arial"/>
          <w:sz w:val="22"/>
          <w:szCs w:val="22"/>
        </w:rPr>
        <w:t xml:space="preserve"> Nuclear </w:t>
      </w:r>
      <w:proofErr w:type="spellStart"/>
      <w:r>
        <w:rPr>
          <w:rFonts w:ascii="Arial" w:eastAsia="Arial" w:hAnsi="Arial" w:cs="Arial"/>
          <w:sz w:val="22"/>
          <w:szCs w:val="22"/>
        </w:rPr>
        <w:t>Association</w:t>
      </w:r>
      <w:proofErr w:type="spellEnd"/>
      <w:r>
        <w:rPr>
          <w:rFonts w:ascii="Arial" w:eastAsia="Arial" w:hAnsi="Arial" w:cs="Arial"/>
          <w:sz w:val="22"/>
          <w:szCs w:val="22"/>
        </w:rPr>
        <w:t>, 2025a). La clasificación general de los reactores nucleares según su capacidad es la siguiente:</w:t>
      </w:r>
    </w:p>
    <w:p w14:paraId="36162FE3" w14:textId="77777777" w:rsidR="001916FA" w:rsidRDefault="00000000">
      <w:pPr>
        <w:pBdr>
          <w:top w:val="nil"/>
          <w:left w:val="nil"/>
          <w:bottom w:val="nil"/>
          <w:right w:val="nil"/>
          <w:between w:val="nil"/>
        </w:pBdr>
        <w:spacing w:after="0" w:line="240" w:lineRule="auto"/>
        <w:jc w:val="both"/>
        <w:rPr>
          <w:rFonts w:ascii="Arial" w:eastAsia="Arial" w:hAnsi="Arial" w:cs="Arial"/>
          <w:sz w:val="22"/>
          <w:szCs w:val="22"/>
        </w:rPr>
      </w:pPr>
      <w:proofErr w:type="spellStart"/>
      <w:r>
        <w:rPr>
          <w:rFonts w:ascii="Arial" w:eastAsia="Arial" w:hAnsi="Arial" w:cs="Arial"/>
          <w:b/>
          <w:sz w:val="22"/>
          <w:szCs w:val="22"/>
        </w:rPr>
        <w:t>Microreactores</w:t>
      </w:r>
      <w:proofErr w:type="spellEnd"/>
      <w:r>
        <w:rPr>
          <w:rFonts w:ascii="Arial" w:eastAsia="Arial" w:hAnsi="Arial" w:cs="Arial"/>
          <w:sz w:val="22"/>
          <w:szCs w:val="22"/>
        </w:rPr>
        <w:t xml:space="preserve">: menos de 10 </w:t>
      </w:r>
      <w:proofErr w:type="spellStart"/>
      <w:r>
        <w:rPr>
          <w:rFonts w:ascii="Arial" w:eastAsia="Arial" w:hAnsi="Arial" w:cs="Arial"/>
          <w:sz w:val="22"/>
          <w:szCs w:val="22"/>
        </w:rPr>
        <w:t>MWe</w:t>
      </w:r>
      <w:proofErr w:type="spellEnd"/>
      <w:r>
        <w:rPr>
          <w:rFonts w:ascii="Arial" w:eastAsia="Arial" w:hAnsi="Arial" w:cs="Arial"/>
          <w:sz w:val="22"/>
          <w:szCs w:val="22"/>
        </w:rPr>
        <w:t>, diseñados para aplicaciones muy remotas o móviles.</w:t>
      </w:r>
    </w:p>
    <w:p w14:paraId="0C37EB2A" w14:textId="77777777" w:rsidR="001916FA" w:rsidRDefault="00000000">
      <w:pPr>
        <w:pBdr>
          <w:top w:val="nil"/>
          <w:left w:val="nil"/>
          <w:bottom w:val="nil"/>
          <w:right w:val="nil"/>
          <w:between w:val="nil"/>
        </w:pBdr>
        <w:spacing w:after="0" w:line="240" w:lineRule="auto"/>
        <w:jc w:val="both"/>
        <w:rPr>
          <w:rFonts w:ascii="Arial" w:eastAsia="Arial" w:hAnsi="Arial" w:cs="Arial"/>
          <w:sz w:val="22"/>
          <w:szCs w:val="22"/>
        </w:rPr>
      </w:pPr>
      <w:r>
        <w:rPr>
          <w:rFonts w:ascii="Arial" w:eastAsia="Arial" w:hAnsi="Arial" w:cs="Arial"/>
          <w:b/>
          <w:sz w:val="22"/>
          <w:szCs w:val="22"/>
        </w:rPr>
        <w:t xml:space="preserve">SMR (Small Modular </w:t>
      </w:r>
      <w:proofErr w:type="spellStart"/>
      <w:r>
        <w:rPr>
          <w:rFonts w:ascii="Arial" w:eastAsia="Arial" w:hAnsi="Arial" w:cs="Arial"/>
          <w:b/>
          <w:sz w:val="22"/>
          <w:szCs w:val="22"/>
        </w:rPr>
        <w:t>Reactors</w:t>
      </w:r>
      <w:proofErr w:type="spellEnd"/>
      <w:r>
        <w:rPr>
          <w:rFonts w:ascii="Arial" w:eastAsia="Arial" w:hAnsi="Arial" w:cs="Arial"/>
          <w:b/>
          <w:sz w:val="22"/>
          <w:szCs w:val="22"/>
        </w:rPr>
        <w:t>):</w:t>
      </w:r>
      <w:r>
        <w:rPr>
          <w:rFonts w:ascii="Arial" w:eastAsia="Arial" w:hAnsi="Arial" w:cs="Arial"/>
          <w:sz w:val="22"/>
          <w:szCs w:val="22"/>
        </w:rPr>
        <w:t xml:space="preserve"> entre 10 y 300 </w:t>
      </w:r>
      <w:proofErr w:type="spellStart"/>
      <w:r>
        <w:rPr>
          <w:rFonts w:ascii="Arial" w:eastAsia="Arial" w:hAnsi="Arial" w:cs="Arial"/>
          <w:sz w:val="22"/>
          <w:szCs w:val="22"/>
        </w:rPr>
        <w:t>MWe</w:t>
      </w:r>
      <w:proofErr w:type="spellEnd"/>
      <w:r>
        <w:rPr>
          <w:rFonts w:ascii="Arial" w:eastAsia="Arial" w:hAnsi="Arial" w:cs="Arial"/>
          <w:sz w:val="22"/>
          <w:szCs w:val="22"/>
        </w:rPr>
        <w:t>, ideales para zonas aisladas o con redes eléctricas limitadas.</w:t>
      </w:r>
    </w:p>
    <w:p w14:paraId="5845599D" w14:textId="77777777" w:rsidR="001916FA" w:rsidRDefault="00000000">
      <w:pPr>
        <w:pBdr>
          <w:top w:val="nil"/>
          <w:left w:val="nil"/>
          <w:bottom w:val="nil"/>
          <w:right w:val="nil"/>
          <w:between w:val="nil"/>
        </w:pBdr>
        <w:spacing w:after="0" w:line="240" w:lineRule="auto"/>
        <w:jc w:val="both"/>
        <w:rPr>
          <w:rFonts w:ascii="Arial" w:eastAsia="Arial" w:hAnsi="Arial" w:cs="Arial"/>
          <w:sz w:val="22"/>
          <w:szCs w:val="22"/>
        </w:rPr>
      </w:pPr>
      <w:r>
        <w:rPr>
          <w:rFonts w:ascii="Arial" w:eastAsia="Arial" w:hAnsi="Arial" w:cs="Arial"/>
          <w:b/>
          <w:sz w:val="22"/>
          <w:szCs w:val="22"/>
        </w:rPr>
        <w:t>MSR (Medium-</w:t>
      </w:r>
      <w:proofErr w:type="spellStart"/>
      <w:r>
        <w:rPr>
          <w:rFonts w:ascii="Arial" w:eastAsia="Arial" w:hAnsi="Arial" w:cs="Arial"/>
          <w:b/>
          <w:sz w:val="22"/>
          <w:szCs w:val="22"/>
        </w:rPr>
        <w:t>Sized</w:t>
      </w:r>
      <w:proofErr w:type="spellEnd"/>
      <w:r>
        <w:rPr>
          <w:rFonts w:ascii="Arial" w:eastAsia="Arial" w:hAnsi="Arial" w:cs="Arial"/>
          <w:b/>
          <w:sz w:val="22"/>
          <w:szCs w:val="22"/>
        </w:rPr>
        <w:t xml:space="preserve"> </w:t>
      </w:r>
      <w:proofErr w:type="spellStart"/>
      <w:r>
        <w:rPr>
          <w:rFonts w:ascii="Arial" w:eastAsia="Arial" w:hAnsi="Arial" w:cs="Arial"/>
          <w:b/>
          <w:sz w:val="22"/>
          <w:szCs w:val="22"/>
        </w:rPr>
        <w:t>Reactors</w:t>
      </w:r>
      <w:proofErr w:type="spellEnd"/>
      <w:r>
        <w:rPr>
          <w:rFonts w:ascii="Arial" w:eastAsia="Arial" w:hAnsi="Arial" w:cs="Arial"/>
          <w:b/>
          <w:sz w:val="22"/>
          <w:szCs w:val="22"/>
        </w:rPr>
        <w:t>):</w:t>
      </w:r>
      <w:r>
        <w:rPr>
          <w:rFonts w:ascii="Arial" w:eastAsia="Arial" w:hAnsi="Arial" w:cs="Arial"/>
          <w:sz w:val="22"/>
          <w:szCs w:val="22"/>
        </w:rPr>
        <w:t xml:space="preserve"> entre 300 y 700 </w:t>
      </w:r>
      <w:proofErr w:type="spellStart"/>
      <w:r>
        <w:rPr>
          <w:rFonts w:ascii="Arial" w:eastAsia="Arial" w:hAnsi="Arial" w:cs="Arial"/>
          <w:sz w:val="22"/>
          <w:szCs w:val="22"/>
        </w:rPr>
        <w:t>MWe</w:t>
      </w:r>
      <w:proofErr w:type="spellEnd"/>
      <w:r>
        <w:rPr>
          <w:rFonts w:ascii="Arial" w:eastAsia="Arial" w:hAnsi="Arial" w:cs="Arial"/>
          <w:sz w:val="22"/>
          <w:szCs w:val="22"/>
        </w:rPr>
        <w:t>, utilizados en redes medianas o como respaldo de grandes sistemas.</w:t>
      </w:r>
    </w:p>
    <w:p w14:paraId="778BAE14" w14:textId="77777777" w:rsidR="001916FA" w:rsidRDefault="00000000">
      <w:pPr>
        <w:pBdr>
          <w:top w:val="nil"/>
          <w:left w:val="nil"/>
          <w:bottom w:val="nil"/>
          <w:right w:val="nil"/>
          <w:between w:val="nil"/>
        </w:pBdr>
        <w:spacing w:after="0" w:line="240" w:lineRule="auto"/>
        <w:jc w:val="both"/>
        <w:rPr>
          <w:rFonts w:ascii="Arial" w:eastAsia="Arial" w:hAnsi="Arial" w:cs="Arial"/>
          <w:sz w:val="22"/>
          <w:szCs w:val="22"/>
        </w:rPr>
      </w:pPr>
      <w:r>
        <w:rPr>
          <w:rFonts w:ascii="Arial" w:eastAsia="Arial" w:hAnsi="Arial" w:cs="Arial"/>
          <w:b/>
          <w:sz w:val="22"/>
          <w:szCs w:val="22"/>
        </w:rPr>
        <w:t>LR (</w:t>
      </w:r>
      <w:proofErr w:type="spellStart"/>
      <w:r>
        <w:rPr>
          <w:rFonts w:ascii="Arial" w:eastAsia="Arial" w:hAnsi="Arial" w:cs="Arial"/>
          <w:b/>
          <w:sz w:val="22"/>
          <w:szCs w:val="22"/>
        </w:rPr>
        <w:t>Large</w:t>
      </w:r>
      <w:proofErr w:type="spellEnd"/>
      <w:r>
        <w:rPr>
          <w:rFonts w:ascii="Arial" w:eastAsia="Arial" w:hAnsi="Arial" w:cs="Arial"/>
          <w:b/>
          <w:sz w:val="22"/>
          <w:szCs w:val="22"/>
        </w:rPr>
        <w:t xml:space="preserve"> </w:t>
      </w:r>
      <w:proofErr w:type="spellStart"/>
      <w:r>
        <w:rPr>
          <w:rFonts w:ascii="Arial" w:eastAsia="Arial" w:hAnsi="Arial" w:cs="Arial"/>
          <w:b/>
          <w:sz w:val="22"/>
          <w:szCs w:val="22"/>
        </w:rPr>
        <w:t>Reactors</w:t>
      </w:r>
      <w:proofErr w:type="spellEnd"/>
      <w:r>
        <w:rPr>
          <w:rFonts w:ascii="Arial" w:eastAsia="Arial" w:hAnsi="Arial" w:cs="Arial"/>
          <w:b/>
          <w:sz w:val="22"/>
          <w:szCs w:val="22"/>
        </w:rPr>
        <w:t>):</w:t>
      </w:r>
      <w:r>
        <w:rPr>
          <w:rFonts w:ascii="Arial" w:eastAsia="Arial" w:hAnsi="Arial" w:cs="Arial"/>
          <w:sz w:val="22"/>
          <w:szCs w:val="22"/>
        </w:rPr>
        <w:t xml:space="preserve"> más de 800 </w:t>
      </w:r>
      <w:proofErr w:type="spellStart"/>
      <w:r>
        <w:rPr>
          <w:rFonts w:ascii="Arial" w:eastAsia="Arial" w:hAnsi="Arial" w:cs="Arial"/>
          <w:sz w:val="22"/>
          <w:szCs w:val="22"/>
        </w:rPr>
        <w:t>MWe</w:t>
      </w:r>
      <w:proofErr w:type="spellEnd"/>
      <w:r>
        <w:rPr>
          <w:rFonts w:ascii="Arial" w:eastAsia="Arial" w:hAnsi="Arial" w:cs="Arial"/>
          <w:sz w:val="22"/>
          <w:szCs w:val="22"/>
        </w:rPr>
        <w:t>, típicamente usados en centrales nucleares tradicionales para abastecer grandes ciudades o industrias (</w:t>
      </w:r>
      <w:proofErr w:type="spellStart"/>
      <w:r>
        <w:rPr>
          <w:rFonts w:ascii="Arial" w:eastAsia="Arial" w:hAnsi="Arial" w:cs="Arial"/>
          <w:sz w:val="22"/>
          <w:szCs w:val="22"/>
        </w:rPr>
        <w:t>World</w:t>
      </w:r>
      <w:proofErr w:type="spellEnd"/>
      <w:r>
        <w:rPr>
          <w:rFonts w:ascii="Arial" w:eastAsia="Arial" w:hAnsi="Arial" w:cs="Arial"/>
          <w:sz w:val="22"/>
          <w:szCs w:val="22"/>
        </w:rPr>
        <w:t xml:space="preserve"> Nuclear </w:t>
      </w:r>
      <w:proofErr w:type="spellStart"/>
      <w:r>
        <w:rPr>
          <w:rFonts w:ascii="Arial" w:eastAsia="Arial" w:hAnsi="Arial" w:cs="Arial"/>
          <w:sz w:val="22"/>
          <w:szCs w:val="22"/>
        </w:rPr>
        <w:t>Association</w:t>
      </w:r>
      <w:proofErr w:type="spellEnd"/>
      <w:r>
        <w:rPr>
          <w:rFonts w:ascii="Arial" w:eastAsia="Arial" w:hAnsi="Arial" w:cs="Arial"/>
          <w:sz w:val="22"/>
          <w:szCs w:val="22"/>
        </w:rPr>
        <w:t>, 2025b).</w:t>
      </w:r>
    </w:p>
    <w:p w14:paraId="44A2317F" w14:textId="77777777" w:rsidR="001916FA" w:rsidRDefault="001916FA">
      <w:pPr>
        <w:pBdr>
          <w:top w:val="nil"/>
          <w:left w:val="nil"/>
          <w:bottom w:val="nil"/>
          <w:right w:val="nil"/>
          <w:between w:val="nil"/>
        </w:pBdr>
        <w:spacing w:after="0" w:line="240" w:lineRule="auto"/>
        <w:jc w:val="both"/>
        <w:rPr>
          <w:rFonts w:ascii="Arial" w:eastAsia="Arial" w:hAnsi="Arial" w:cs="Arial"/>
          <w:sz w:val="22"/>
          <w:szCs w:val="22"/>
        </w:rPr>
      </w:pPr>
    </w:p>
    <w:p w14:paraId="1D51B546" w14:textId="77777777" w:rsidR="001916FA" w:rsidRDefault="00000000">
      <w:pPr>
        <w:pBdr>
          <w:top w:val="nil"/>
          <w:left w:val="nil"/>
          <w:bottom w:val="nil"/>
          <w:right w:val="nil"/>
          <w:between w:val="nil"/>
        </w:pBdr>
        <w:spacing w:after="0" w:line="240" w:lineRule="auto"/>
        <w:jc w:val="both"/>
        <w:rPr>
          <w:rFonts w:ascii="Arial" w:eastAsia="Arial" w:hAnsi="Arial" w:cs="Arial"/>
          <w:sz w:val="22"/>
          <w:szCs w:val="22"/>
        </w:rPr>
      </w:pPr>
      <w:r>
        <w:rPr>
          <w:rFonts w:ascii="Arial" w:eastAsia="Arial" w:hAnsi="Arial" w:cs="Arial"/>
          <w:sz w:val="22"/>
          <w:szCs w:val="22"/>
        </w:rPr>
        <w:t>La elección de un SMR frente a un reactor convencional se justifica por su diseño compacto y modular, que facilita el transporte por carretera o ferrocarril hacia zonas remotas, como las que suelen ocupar las operaciones mineras. Esta característica permite una logística más eficiente y adaptable. Además, los SMR reducen significativamente los tiempos de construcción, ya que la mayoría de sus componentes se fabrican en planta y se ensamblan directamente en el sitio de operación. En términos de seguridad, incorporan sistemas pasivos que no requieren intervención humana inmediata ante fallos, lo que disminuye los riesgos operativos. Finalmente, su escalabilidad permite instalar múltiples módulos de forma progresiva, ajustándose a la evolución de la demanda energética de la operación minera (IAEA, 2025).</w:t>
      </w:r>
    </w:p>
    <w:p w14:paraId="62A3F3A1" w14:textId="77777777" w:rsidR="001916FA" w:rsidRDefault="001916FA">
      <w:pPr>
        <w:pBdr>
          <w:top w:val="nil"/>
          <w:left w:val="nil"/>
          <w:bottom w:val="nil"/>
          <w:right w:val="nil"/>
          <w:between w:val="nil"/>
        </w:pBdr>
        <w:spacing w:after="0" w:line="240" w:lineRule="auto"/>
        <w:jc w:val="both"/>
        <w:rPr>
          <w:rFonts w:ascii="Arial" w:eastAsia="Arial" w:hAnsi="Arial" w:cs="Arial"/>
          <w:sz w:val="22"/>
          <w:szCs w:val="22"/>
        </w:rPr>
      </w:pPr>
    </w:p>
    <w:p w14:paraId="46C63FFA" w14:textId="77777777" w:rsidR="001916FA" w:rsidRDefault="00000000">
      <w:pPr>
        <w:pBdr>
          <w:top w:val="nil"/>
          <w:left w:val="nil"/>
          <w:bottom w:val="nil"/>
          <w:right w:val="nil"/>
          <w:between w:val="nil"/>
        </w:pBdr>
        <w:spacing w:after="0" w:line="240" w:lineRule="auto"/>
        <w:jc w:val="both"/>
        <w:rPr>
          <w:rFonts w:ascii="Arial" w:eastAsia="Arial" w:hAnsi="Arial" w:cs="Arial"/>
          <w:sz w:val="22"/>
          <w:szCs w:val="22"/>
        </w:rPr>
      </w:pPr>
      <w:r>
        <w:rPr>
          <w:rFonts w:ascii="Arial" w:eastAsia="Arial" w:hAnsi="Arial" w:cs="Arial"/>
          <w:sz w:val="22"/>
          <w:szCs w:val="22"/>
        </w:rPr>
        <w:t>Además, los SMR presentan ventajas económicas al reducir el riesgo financiero asociado a megaproyectos nucleares, ya que pueden implementarse por fases. Esto es especialmente relevante para operaciones mineras que buscan independencia energética sin comprometer su flujo de caja</w:t>
      </w:r>
    </w:p>
    <w:p w14:paraId="3E914784" w14:textId="77777777" w:rsidR="001916FA" w:rsidRDefault="001916FA">
      <w:pPr>
        <w:pBdr>
          <w:top w:val="nil"/>
          <w:left w:val="nil"/>
          <w:bottom w:val="nil"/>
          <w:right w:val="nil"/>
          <w:between w:val="nil"/>
        </w:pBdr>
        <w:spacing w:after="0" w:line="240" w:lineRule="auto"/>
        <w:jc w:val="both"/>
        <w:rPr>
          <w:rFonts w:ascii="Arial" w:eastAsia="Arial" w:hAnsi="Arial" w:cs="Arial"/>
          <w:sz w:val="22"/>
          <w:szCs w:val="22"/>
        </w:rPr>
      </w:pPr>
    </w:p>
    <w:p w14:paraId="667169CB" w14:textId="77777777" w:rsidR="001916FA" w:rsidRDefault="00000000">
      <w:pPr>
        <w:pBdr>
          <w:top w:val="nil"/>
          <w:left w:val="nil"/>
          <w:bottom w:val="nil"/>
          <w:right w:val="nil"/>
          <w:between w:val="nil"/>
        </w:pBdr>
        <w:spacing w:after="0" w:line="240" w:lineRule="auto"/>
        <w:jc w:val="both"/>
        <w:rPr>
          <w:rFonts w:ascii="Arial" w:eastAsia="Arial" w:hAnsi="Arial" w:cs="Arial"/>
          <w:sz w:val="22"/>
          <w:szCs w:val="22"/>
        </w:rPr>
      </w:pPr>
      <w:r>
        <w:rPr>
          <w:rFonts w:ascii="Arial" w:eastAsia="Arial" w:hAnsi="Arial" w:cs="Arial"/>
          <w:sz w:val="22"/>
          <w:szCs w:val="22"/>
        </w:rPr>
        <w:t xml:space="preserve">Para este estudió se consideró como referencia el </w:t>
      </w:r>
      <w:r>
        <w:rPr>
          <w:rFonts w:ascii="Arial" w:eastAsia="Arial" w:hAnsi="Arial" w:cs="Arial"/>
          <w:b/>
          <w:sz w:val="22"/>
          <w:szCs w:val="22"/>
        </w:rPr>
        <w:t xml:space="preserve">diseño de un SMR de ~100 </w:t>
      </w:r>
      <w:proofErr w:type="spellStart"/>
      <w:r>
        <w:rPr>
          <w:rFonts w:ascii="Arial" w:eastAsia="Arial" w:hAnsi="Arial" w:cs="Arial"/>
          <w:b/>
          <w:sz w:val="22"/>
          <w:szCs w:val="22"/>
        </w:rPr>
        <w:t>MWe</w:t>
      </w:r>
      <w:proofErr w:type="spellEnd"/>
      <w:r>
        <w:rPr>
          <w:rFonts w:ascii="Arial" w:eastAsia="Arial" w:hAnsi="Arial" w:cs="Arial"/>
          <w:sz w:val="22"/>
          <w:szCs w:val="22"/>
        </w:rPr>
        <w:t xml:space="preserve"> por módulo, con un factor de capacidad del 90%. Un módulo de este tipo puede llegar a producir cerca de </w:t>
      </w:r>
      <w:r>
        <w:rPr>
          <w:rFonts w:ascii="Arial" w:eastAsia="Arial" w:hAnsi="Arial" w:cs="Arial"/>
          <w:b/>
          <w:sz w:val="22"/>
          <w:szCs w:val="22"/>
        </w:rPr>
        <w:t xml:space="preserve">788,400 </w:t>
      </w:r>
      <w:proofErr w:type="spellStart"/>
      <w:r>
        <w:rPr>
          <w:rFonts w:ascii="Arial" w:eastAsia="Arial" w:hAnsi="Arial" w:cs="Arial"/>
          <w:b/>
          <w:sz w:val="22"/>
          <w:szCs w:val="22"/>
        </w:rPr>
        <w:t>MWh</w:t>
      </w:r>
      <w:proofErr w:type="spellEnd"/>
      <w:r>
        <w:rPr>
          <w:rFonts w:ascii="Arial" w:eastAsia="Arial" w:hAnsi="Arial" w:cs="Arial"/>
          <w:b/>
          <w:sz w:val="22"/>
          <w:szCs w:val="22"/>
        </w:rPr>
        <w:t>/año</w:t>
      </w:r>
      <w:r>
        <w:rPr>
          <w:rFonts w:ascii="Arial" w:eastAsia="Arial" w:hAnsi="Arial" w:cs="Arial"/>
          <w:sz w:val="22"/>
          <w:szCs w:val="22"/>
        </w:rPr>
        <w:t xml:space="preserve"> (100 MW * 24 h/d * 365 días * 0,90). En caso de requerirse mayor capacidad, se contempló la opción de multiplicar el número de módulos (</w:t>
      </w:r>
      <w:proofErr w:type="spellStart"/>
      <w:r>
        <w:rPr>
          <w:rFonts w:ascii="Arial" w:eastAsia="Arial" w:hAnsi="Arial" w:cs="Arial"/>
          <w:sz w:val="22"/>
          <w:szCs w:val="22"/>
        </w:rPr>
        <w:t>p.e</w:t>
      </w:r>
      <w:proofErr w:type="spellEnd"/>
      <w:r>
        <w:rPr>
          <w:rFonts w:ascii="Arial" w:eastAsia="Arial" w:hAnsi="Arial" w:cs="Arial"/>
          <w:sz w:val="22"/>
          <w:szCs w:val="22"/>
        </w:rPr>
        <w:t xml:space="preserve">. 2 o 3 módulos).                        </w:t>
      </w:r>
    </w:p>
    <w:p w14:paraId="27F47E98" w14:textId="77777777" w:rsidR="001916FA" w:rsidRDefault="001916FA">
      <w:pPr>
        <w:pBdr>
          <w:top w:val="nil"/>
          <w:left w:val="nil"/>
          <w:bottom w:val="nil"/>
          <w:right w:val="nil"/>
          <w:between w:val="nil"/>
        </w:pBdr>
        <w:spacing w:after="0" w:line="240" w:lineRule="auto"/>
        <w:jc w:val="both"/>
        <w:rPr>
          <w:rFonts w:ascii="Arial" w:eastAsia="Arial" w:hAnsi="Arial" w:cs="Arial"/>
          <w:sz w:val="22"/>
          <w:szCs w:val="22"/>
        </w:rPr>
      </w:pPr>
    </w:p>
    <w:p w14:paraId="69A94BA2" w14:textId="77777777" w:rsidR="001916FA" w:rsidRDefault="00000000">
      <w:pPr>
        <w:spacing w:after="0" w:line="240" w:lineRule="auto"/>
        <w:jc w:val="both"/>
        <w:rPr>
          <w:rFonts w:ascii="Arial" w:eastAsia="Arial" w:hAnsi="Arial" w:cs="Arial"/>
          <w:b/>
          <w:sz w:val="22"/>
          <w:szCs w:val="22"/>
        </w:rPr>
      </w:pPr>
      <w:r>
        <w:rPr>
          <w:rFonts w:ascii="Arial" w:eastAsia="Arial" w:hAnsi="Arial" w:cs="Arial"/>
          <w:b/>
          <w:sz w:val="22"/>
          <w:szCs w:val="22"/>
        </w:rPr>
        <w:t xml:space="preserve">3.4. </w:t>
      </w:r>
      <w:r>
        <w:rPr>
          <w:rFonts w:ascii="Arial" w:eastAsia="Arial" w:hAnsi="Arial" w:cs="Arial"/>
          <w:b/>
          <w:sz w:val="22"/>
          <w:szCs w:val="22"/>
        </w:rPr>
        <w:tab/>
        <w:t>Cálculo de LCOE en Diferentes Escenarios</w:t>
      </w:r>
    </w:p>
    <w:p w14:paraId="1EC76B75" w14:textId="77777777" w:rsidR="001916FA" w:rsidRDefault="001916FA">
      <w:pPr>
        <w:spacing w:after="0" w:line="240" w:lineRule="auto"/>
        <w:jc w:val="both"/>
        <w:rPr>
          <w:rFonts w:ascii="Arial" w:eastAsia="Arial" w:hAnsi="Arial" w:cs="Arial"/>
          <w:b/>
          <w:sz w:val="22"/>
          <w:szCs w:val="22"/>
        </w:rPr>
      </w:pPr>
    </w:p>
    <w:p w14:paraId="637226AB"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El Costo Nivelado de Energía (LCOE) es una métrica estandarizada que permite comparar el costo total de generación eléctrica entre distintas tecnologías. Este indicador considera la inversión inicial, costos de operación, mantenimiento, combustible (si aplica) y la vida útil del sistema (IRENA, 2024).</w:t>
      </w:r>
    </w:p>
    <w:p w14:paraId="2D424CAF" w14:textId="77777777" w:rsidR="001916FA" w:rsidRDefault="001916FA">
      <w:pPr>
        <w:spacing w:after="0" w:line="240" w:lineRule="auto"/>
        <w:jc w:val="both"/>
        <w:rPr>
          <w:rFonts w:ascii="Arial" w:eastAsia="Arial" w:hAnsi="Arial" w:cs="Arial"/>
          <w:sz w:val="22"/>
          <w:szCs w:val="22"/>
        </w:rPr>
      </w:pPr>
    </w:p>
    <w:p w14:paraId="638491E4"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Se compararon tres escenarios energéticos aplicables a operaciones mineras:</w:t>
      </w:r>
    </w:p>
    <w:p w14:paraId="6FDDBA22" w14:textId="77777777" w:rsidR="001916FA" w:rsidRDefault="001916FA">
      <w:pPr>
        <w:spacing w:after="0" w:line="240" w:lineRule="auto"/>
        <w:jc w:val="both"/>
        <w:rPr>
          <w:rFonts w:ascii="Arial" w:eastAsia="Arial" w:hAnsi="Arial" w:cs="Arial"/>
          <w:b/>
          <w:sz w:val="22"/>
          <w:szCs w:val="22"/>
        </w:rPr>
      </w:pPr>
    </w:p>
    <w:p w14:paraId="283A902E" w14:textId="77777777" w:rsidR="001916FA" w:rsidRDefault="00000000">
      <w:pPr>
        <w:jc w:val="both"/>
        <w:rPr>
          <w:rFonts w:ascii="Arial" w:eastAsia="Arial" w:hAnsi="Arial" w:cs="Arial"/>
          <w:sz w:val="22"/>
          <w:szCs w:val="22"/>
        </w:rPr>
      </w:pPr>
      <w:r>
        <w:rPr>
          <w:rFonts w:ascii="Arial" w:eastAsia="Arial" w:hAnsi="Arial" w:cs="Arial"/>
          <w:b/>
          <w:sz w:val="22"/>
          <w:szCs w:val="22"/>
        </w:rPr>
        <w:t>Escenario A (Diésel/Red Convencional):</w:t>
      </w:r>
      <w:r>
        <w:rPr>
          <w:rFonts w:ascii="Arial" w:eastAsia="Arial" w:hAnsi="Arial" w:cs="Arial"/>
          <w:sz w:val="22"/>
          <w:szCs w:val="22"/>
        </w:rPr>
        <w:t xml:space="preserve"> Este modelo tradicional presenta un LCOE entre 80 y 120 USD/</w:t>
      </w:r>
      <w:proofErr w:type="spellStart"/>
      <w:r>
        <w:rPr>
          <w:rFonts w:ascii="Arial" w:eastAsia="Arial" w:hAnsi="Arial" w:cs="Arial"/>
          <w:sz w:val="22"/>
          <w:szCs w:val="22"/>
        </w:rPr>
        <w:t>MWh</w:t>
      </w:r>
      <w:proofErr w:type="spellEnd"/>
      <w:r>
        <w:rPr>
          <w:rFonts w:ascii="Arial" w:eastAsia="Arial" w:hAnsi="Arial" w:cs="Arial"/>
          <w:sz w:val="22"/>
          <w:szCs w:val="22"/>
        </w:rPr>
        <w:t>, afectado por los altos costos de transporte de combustible y operación. Aunque es ampliamente utilizado, sufre de volatilidad de precios y genera elevadas emisiones de CO</w:t>
      </w:r>
      <w:r>
        <w:rPr>
          <w:rFonts w:ascii="Cambria Math" w:eastAsia="Cambria Math" w:hAnsi="Cambria Math" w:cs="Cambria Math"/>
          <w:sz w:val="22"/>
          <w:szCs w:val="22"/>
        </w:rPr>
        <w:t>₂</w:t>
      </w:r>
      <w:r>
        <w:rPr>
          <w:rFonts w:ascii="Arial" w:eastAsia="Arial" w:hAnsi="Arial" w:cs="Arial"/>
          <w:sz w:val="22"/>
          <w:szCs w:val="22"/>
        </w:rPr>
        <w:t xml:space="preserve">, lo que compromete su sostenibilidad a largo plazo (IRENA, 2024). </w:t>
      </w:r>
    </w:p>
    <w:p w14:paraId="69BA08DA" w14:textId="77777777" w:rsidR="001916FA" w:rsidRDefault="00000000">
      <w:pPr>
        <w:jc w:val="both"/>
        <w:rPr>
          <w:rFonts w:ascii="Arial" w:eastAsia="Arial" w:hAnsi="Arial" w:cs="Arial"/>
          <w:sz w:val="22"/>
          <w:szCs w:val="22"/>
        </w:rPr>
      </w:pPr>
      <w:r>
        <w:rPr>
          <w:rFonts w:ascii="Arial" w:eastAsia="Arial" w:hAnsi="Arial" w:cs="Arial"/>
          <w:b/>
          <w:sz w:val="22"/>
          <w:szCs w:val="22"/>
        </w:rPr>
        <w:t>Escenario B (SMR Puro):</w:t>
      </w:r>
      <w:r>
        <w:rPr>
          <w:rFonts w:ascii="Arial" w:eastAsia="Arial" w:hAnsi="Arial" w:cs="Arial"/>
          <w:sz w:val="22"/>
          <w:szCs w:val="22"/>
        </w:rPr>
        <w:t xml:space="preserve"> El uso exclusivo de reactores modulares pequeños (SMR) ofrece un LCOE estimado entre 50 a 70 USD/</w:t>
      </w:r>
      <w:proofErr w:type="spellStart"/>
      <w:r>
        <w:rPr>
          <w:rFonts w:ascii="Arial" w:eastAsia="Arial" w:hAnsi="Arial" w:cs="Arial"/>
          <w:sz w:val="22"/>
          <w:szCs w:val="22"/>
        </w:rPr>
        <w:t>MWh</w:t>
      </w:r>
      <w:proofErr w:type="spellEnd"/>
      <w:r>
        <w:rPr>
          <w:rFonts w:ascii="Arial" w:eastAsia="Arial" w:hAnsi="Arial" w:cs="Arial"/>
          <w:sz w:val="22"/>
          <w:szCs w:val="22"/>
        </w:rPr>
        <w:t>, dependiendo del diseño, número de módulos y condiciones de financiamiento. Los SMR proporcionan energía continua, confiable y con baja huella de carbono. Si bien  requieren una inversión inicial significativa, sus costos operativos son estables y su vida útil extensa (IAEA, 2025).</w:t>
      </w:r>
    </w:p>
    <w:p w14:paraId="20F292BA" w14:textId="77777777" w:rsidR="001916FA" w:rsidRDefault="00000000">
      <w:pPr>
        <w:jc w:val="both"/>
        <w:rPr>
          <w:rFonts w:ascii="Arial" w:eastAsia="Arial" w:hAnsi="Arial" w:cs="Arial"/>
          <w:sz w:val="22"/>
          <w:szCs w:val="22"/>
        </w:rPr>
      </w:pPr>
      <w:r>
        <w:rPr>
          <w:rFonts w:ascii="Arial" w:eastAsia="Arial" w:hAnsi="Arial" w:cs="Arial"/>
          <w:b/>
          <w:sz w:val="22"/>
          <w:szCs w:val="22"/>
        </w:rPr>
        <w:t>Escenario C (SMR + Solar/Eólica):</w:t>
      </w:r>
      <w:r>
        <w:rPr>
          <w:rFonts w:ascii="Arial" w:eastAsia="Arial" w:hAnsi="Arial" w:cs="Arial"/>
          <w:sz w:val="22"/>
          <w:szCs w:val="22"/>
        </w:rPr>
        <w:t xml:space="preserve"> La integración de SMR con fuentes renovables permite alcanzar un LCOE entre 45 a 65 USD/</w:t>
      </w:r>
      <w:proofErr w:type="spellStart"/>
      <w:r>
        <w:rPr>
          <w:rFonts w:ascii="Arial" w:eastAsia="Arial" w:hAnsi="Arial" w:cs="Arial"/>
          <w:sz w:val="22"/>
          <w:szCs w:val="22"/>
        </w:rPr>
        <w:t>MWh</w:t>
      </w:r>
      <w:proofErr w:type="spellEnd"/>
      <w:r>
        <w:rPr>
          <w:rFonts w:ascii="Arial" w:eastAsia="Arial" w:hAnsi="Arial" w:cs="Arial"/>
          <w:sz w:val="22"/>
          <w:szCs w:val="22"/>
        </w:rPr>
        <w:t>. Aunque implica mayores costos iniciales por la incorporación de tecnologías múltiples, ofrece importantes ahorros a largo plazo, una mayor estabilidad operativa frente a variaciones energéticas y una reducción significativa de emisiones (</w:t>
      </w:r>
      <w:proofErr w:type="spellStart"/>
      <w:r>
        <w:rPr>
          <w:rFonts w:ascii="Arial" w:eastAsia="Arial" w:hAnsi="Arial" w:cs="Arial"/>
          <w:sz w:val="22"/>
          <w:szCs w:val="22"/>
        </w:rPr>
        <w:t>World</w:t>
      </w:r>
      <w:proofErr w:type="spellEnd"/>
      <w:r>
        <w:rPr>
          <w:rFonts w:ascii="Arial" w:eastAsia="Arial" w:hAnsi="Arial" w:cs="Arial"/>
          <w:sz w:val="22"/>
          <w:szCs w:val="22"/>
        </w:rPr>
        <w:t xml:space="preserve"> Nuclear </w:t>
      </w:r>
      <w:proofErr w:type="spellStart"/>
      <w:r>
        <w:rPr>
          <w:rFonts w:ascii="Arial" w:eastAsia="Arial" w:hAnsi="Arial" w:cs="Arial"/>
          <w:sz w:val="22"/>
          <w:szCs w:val="22"/>
        </w:rPr>
        <w:t>Association</w:t>
      </w:r>
      <w:proofErr w:type="spellEnd"/>
      <w:r>
        <w:rPr>
          <w:rFonts w:ascii="Arial" w:eastAsia="Arial" w:hAnsi="Arial" w:cs="Arial"/>
          <w:sz w:val="22"/>
          <w:szCs w:val="22"/>
        </w:rPr>
        <w:t>, 2025; IRENA, 2024).</w:t>
      </w:r>
    </w:p>
    <w:p w14:paraId="14F3A2E5" w14:textId="77777777" w:rsidR="001916FA" w:rsidRDefault="001916FA">
      <w:pPr>
        <w:rPr>
          <w:rFonts w:ascii="Arial" w:eastAsia="Arial" w:hAnsi="Arial" w:cs="Arial"/>
          <w:sz w:val="22"/>
          <w:szCs w:val="22"/>
        </w:rPr>
      </w:pPr>
    </w:p>
    <w:p w14:paraId="61BCDCF1" w14:textId="77777777" w:rsidR="001916FA" w:rsidRDefault="00000000">
      <w:pPr>
        <w:spacing w:after="0" w:line="240" w:lineRule="auto"/>
        <w:jc w:val="both"/>
        <w:rPr>
          <w:rFonts w:ascii="Cambria Math" w:eastAsia="Cambria Math" w:hAnsi="Cambria Math" w:cs="Cambria Math"/>
          <w:b/>
          <w:sz w:val="22"/>
          <w:szCs w:val="22"/>
        </w:rPr>
      </w:pPr>
      <w:r>
        <w:rPr>
          <w:rFonts w:ascii="Arial" w:eastAsia="Arial" w:hAnsi="Arial" w:cs="Arial"/>
          <w:b/>
          <w:sz w:val="22"/>
          <w:szCs w:val="22"/>
        </w:rPr>
        <w:t xml:space="preserve">3.5. </w:t>
      </w:r>
      <w:r>
        <w:rPr>
          <w:rFonts w:ascii="Arial" w:eastAsia="Arial" w:hAnsi="Arial" w:cs="Arial"/>
          <w:b/>
          <w:sz w:val="22"/>
          <w:szCs w:val="22"/>
        </w:rPr>
        <w:tab/>
        <w:t>Estimación de Reducción de Emisiones de CO</w:t>
      </w:r>
      <w:r>
        <w:rPr>
          <w:rFonts w:ascii="Cambria Math" w:eastAsia="Cambria Math" w:hAnsi="Cambria Math" w:cs="Cambria Math"/>
          <w:b/>
          <w:sz w:val="22"/>
          <w:szCs w:val="22"/>
        </w:rPr>
        <w:t>₂</w:t>
      </w:r>
    </w:p>
    <w:p w14:paraId="2574FAC5" w14:textId="77777777" w:rsidR="001916FA" w:rsidRDefault="001916FA">
      <w:pPr>
        <w:spacing w:after="0" w:line="240" w:lineRule="auto"/>
        <w:jc w:val="both"/>
        <w:rPr>
          <w:rFonts w:ascii="Cambria Math" w:eastAsia="Cambria Math" w:hAnsi="Cambria Math" w:cs="Cambria Math"/>
          <w:b/>
          <w:sz w:val="22"/>
          <w:szCs w:val="22"/>
        </w:rPr>
      </w:pPr>
    </w:p>
    <w:p w14:paraId="13C51CA7"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El uso de SMR y renovables se justifica con factores técnico, económicos, logísticos y medioambientales, su implementación puede reducir significativamente las emisiones de CO</w:t>
      </w:r>
      <w:r>
        <w:rPr>
          <w:rFonts w:ascii="Cambria Math" w:eastAsia="Cambria Math" w:hAnsi="Cambria Math" w:cs="Cambria Math"/>
          <w:sz w:val="22"/>
          <w:szCs w:val="22"/>
        </w:rPr>
        <w:t xml:space="preserve">₂ </w:t>
      </w:r>
      <w:r>
        <w:rPr>
          <w:rFonts w:ascii="Arial" w:eastAsia="Arial" w:hAnsi="Arial" w:cs="Arial"/>
          <w:sz w:val="22"/>
          <w:szCs w:val="22"/>
        </w:rPr>
        <w:t xml:space="preserve">a causa del uso de diésel que además genera altos costos de transporte hacia las zonas remotas y de difícil acceso donde se encuentra la mayoría de mineras, lo que puede llegar a representar entre el 40% a 60% del costo total de suministro de energía. (Allen, M. 2021). Un solo SMR de 100 MW generando 788,400 </w:t>
      </w:r>
      <w:proofErr w:type="spellStart"/>
      <w:r>
        <w:rPr>
          <w:rFonts w:ascii="Arial" w:eastAsia="Arial" w:hAnsi="Arial" w:cs="Arial"/>
          <w:sz w:val="22"/>
          <w:szCs w:val="22"/>
        </w:rPr>
        <w:t>MWh</w:t>
      </w:r>
      <w:proofErr w:type="spellEnd"/>
      <w:r>
        <w:rPr>
          <w:rFonts w:ascii="Arial" w:eastAsia="Arial" w:hAnsi="Arial" w:cs="Arial"/>
          <w:sz w:val="22"/>
          <w:szCs w:val="22"/>
        </w:rPr>
        <w:t>/año podría desplazar hasta 552,000 toneladas de CO</w:t>
      </w:r>
      <w:r>
        <w:rPr>
          <w:rFonts w:ascii="Cambria Math" w:eastAsia="Cambria Math" w:hAnsi="Cambria Math" w:cs="Cambria Math"/>
          <w:sz w:val="22"/>
          <w:szCs w:val="22"/>
        </w:rPr>
        <w:t>₂</w:t>
      </w:r>
      <w:r>
        <w:rPr>
          <w:rFonts w:ascii="Arial" w:eastAsia="Arial" w:hAnsi="Arial" w:cs="Arial"/>
          <w:sz w:val="22"/>
          <w:szCs w:val="22"/>
        </w:rPr>
        <w:t xml:space="preserve"> anuales (0,70 kg/kWh * 788,400,000 kWh). Si se integran energías renovables, la cifra asciende, pues la participación fósil disminuye aún más.</w:t>
      </w:r>
    </w:p>
    <w:p w14:paraId="0BE8F848" w14:textId="77777777" w:rsidR="001916FA" w:rsidRDefault="001916FA">
      <w:pPr>
        <w:spacing w:after="0" w:line="240" w:lineRule="auto"/>
        <w:jc w:val="both"/>
        <w:rPr>
          <w:rFonts w:ascii="Arial" w:eastAsia="Arial" w:hAnsi="Arial" w:cs="Arial"/>
          <w:sz w:val="22"/>
          <w:szCs w:val="22"/>
        </w:rPr>
      </w:pPr>
    </w:p>
    <w:p w14:paraId="03898BD2"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Para este estudio se está considerando un factor de emisión promedio de 0,70 kg CO</w:t>
      </w:r>
      <w:r>
        <w:rPr>
          <w:rFonts w:ascii="Cambria Math" w:eastAsia="Cambria Math" w:hAnsi="Cambria Math" w:cs="Cambria Math"/>
          <w:sz w:val="22"/>
          <w:szCs w:val="22"/>
        </w:rPr>
        <w:t>₂</w:t>
      </w:r>
      <w:r>
        <w:rPr>
          <w:rFonts w:ascii="Arial" w:eastAsia="Arial" w:hAnsi="Arial" w:cs="Arial"/>
          <w:sz w:val="22"/>
          <w:szCs w:val="22"/>
        </w:rPr>
        <w:t xml:space="preserve">/kWh para generación con diésel en altura (Perú Petro. 2023), factor que es ampliamente superado en muchos casos e impacta directamente en costos asociados a impuestos ambientales y reputación de la empresa (IEA, 2022). Por otro lado, el factor de emisión para los SMR. </w:t>
      </w:r>
    </w:p>
    <w:p w14:paraId="4EC5AA77" w14:textId="77777777" w:rsidR="001916FA" w:rsidRDefault="001916FA">
      <w:pPr>
        <w:spacing w:after="0" w:line="240" w:lineRule="auto"/>
        <w:jc w:val="both"/>
        <w:rPr>
          <w:rFonts w:ascii="Arial" w:eastAsia="Arial" w:hAnsi="Arial" w:cs="Arial"/>
          <w:sz w:val="22"/>
          <w:szCs w:val="22"/>
        </w:rPr>
      </w:pPr>
    </w:p>
    <w:p w14:paraId="10297365" w14:textId="77777777" w:rsidR="001916FA" w:rsidRDefault="00000000">
      <w:pPr>
        <w:rPr>
          <w:rFonts w:ascii="Arial" w:eastAsia="Arial" w:hAnsi="Arial" w:cs="Arial"/>
          <w:sz w:val="22"/>
          <w:szCs w:val="22"/>
        </w:rPr>
      </w:pPr>
      <w:r>
        <w:rPr>
          <w:rFonts w:ascii="Arial" w:eastAsia="Arial" w:hAnsi="Arial" w:cs="Arial"/>
          <w:b/>
          <w:sz w:val="22"/>
          <w:szCs w:val="22"/>
        </w:rPr>
        <w:t xml:space="preserve">Caso Práctico: </w:t>
      </w:r>
      <w:r>
        <w:rPr>
          <w:rFonts w:ascii="Arial" w:eastAsia="Arial" w:hAnsi="Arial" w:cs="Arial"/>
          <w:sz w:val="22"/>
          <w:szCs w:val="22"/>
        </w:rPr>
        <w:t>Las Bambas</w:t>
      </w:r>
    </w:p>
    <w:p w14:paraId="7766373C" w14:textId="7D259D4D" w:rsidR="001916FA" w:rsidRDefault="00000000">
      <w:pPr>
        <w:jc w:val="both"/>
        <w:rPr>
          <w:rFonts w:ascii="Arial" w:eastAsia="Arial" w:hAnsi="Arial" w:cs="Arial"/>
          <w:sz w:val="22"/>
          <w:szCs w:val="22"/>
        </w:rPr>
      </w:pPr>
      <w:r>
        <w:rPr>
          <w:rFonts w:ascii="Arial" w:eastAsia="Arial" w:hAnsi="Arial" w:cs="Arial"/>
          <w:sz w:val="22"/>
          <w:szCs w:val="22"/>
        </w:rPr>
        <w:t xml:space="preserve">Unidad minera de cobre a tajo abierto ubicada en la región de Apurímac a una altitud de 3800 y 4600 m.s.n.m. aproximadamente a 75 km de la ciudad del Cusco (Bedón, C. 2016). Para este caso se consideró los siguientes datos obtenidos del Análisis del Potencial y Eventuales usos que tienen  las Fuentes de Energías Alternativas en la Minería Peruana (2020), donde se tiene una demanda estimada de ~200 MW al año,  con un factor de carga al 85% la demanda de energía es de 1,490,400 </w:t>
      </w:r>
      <w:proofErr w:type="spellStart"/>
      <w:r>
        <w:rPr>
          <w:rFonts w:ascii="Arial" w:eastAsia="Arial" w:hAnsi="Arial" w:cs="Arial"/>
          <w:sz w:val="22"/>
          <w:szCs w:val="22"/>
        </w:rPr>
        <w:t>MWh</w:t>
      </w:r>
      <w:proofErr w:type="spellEnd"/>
      <w:r>
        <w:rPr>
          <w:rFonts w:ascii="Arial" w:eastAsia="Arial" w:hAnsi="Arial" w:cs="Arial"/>
          <w:sz w:val="22"/>
          <w:szCs w:val="22"/>
        </w:rPr>
        <w:t>/año. Con los datos presentados anteriormente se planteó una comparativa económica y ambiental entre el escenario actual y el de implementación de SMR y energías renovables (Tabla 1).</w:t>
      </w:r>
    </w:p>
    <w:p w14:paraId="2761F0D5" w14:textId="77777777" w:rsidR="001916FA" w:rsidRDefault="001916FA">
      <w:pPr>
        <w:jc w:val="both"/>
        <w:rPr>
          <w:rFonts w:ascii="Arial" w:eastAsia="Arial" w:hAnsi="Arial" w:cs="Arial"/>
          <w:sz w:val="22"/>
          <w:szCs w:val="22"/>
        </w:rPr>
      </w:pPr>
    </w:p>
    <w:sdt>
      <w:sdtPr>
        <w:tag w:val="goog_rdk_0"/>
        <w:id w:val="607590605"/>
        <w:lock w:val="contentLocked"/>
      </w:sdtPr>
      <w:sdtContent>
        <w:tbl>
          <w:tblPr>
            <w:tblStyle w:val="a"/>
            <w:tblW w:w="49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1620"/>
            <w:gridCol w:w="1440"/>
          </w:tblGrid>
          <w:tr w:rsidR="001916FA" w14:paraId="1A2F7FB9" w14:textId="77777777">
            <w:trPr>
              <w:trHeight w:val="651"/>
            </w:trPr>
            <w:tc>
              <w:tcPr>
                <w:tcW w:w="1935" w:type="dxa"/>
                <w:tcBorders>
                  <w:top w:val="single" w:sz="8" w:space="0" w:color="FFFFFF"/>
                  <w:left w:val="single" w:sz="8" w:space="0" w:color="FFFFFF"/>
                </w:tcBorders>
                <w:tcMar>
                  <w:top w:w="100" w:type="dxa"/>
                  <w:left w:w="100" w:type="dxa"/>
                  <w:bottom w:w="100" w:type="dxa"/>
                  <w:right w:w="100" w:type="dxa"/>
                </w:tcMar>
              </w:tcPr>
              <w:p w14:paraId="7360F4EA" w14:textId="77777777" w:rsidR="001916FA" w:rsidRDefault="001916FA">
                <w:pPr>
                  <w:widowControl w:val="0"/>
                  <w:pBdr>
                    <w:top w:val="nil"/>
                    <w:left w:val="nil"/>
                    <w:bottom w:val="nil"/>
                    <w:right w:val="nil"/>
                    <w:between w:val="nil"/>
                  </w:pBdr>
                  <w:spacing w:after="0" w:line="240" w:lineRule="auto"/>
                  <w:jc w:val="both"/>
                  <w:rPr>
                    <w:rFonts w:ascii="Arial" w:eastAsia="Arial" w:hAnsi="Arial" w:cs="Arial"/>
                    <w:sz w:val="18"/>
                    <w:szCs w:val="18"/>
                  </w:rPr>
                </w:pPr>
              </w:p>
            </w:tc>
            <w:tc>
              <w:tcPr>
                <w:tcW w:w="1620" w:type="dxa"/>
                <w:shd w:val="clear" w:color="auto" w:fill="C9DAF8"/>
                <w:tcMar>
                  <w:top w:w="100" w:type="dxa"/>
                  <w:left w:w="100" w:type="dxa"/>
                  <w:bottom w:w="100" w:type="dxa"/>
                  <w:right w:w="100" w:type="dxa"/>
                </w:tcMar>
              </w:tcPr>
              <w:p w14:paraId="69A0B788" w14:textId="77777777" w:rsidR="001916FA" w:rsidRDefault="00000000">
                <w:pPr>
                  <w:widowControl w:val="0"/>
                  <w:pBdr>
                    <w:top w:val="nil"/>
                    <w:left w:val="nil"/>
                    <w:bottom w:val="nil"/>
                    <w:right w:val="nil"/>
                    <w:between w:val="nil"/>
                  </w:pBdr>
                  <w:spacing w:after="0" w:line="240" w:lineRule="auto"/>
                  <w:jc w:val="both"/>
                  <w:rPr>
                    <w:rFonts w:ascii="Arial" w:eastAsia="Arial" w:hAnsi="Arial" w:cs="Arial"/>
                    <w:sz w:val="18"/>
                    <w:szCs w:val="18"/>
                  </w:rPr>
                </w:pPr>
                <w:r>
                  <w:rPr>
                    <w:rFonts w:ascii="Arial" w:eastAsia="Arial" w:hAnsi="Arial" w:cs="Arial"/>
                    <w:sz w:val="18"/>
                    <w:szCs w:val="18"/>
                  </w:rPr>
                  <w:t>Escenario Actual</w:t>
                </w:r>
              </w:p>
              <w:p w14:paraId="55ADC66E" w14:textId="77777777" w:rsidR="001916FA" w:rsidRDefault="00000000">
                <w:pPr>
                  <w:jc w:val="both"/>
                  <w:rPr>
                    <w:rFonts w:ascii="Arial" w:eastAsia="Arial" w:hAnsi="Arial" w:cs="Arial"/>
                    <w:sz w:val="18"/>
                    <w:szCs w:val="18"/>
                  </w:rPr>
                </w:pPr>
                <w:r>
                  <w:rPr>
                    <w:rFonts w:ascii="Arial" w:eastAsia="Arial" w:hAnsi="Arial" w:cs="Arial"/>
                    <w:b/>
                    <w:sz w:val="18"/>
                    <w:szCs w:val="18"/>
                  </w:rPr>
                  <w:t>(Diésel + Red)</w:t>
                </w:r>
              </w:p>
            </w:tc>
            <w:tc>
              <w:tcPr>
                <w:tcW w:w="1440" w:type="dxa"/>
                <w:shd w:val="clear" w:color="auto" w:fill="C9DAF8"/>
                <w:tcMar>
                  <w:top w:w="100" w:type="dxa"/>
                  <w:left w:w="100" w:type="dxa"/>
                  <w:bottom w:w="100" w:type="dxa"/>
                  <w:right w:w="100" w:type="dxa"/>
                </w:tcMar>
              </w:tcPr>
              <w:p w14:paraId="06A244A1" w14:textId="77777777" w:rsidR="001916FA" w:rsidRDefault="00000000">
                <w:pPr>
                  <w:widowControl w:val="0"/>
                  <w:pBdr>
                    <w:top w:val="nil"/>
                    <w:left w:val="nil"/>
                    <w:bottom w:val="nil"/>
                    <w:right w:val="nil"/>
                    <w:between w:val="nil"/>
                  </w:pBdr>
                  <w:spacing w:after="0" w:line="240" w:lineRule="auto"/>
                  <w:jc w:val="both"/>
                  <w:rPr>
                    <w:rFonts w:ascii="Arial" w:eastAsia="Arial" w:hAnsi="Arial" w:cs="Arial"/>
                    <w:sz w:val="18"/>
                    <w:szCs w:val="18"/>
                  </w:rPr>
                </w:pPr>
                <w:r>
                  <w:rPr>
                    <w:rFonts w:ascii="Arial" w:eastAsia="Arial" w:hAnsi="Arial" w:cs="Arial"/>
                    <w:sz w:val="18"/>
                    <w:szCs w:val="18"/>
                  </w:rPr>
                  <w:t>Escenario SMR + Renovables</w:t>
                </w:r>
              </w:p>
            </w:tc>
          </w:tr>
          <w:tr w:rsidR="001916FA" w14:paraId="351E651F" w14:textId="77777777">
            <w:trPr>
              <w:trHeight w:val="443"/>
            </w:trPr>
            <w:tc>
              <w:tcPr>
                <w:tcW w:w="1935" w:type="dxa"/>
                <w:shd w:val="clear" w:color="auto" w:fill="C9DAF8"/>
                <w:tcMar>
                  <w:top w:w="100" w:type="dxa"/>
                  <w:left w:w="100" w:type="dxa"/>
                  <w:bottom w:w="100" w:type="dxa"/>
                  <w:right w:w="100" w:type="dxa"/>
                </w:tcMar>
              </w:tcPr>
              <w:p w14:paraId="2B43AEA1" w14:textId="77777777" w:rsidR="001916FA" w:rsidRDefault="00000000">
                <w:pPr>
                  <w:widowControl w:val="0"/>
                  <w:pBdr>
                    <w:top w:val="nil"/>
                    <w:left w:val="nil"/>
                    <w:bottom w:val="nil"/>
                    <w:right w:val="nil"/>
                    <w:between w:val="nil"/>
                  </w:pBdr>
                  <w:spacing w:after="0" w:line="240" w:lineRule="auto"/>
                  <w:jc w:val="both"/>
                  <w:rPr>
                    <w:rFonts w:ascii="Arial" w:eastAsia="Arial" w:hAnsi="Arial" w:cs="Arial"/>
                    <w:b/>
                    <w:sz w:val="18"/>
                    <w:szCs w:val="18"/>
                  </w:rPr>
                </w:pPr>
                <w:r>
                  <w:rPr>
                    <w:rFonts w:ascii="Arial" w:eastAsia="Arial" w:hAnsi="Arial" w:cs="Arial"/>
                    <w:b/>
                    <w:sz w:val="18"/>
                    <w:szCs w:val="18"/>
                  </w:rPr>
                  <w:t>Demanda Energética (MWh)</w:t>
                </w:r>
              </w:p>
            </w:tc>
            <w:tc>
              <w:tcPr>
                <w:tcW w:w="3060" w:type="dxa"/>
                <w:gridSpan w:val="2"/>
                <w:tcMar>
                  <w:top w:w="100" w:type="dxa"/>
                  <w:left w:w="100" w:type="dxa"/>
                  <w:bottom w:w="100" w:type="dxa"/>
                  <w:right w:w="100" w:type="dxa"/>
                </w:tcMar>
              </w:tcPr>
              <w:p w14:paraId="5E8F28D5" w14:textId="77777777" w:rsidR="001916FA" w:rsidRDefault="00000000">
                <w:pPr>
                  <w:widowControl w:val="0"/>
                  <w:spacing w:line="240" w:lineRule="auto"/>
                  <w:jc w:val="both"/>
                  <w:rPr>
                    <w:rFonts w:ascii="Arial" w:eastAsia="Arial" w:hAnsi="Arial" w:cs="Arial"/>
                    <w:sz w:val="18"/>
                    <w:szCs w:val="18"/>
                  </w:rPr>
                </w:pPr>
                <w:r>
                  <w:rPr>
                    <w:rFonts w:ascii="Arial" w:eastAsia="Arial" w:hAnsi="Arial" w:cs="Arial"/>
                    <w:sz w:val="18"/>
                    <w:szCs w:val="18"/>
                  </w:rPr>
                  <w:t xml:space="preserve">1,490,400 </w:t>
                </w:r>
              </w:p>
            </w:tc>
          </w:tr>
          <w:tr w:rsidR="001916FA" w14:paraId="748F4020" w14:textId="77777777">
            <w:trPr>
              <w:trHeight w:val="426"/>
            </w:trPr>
            <w:tc>
              <w:tcPr>
                <w:tcW w:w="1935" w:type="dxa"/>
                <w:shd w:val="clear" w:color="auto" w:fill="C9DAF8"/>
                <w:tcMar>
                  <w:top w:w="100" w:type="dxa"/>
                  <w:left w:w="100" w:type="dxa"/>
                  <w:bottom w:w="100" w:type="dxa"/>
                  <w:right w:w="100" w:type="dxa"/>
                </w:tcMar>
              </w:tcPr>
              <w:p w14:paraId="6A1A25C2" w14:textId="77777777" w:rsidR="001916FA" w:rsidRDefault="00000000">
                <w:pPr>
                  <w:widowControl w:val="0"/>
                  <w:pBdr>
                    <w:top w:val="nil"/>
                    <w:left w:val="nil"/>
                    <w:bottom w:val="nil"/>
                    <w:right w:val="nil"/>
                    <w:between w:val="nil"/>
                  </w:pBdr>
                  <w:spacing w:after="0" w:line="240" w:lineRule="auto"/>
                  <w:jc w:val="both"/>
                  <w:rPr>
                    <w:rFonts w:ascii="Arial" w:eastAsia="Arial" w:hAnsi="Arial" w:cs="Arial"/>
                    <w:b/>
                    <w:sz w:val="18"/>
                    <w:szCs w:val="18"/>
                  </w:rPr>
                </w:pPr>
                <w:r>
                  <w:rPr>
                    <w:rFonts w:ascii="Arial" w:eastAsia="Arial" w:hAnsi="Arial" w:cs="Arial"/>
                    <w:b/>
                    <w:sz w:val="18"/>
                    <w:szCs w:val="18"/>
                  </w:rPr>
                  <w:t>Costo (USD/MWh)</w:t>
                </w:r>
              </w:p>
            </w:tc>
            <w:tc>
              <w:tcPr>
                <w:tcW w:w="1620" w:type="dxa"/>
                <w:tcMar>
                  <w:top w:w="100" w:type="dxa"/>
                  <w:left w:w="100" w:type="dxa"/>
                  <w:bottom w:w="100" w:type="dxa"/>
                  <w:right w:w="100" w:type="dxa"/>
                </w:tcMar>
              </w:tcPr>
              <w:p w14:paraId="082778F8" w14:textId="77777777" w:rsidR="001916FA" w:rsidRDefault="00000000">
                <w:pPr>
                  <w:widowControl w:val="0"/>
                  <w:spacing w:line="240" w:lineRule="auto"/>
                  <w:jc w:val="both"/>
                  <w:rPr>
                    <w:rFonts w:ascii="Arial" w:eastAsia="Arial" w:hAnsi="Arial" w:cs="Arial"/>
                    <w:sz w:val="18"/>
                    <w:szCs w:val="18"/>
                  </w:rPr>
                </w:pPr>
                <w:r>
                  <w:rPr>
                    <w:rFonts w:ascii="Arial" w:eastAsia="Arial" w:hAnsi="Arial" w:cs="Arial"/>
                    <w:sz w:val="18"/>
                    <w:szCs w:val="18"/>
                  </w:rPr>
                  <w:t xml:space="preserve">100 </w:t>
                </w:r>
              </w:p>
            </w:tc>
            <w:tc>
              <w:tcPr>
                <w:tcW w:w="1440" w:type="dxa"/>
                <w:tcMar>
                  <w:top w:w="100" w:type="dxa"/>
                  <w:left w:w="100" w:type="dxa"/>
                  <w:bottom w:w="100" w:type="dxa"/>
                  <w:right w:w="100" w:type="dxa"/>
                </w:tcMar>
              </w:tcPr>
              <w:p w14:paraId="6D586E60" w14:textId="77777777" w:rsidR="001916FA" w:rsidRDefault="00000000">
                <w:pPr>
                  <w:widowControl w:val="0"/>
                  <w:spacing w:line="240" w:lineRule="auto"/>
                  <w:jc w:val="both"/>
                  <w:rPr>
                    <w:rFonts w:ascii="Arial" w:eastAsia="Arial" w:hAnsi="Arial" w:cs="Arial"/>
                    <w:sz w:val="16"/>
                    <w:szCs w:val="16"/>
                  </w:rPr>
                </w:pPr>
                <w:r>
                  <w:rPr>
                    <w:rFonts w:ascii="Arial" w:eastAsia="Arial" w:hAnsi="Arial" w:cs="Arial"/>
                    <w:sz w:val="18"/>
                    <w:szCs w:val="18"/>
                  </w:rPr>
                  <w:t xml:space="preserve"> 60 </w:t>
                </w:r>
              </w:p>
            </w:tc>
          </w:tr>
          <w:tr w:rsidR="001916FA" w14:paraId="5859F872" w14:textId="77777777">
            <w:tc>
              <w:tcPr>
                <w:tcW w:w="1935" w:type="dxa"/>
                <w:shd w:val="clear" w:color="auto" w:fill="C9DAF8"/>
                <w:tcMar>
                  <w:top w:w="100" w:type="dxa"/>
                  <w:left w:w="100" w:type="dxa"/>
                  <w:bottom w:w="100" w:type="dxa"/>
                  <w:right w:w="100" w:type="dxa"/>
                </w:tcMar>
              </w:tcPr>
              <w:p w14:paraId="369BF127" w14:textId="77777777" w:rsidR="001916FA" w:rsidRDefault="00000000">
                <w:pPr>
                  <w:widowControl w:val="0"/>
                  <w:pBdr>
                    <w:top w:val="nil"/>
                    <w:left w:val="nil"/>
                    <w:bottom w:val="nil"/>
                    <w:right w:val="nil"/>
                    <w:between w:val="nil"/>
                  </w:pBdr>
                  <w:spacing w:after="0" w:line="240" w:lineRule="auto"/>
                  <w:jc w:val="both"/>
                  <w:rPr>
                    <w:rFonts w:ascii="Arial" w:eastAsia="Arial" w:hAnsi="Arial" w:cs="Arial"/>
                    <w:b/>
                    <w:sz w:val="18"/>
                    <w:szCs w:val="18"/>
                  </w:rPr>
                </w:pPr>
                <w:r>
                  <w:rPr>
                    <w:rFonts w:ascii="Arial" w:eastAsia="Arial" w:hAnsi="Arial" w:cs="Arial"/>
                    <w:b/>
                    <w:sz w:val="18"/>
                    <w:szCs w:val="18"/>
                  </w:rPr>
                  <w:t>Costo Anual (USD)</w:t>
                </w:r>
              </w:p>
            </w:tc>
            <w:tc>
              <w:tcPr>
                <w:tcW w:w="1620" w:type="dxa"/>
                <w:tcMar>
                  <w:top w:w="100" w:type="dxa"/>
                  <w:left w:w="100" w:type="dxa"/>
                  <w:bottom w:w="100" w:type="dxa"/>
                  <w:right w:w="100" w:type="dxa"/>
                </w:tcMar>
              </w:tcPr>
              <w:p w14:paraId="177F43CE" w14:textId="77777777" w:rsidR="001916FA" w:rsidRDefault="00000000">
                <w:pPr>
                  <w:widowControl w:val="0"/>
                  <w:spacing w:line="240" w:lineRule="auto"/>
                  <w:jc w:val="both"/>
                  <w:rPr>
                    <w:rFonts w:ascii="Arial" w:eastAsia="Arial" w:hAnsi="Arial" w:cs="Arial"/>
                    <w:sz w:val="18"/>
                    <w:szCs w:val="18"/>
                  </w:rPr>
                </w:pPr>
                <w:r>
                  <w:rPr>
                    <w:rFonts w:ascii="Arial" w:eastAsia="Arial" w:hAnsi="Arial" w:cs="Arial"/>
                    <w:sz w:val="18"/>
                    <w:szCs w:val="18"/>
                  </w:rPr>
                  <w:t xml:space="preserve"> 149 millones</w:t>
                </w:r>
              </w:p>
            </w:tc>
            <w:tc>
              <w:tcPr>
                <w:tcW w:w="1440" w:type="dxa"/>
                <w:tcMar>
                  <w:top w:w="100" w:type="dxa"/>
                  <w:left w:w="100" w:type="dxa"/>
                  <w:bottom w:w="100" w:type="dxa"/>
                  <w:right w:w="100" w:type="dxa"/>
                </w:tcMar>
              </w:tcPr>
              <w:p w14:paraId="0858F920" w14:textId="77777777" w:rsidR="001916FA" w:rsidRDefault="00000000">
                <w:pPr>
                  <w:widowControl w:val="0"/>
                  <w:spacing w:line="240" w:lineRule="auto"/>
                  <w:jc w:val="both"/>
                  <w:rPr>
                    <w:rFonts w:ascii="Arial" w:eastAsia="Arial" w:hAnsi="Arial" w:cs="Arial"/>
                    <w:sz w:val="18"/>
                    <w:szCs w:val="18"/>
                  </w:rPr>
                </w:pPr>
                <w:r>
                  <w:rPr>
                    <w:rFonts w:ascii="Arial" w:eastAsia="Arial" w:hAnsi="Arial" w:cs="Arial"/>
                    <w:sz w:val="18"/>
                    <w:szCs w:val="18"/>
                  </w:rPr>
                  <w:t>89.4 millones</w:t>
                </w:r>
              </w:p>
            </w:tc>
          </w:tr>
          <w:tr w:rsidR="001916FA" w14:paraId="22BD31BA" w14:textId="77777777">
            <w:tc>
              <w:tcPr>
                <w:tcW w:w="1935" w:type="dxa"/>
                <w:shd w:val="clear" w:color="auto" w:fill="C9DAF8"/>
                <w:tcMar>
                  <w:top w:w="100" w:type="dxa"/>
                  <w:left w:w="100" w:type="dxa"/>
                  <w:bottom w:w="100" w:type="dxa"/>
                  <w:right w:w="100" w:type="dxa"/>
                </w:tcMar>
              </w:tcPr>
              <w:p w14:paraId="0E9D139F" w14:textId="77777777" w:rsidR="001916FA" w:rsidRDefault="00000000">
                <w:pPr>
                  <w:widowControl w:val="0"/>
                  <w:pBdr>
                    <w:top w:val="nil"/>
                    <w:left w:val="nil"/>
                    <w:bottom w:val="nil"/>
                    <w:right w:val="nil"/>
                    <w:between w:val="nil"/>
                  </w:pBdr>
                  <w:spacing w:after="0" w:line="240" w:lineRule="auto"/>
                  <w:jc w:val="both"/>
                  <w:rPr>
                    <w:rFonts w:ascii="Arial" w:eastAsia="Arial" w:hAnsi="Arial" w:cs="Arial"/>
                    <w:b/>
                    <w:sz w:val="18"/>
                    <w:szCs w:val="18"/>
                  </w:rPr>
                </w:pPr>
                <w:r>
                  <w:rPr>
                    <w:rFonts w:ascii="Arial" w:eastAsia="Arial" w:hAnsi="Arial" w:cs="Arial"/>
                    <w:b/>
                    <w:sz w:val="18"/>
                    <w:szCs w:val="18"/>
                  </w:rPr>
                  <w:t>Factor de emisión (kg/kWh)</w:t>
                </w:r>
              </w:p>
            </w:tc>
            <w:tc>
              <w:tcPr>
                <w:tcW w:w="1620" w:type="dxa"/>
                <w:tcMar>
                  <w:top w:w="100" w:type="dxa"/>
                  <w:left w:w="100" w:type="dxa"/>
                  <w:bottom w:w="100" w:type="dxa"/>
                  <w:right w:w="100" w:type="dxa"/>
                </w:tcMar>
              </w:tcPr>
              <w:p w14:paraId="3B0664F2" w14:textId="77777777" w:rsidR="001916FA" w:rsidRDefault="00000000">
                <w:pPr>
                  <w:widowControl w:val="0"/>
                  <w:spacing w:line="240" w:lineRule="auto"/>
                  <w:jc w:val="both"/>
                  <w:rPr>
                    <w:rFonts w:ascii="Arial" w:eastAsia="Arial" w:hAnsi="Arial" w:cs="Arial"/>
                    <w:sz w:val="18"/>
                    <w:szCs w:val="18"/>
                  </w:rPr>
                </w:pPr>
                <w:r>
                  <w:rPr>
                    <w:rFonts w:ascii="Arial" w:eastAsia="Arial" w:hAnsi="Arial" w:cs="Arial"/>
                    <w:sz w:val="18"/>
                    <w:szCs w:val="18"/>
                  </w:rPr>
                  <w:t xml:space="preserve"> 0.70</w:t>
                </w:r>
              </w:p>
              <w:p w14:paraId="7F5B7BDD" w14:textId="77777777" w:rsidR="001916FA" w:rsidRDefault="001916FA">
                <w:pPr>
                  <w:widowControl w:val="0"/>
                  <w:pBdr>
                    <w:top w:val="nil"/>
                    <w:left w:val="nil"/>
                    <w:bottom w:val="nil"/>
                    <w:right w:val="nil"/>
                    <w:between w:val="nil"/>
                  </w:pBdr>
                  <w:spacing w:after="0" w:line="240" w:lineRule="auto"/>
                  <w:jc w:val="both"/>
                  <w:rPr>
                    <w:rFonts w:ascii="Arial" w:eastAsia="Arial" w:hAnsi="Arial" w:cs="Arial"/>
                    <w:sz w:val="18"/>
                    <w:szCs w:val="18"/>
                  </w:rPr>
                </w:pPr>
              </w:p>
            </w:tc>
            <w:tc>
              <w:tcPr>
                <w:tcW w:w="1440" w:type="dxa"/>
                <w:tcMar>
                  <w:top w:w="100" w:type="dxa"/>
                  <w:left w:w="100" w:type="dxa"/>
                  <w:bottom w:w="100" w:type="dxa"/>
                  <w:right w:w="100" w:type="dxa"/>
                </w:tcMar>
              </w:tcPr>
              <w:p w14:paraId="73ABD953" w14:textId="77777777" w:rsidR="001916FA" w:rsidRDefault="00000000">
                <w:pPr>
                  <w:widowControl w:val="0"/>
                  <w:spacing w:line="240" w:lineRule="auto"/>
                  <w:jc w:val="both"/>
                  <w:rPr>
                    <w:rFonts w:ascii="Arial" w:eastAsia="Arial" w:hAnsi="Arial" w:cs="Arial"/>
                    <w:sz w:val="18"/>
                    <w:szCs w:val="18"/>
                  </w:rPr>
                </w:pPr>
                <w:r>
                  <w:rPr>
                    <w:rFonts w:ascii="Arial" w:eastAsia="Arial" w:hAnsi="Arial" w:cs="Arial"/>
                    <w:sz w:val="18"/>
                    <w:szCs w:val="18"/>
                  </w:rPr>
                  <w:t>0.05</w:t>
                </w:r>
              </w:p>
            </w:tc>
          </w:tr>
          <w:tr w:rsidR="001916FA" w14:paraId="398BD0DE" w14:textId="77777777">
            <w:trPr>
              <w:trHeight w:val="495"/>
            </w:trPr>
            <w:tc>
              <w:tcPr>
                <w:tcW w:w="1935" w:type="dxa"/>
                <w:shd w:val="clear" w:color="auto" w:fill="C9DAF8"/>
                <w:tcMar>
                  <w:top w:w="100" w:type="dxa"/>
                  <w:left w:w="100" w:type="dxa"/>
                  <w:bottom w:w="100" w:type="dxa"/>
                  <w:right w:w="100" w:type="dxa"/>
                </w:tcMar>
              </w:tcPr>
              <w:p w14:paraId="4F2967B0" w14:textId="77777777" w:rsidR="001916FA" w:rsidRDefault="00000000">
                <w:pPr>
                  <w:widowControl w:val="0"/>
                  <w:pBdr>
                    <w:top w:val="nil"/>
                    <w:left w:val="nil"/>
                    <w:bottom w:val="nil"/>
                    <w:right w:val="nil"/>
                    <w:between w:val="nil"/>
                  </w:pBdr>
                  <w:spacing w:after="0" w:line="240" w:lineRule="auto"/>
                  <w:jc w:val="both"/>
                  <w:rPr>
                    <w:rFonts w:ascii="Arial" w:eastAsia="Arial" w:hAnsi="Arial" w:cs="Arial"/>
                    <w:b/>
                    <w:sz w:val="18"/>
                    <w:szCs w:val="18"/>
                  </w:rPr>
                </w:pPr>
                <w:r>
                  <w:rPr>
                    <w:rFonts w:ascii="Arial" w:eastAsia="Arial" w:hAnsi="Arial" w:cs="Arial"/>
                    <w:b/>
                    <w:sz w:val="18"/>
                    <w:szCs w:val="18"/>
                  </w:rPr>
                  <w:t>Emisiones</w:t>
                </w:r>
              </w:p>
              <w:p w14:paraId="027BB0D8" w14:textId="77777777" w:rsidR="001916FA" w:rsidRDefault="00000000">
                <w:pPr>
                  <w:widowControl w:val="0"/>
                  <w:pBdr>
                    <w:top w:val="nil"/>
                    <w:left w:val="nil"/>
                    <w:bottom w:val="nil"/>
                    <w:right w:val="nil"/>
                    <w:between w:val="nil"/>
                  </w:pBdr>
                  <w:spacing w:after="0" w:line="240" w:lineRule="auto"/>
                  <w:jc w:val="both"/>
                  <w:rPr>
                    <w:rFonts w:ascii="Arial" w:eastAsia="Arial" w:hAnsi="Arial" w:cs="Arial"/>
                    <w:b/>
                    <w:sz w:val="18"/>
                    <w:szCs w:val="18"/>
                  </w:rPr>
                </w:pPr>
                <w:r>
                  <w:rPr>
                    <w:rFonts w:ascii="Arial" w:eastAsia="Arial" w:hAnsi="Arial" w:cs="Arial"/>
                    <w:b/>
                    <w:sz w:val="18"/>
                    <w:szCs w:val="18"/>
                  </w:rPr>
                  <w:t>(CO₂/año)</w:t>
                </w:r>
              </w:p>
              <w:p w14:paraId="5E3C0324" w14:textId="77777777" w:rsidR="001916FA" w:rsidRDefault="001916FA">
                <w:pPr>
                  <w:widowControl w:val="0"/>
                  <w:pBdr>
                    <w:top w:val="nil"/>
                    <w:left w:val="nil"/>
                    <w:bottom w:val="nil"/>
                    <w:right w:val="nil"/>
                    <w:between w:val="nil"/>
                  </w:pBdr>
                  <w:spacing w:after="0" w:line="240" w:lineRule="auto"/>
                  <w:jc w:val="both"/>
                  <w:rPr>
                    <w:rFonts w:ascii="Arial" w:eastAsia="Arial" w:hAnsi="Arial" w:cs="Arial"/>
                    <w:b/>
                    <w:sz w:val="18"/>
                    <w:szCs w:val="18"/>
                  </w:rPr>
                </w:pPr>
              </w:p>
            </w:tc>
            <w:tc>
              <w:tcPr>
                <w:tcW w:w="1620" w:type="dxa"/>
                <w:tcMar>
                  <w:top w:w="100" w:type="dxa"/>
                  <w:left w:w="100" w:type="dxa"/>
                  <w:bottom w:w="100" w:type="dxa"/>
                  <w:right w:w="100" w:type="dxa"/>
                </w:tcMar>
              </w:tcPr>
              <w:p w14:paraId="3F517085" w14:textId="77777777" w:rsidR="001916FA" w:rsidRDefault="00000000">
                <w:pPr>
                  <w:widowControl w:val="0"/>
                  <w:spacing w:line="240" w:lineRule="auto"/>
                  <w:jc w:val="both"/>
                  <w:rPr>
                    <w:rFonts w:ascii="Arial" w:eastAsia="Arial" w:hAnsi="Arial" w:cs="Arial"/>
                    <w:sz w:val="18"/>
                    <w:szCs w:val="18"/>
                  </w:rPr>
                </w:pPr>
                <w:r>
                  <w:rPr>
                    <w:rFonts w:ascii="Arial" w:eastAsia="Arial" w:hAnsi="Arial" w:cs="Arial"/>
                    <w:sz w:val="18"/>
                    <w:szCs w:val="18"/>
                  </w:rPr>
                  <w:t xml:space="preserve"> 1,043,280 t</w:t>
                </w:r>
              </w:p>
            </w:tc>
            <w:tc>
              <w:tcPr>
                <w:tcW w:w="1440" w:type="dxa"/>
                <w:tcMar>
                  <w:top w:w="100" w:type="dxa"/>
                  <w:left w:w="100" w:type="dxa"/>
                  <w:bottom w:w="100" w:type="dxa"/>
                  <w:right w:w="100" w:type="dxa"/>
                </w:tcMar>
              </w:tcPr>
              <w:p w14:paraId="32567323" w14:textId="77777777" w:rsidR="001916FA" w:rsidRDefault="00000000">
                <w:pPr>
                  <w:widowControl w:val="0"/>
                  <w:spacing w:line="240" w:lineRule="auto"/>
                  <w:jc w:val="both"/>
                  <w:rPr>
                    <w:rFonts w:ascii="Arial" w:eastAsia="Arial" w:hAnsi="Arial" w:cs="Arial"/>
                    <w:sz w:val="18"/>
                    <w:szCs w:val="18"/>
                  </w:rPr>
                </w:pPr>
                <w:r>
                  <w:rPr>
                    <w:rFonts w:ascii="Arial" w:eastAsia="Arial" w:hAnsi="Arial" w:cs="Arial"/>
                    <w:sz w:val="18"/>
                    <w:szCs w:val="18"/>
                  </w:rPr>
                  <w:t xml:space="preserve"> 74,520 t</w:t>
                </w:r>
              </w:p>
            </w:tc>
          </w:tr>
        </w:tbl>
      </w:sdtContent>
    </w:sdt>
    <w:p w14:paraId="43D8B59B" w14:textId="77777777" w:rsidR="001916FA" w:rsidRDefault="00000000">
      <w:pPr>
        <w:jc w:val="center"/>
        <w:rPr>
          <w:rFonts w:ascii="Arial" w:eastAsia="Arial" w:hAnsi="Arial" w:cs="Arial"/>
          <w:sz w:val="16"/>
          <w:szCs w:val="16"/>
        </w:rPr>
      </w:pPr>
      <w:r>
        <w:rPr>
          <w:rFonts w:ascii="Arial" w:eastAsia="Arial" w:hAnsi="Arial" w:cs="Arial"/>
          <w:sz w:val="16"/>
          <w:szCs w:val="16"/>
        </w:rPr>
        <w:t>Tabla 1. Comparación económica y de emisión de CO₂ en el escenario actual y con SMR</w:t>
      </w:r>
    </w:p>
    <w:p w14:paraId="6BBBD6CB" w14:textId="77777777" w:rsidR="001916FA" w:rsidRDefault="00000000">
      <w:pPr>
        <w:rPr>
          <w:rFonts w:ascii="Arial" w:eastAsia="Arial" w:hAnsi="Arial" w:cs="Arial"/>
          <w:sz w:val="22"/>
          <w:szCs w:val="22"/>
        </w:rPr>
      </w:pPr>
      <w:r>
        <w:rPr>
          <w:rFonts w:ascii="Arial" w:eastAsia="Arial" w:hAnsi="Arial" w:cs="Arial"/>
          <w:sz w:val="22"/>
          <w:szCs w:val="22"/>
        </w:rPr>
        <w:t xml:space="preserve">La implementación de </w:t>
      </w:r>
      <w:proofErr w:type="spellStart"/>
      <w:r>
        <w:rPr>
          <w:rFonts w:ascii="Arial" w:eastAsia="Arial" w:hAnsi="Arial" w:cs="Arial"/>
          <w:sz w:val="22"/>
          <w:szCs w:val="22"/>
        </w:rPr>
        <w:t>SMRs</w:t>
      </w:r>
      <w:proofErr w:type="spellEnd"/>
      <w:r>
        <w:rPr>
          <w:rFonts w:ascii="Arial" w:eastAsia="Arial" w:hAnsi="Arial" w:cs="Arial"/>
          <w:sz w:val="22"/>
          <w:szCs w:val="22"/>
        </w:rPr>
        <w:t xml:space="preserve"> en zonas mineras resulta en un ahorro económico de cerca de ~59.6 millones USD/año, además de ser una alternativa ambiental, donde, frente al actual consumo de diésel se tiene una reducción de emisiones de ~968,760 t CO</w:t>
      </w:r>
      <w:r>
        <w:rPr>
          <w:rFonts w:ascii="Cambria Math" w:eastAsia="Cambria Math" w:hAnsi="Cambria Math" w:cs="Cambria Math"/>
          <w:sz w:val="22"/>
          <w:szCs w:val="22"/>
        </w:rPr>
        <w:t>₂</w:t>
      </w:r>
      <w:r>
        <w:rPr>
          <w:rFonts w:ascii="Arial" w:eastAsia="Arial" w:hAnsi="Arial" w:cs="Arial"/>
          <w:sz w:val="22"/>
          <w:szCs w:val="22"/>
        </w:rPr>
        <w:t xml:space="preserve"> al año, presentándose como una solución innovadora al actual modelo energético en el sector minero.</w:t>
      </w:r>
    </w:p>
    <w:p w14:paraId="202C21A2" w14:textId="77777777" w:rsidR="001916FA" w:rsidRDefault="00000000">
      <w:pPr>
        <w:rPr>
          <w:rFonts w:ascii="Arial" w:eastAsia="Arial" w:hAnsi="Arial" w:cs="Arial"/>
          <w:b/>
          <w:sz w:val="22"/>
          <w:szCs w:val="22"/>
        </w:rPr>
      </w:pPr>
      <w:r>
        <w:rPr>
          <w:rFonts w:ascii="Arial" w:eastAsia="Arial" w:hAnsi="Arial" w:cs="Arial"/>
          <w:b/>
          <w:sz w:val="22"/>
          <w:szCs w:val="22"/>
        </w:rPr>
        <w:t>3.6. Escalabilidad y Modularidad de los SMR</w:t>
      </w:r>
    </w:p>
    <w:p w14:paraId="58130F4E" w14:textId="77777777" w:rsidR="001916FA" w:rsidRDefault="00000000">
      <w:pPr>
        <w:jc w:val="both"/>
        <w:rPr>
          <w:rFonts w:ascii="Arial" w:eastAsia="Arial" w:hAnsi="Arial" w:cs="Arial"/>
          <w:sz w:val="22"/>
          <w:szCs w:val="22"/>
        </w:rPr>
      </w:pPr>
      <w:r>
        <w:rPr>
          <w:rFonts w:ascii="Arial" w:eastAsia="Arial" w:hAnsi="Arial" w:cs="Arial"/>
          <w:sz w:val="22"/>
          <w:szCs w:val="22"/>
        </w:rPr>
        <w:t>Una de las principales ventajas de los reactores modulares pequeños (SMR) es su capacidad de escalabilidad progresiva, lo que permite adaptar la generación eléctrica a la evaluación de la demanda energética de una operación minera. A diferencia de los reactores convencionales, que requieren grandes inversiones iniciales y largos plazos de construcción, los SMR pueden instalarse por módulos, facilitando la planificación por etapas (</w:t>
      </w:r>
      <w:proofErr w:type="spellStart"/>
      <w:r>
        <w:rPr>
          <w:rFonts w:ascii="Arial" w:eastAsia="Arial" w:hAnsi="Arial" w:cs="Arial"/>
          <w:sz w:val="22"/>
          <w:szCs w:val="22"/>
        </w:rPr>
        <w:t>World</w:t>
      </w:r>
      <w:proofErr w:type="spellEnd"/>
      <w:r>
        <w:rPr>
          <w:rFonts w:ascii="Arial" w:eastAsia="Arial" w:hAnsi="Arial" w:cs="Arial"/>
          <w:sz w:val="22"/>
          <w:szCs w:val="22"/>
        </w:rPr>
        <w:t xml:space="preserve"> Nuclear </w:t>
      </w:r>
      <w:proofErr w:type="spellStart"/>
      <w:r>
        <w:rPr>
          <w:rFonts w:ascii="Arial" w:eastAsia="Arial" w:hAnsi="Arial" w:cs="Arial"/>
          <w:sz w:val="22"/>
          <w:szCs w:val="22"/>
        </w:rPr>
        <w:t>Association</w:t>
      </w:r>
      <w:proofErr w:type="spellEnd"/>
      <w:r>
        <w:rPr>
          <w:rFonts w:ascii="Arial" w:eastAsia="Arial" w:hAnsi="Arial" w:cs="Arial"/>
          <w:sz w:val="22"/>
          <w:szCs w:val="22"/>
        </w:rPr>
        <w:t xml:space="preserve">, 2025). </w:t>
      </w:r>
    </w:p>
    <w:p w14:paraId="6E3EF9CD" w14:textId="77777777" w:rsidR="001916FA" w:rsidRDefault="00000000">
      <w:pPr>
        <w:jc w:val="both"/>
        <w:rPr>
          <w:rFonts w:ascii="Arial" w:eastAsia="Arial" w:hAnsi="Arial" w:cs="Arial"/>
          <w:sz w:val="22"/>
          <w:szCs w:val="22"/>
        </w:rPr>
      </w:pPr>
      <w:r>
        <w:rPr>
          <w:rFonts w:ascii="Arial" w:eastAsia="Arial" w:hAnsi="Arial" w:cs="Arial"/>
          <w:sz w:val="22"/>
          <w:szCs w:val="22"/>
        </w:rPr>
        <w:t xml:space="preserve">Esta modularidad también permite una fabricación en serie de los SMR, lo que reduce los tiempos de implementación y mejora el control de calidad. Su diseño compacto facilita el transporte a zonas remotas, haciendo ideales para operaciones mineras fuera del alcance de redes eléctricas. En Canadá, por ejemplo, se han identificado más de 20 minas fuera de red, </w:t>
      </w:r>
      <w:proofErr w:type="spellStart"/>
      <w:r>
        <w:rPr>
          <w:rFonts w:ascii="Arial" w:eastAsia="Arial" w:hAnsi="Arial" w:cs="Arial"/>
          <w:sz w:val="22"/>
          <w:szCs w:val="22"/>
        </w:rPr>
        <w:t>com</w:t>
      </w:r>
      <w:proofErr w:type="spellEnd"/>
      <w:r>
        <w:rPr>
          <w:rFonts w:ascii="Arial" w:eastAsia="Arial" w:hAnsi="Arial" w:cs="Arial"/>
          <w:sz w:val="22"/>
          <w:szCs w:val="22"/>
        </w:rPr>
        <w:t xml:space="preserve"> </w:t>
      </w:r>
      <w:proofErr w:type="spellStart"/>
      <w:r>
        <w:rPr>
          <w:rFonts w:ascii="Arial" w:eastAsia="Arial" w:hAnsi="Arial" w:cs="Arial"/>
          <w:sz w:val="22"/>
          <w:szCs w:val="22"/>
        </w:rPr>
        <w:t>Diavik</w:t>
      </w:r>
      <w:proofErr w:type="spellEnd"/>
      <w:r>
        <w:rPr>
          <w:rFonts w:ascii="Arial" w:eastAsia="Arial" w:hAnsi="Arial" w:cs="Arial"/>
          <w:sz w:val="22"/>
          <w:szCs w:val="22"/>
        </w:rPr>
        <w:t xml:space="preserve">, Raglan y </w:t>
      </w:r>
      <w:proofErr w:type="spellStart"/>
      <w:r>
        <w:rPr>
          <w:rFonts w:ascii="Arial" w:eastAsia="Arial" w:hAnsi="Arial" w:cs="Arial"/>
          <w:sz w:val="22"/>
          <w:szCs w:val="22"/>
        </w:rPr>
        <w:t>Meadowbank</w:t>
      </w:r>
      <w:proofErr w:type="spellEnd"/>
      <w:r>
        <w:rPr>
          <w:rFonts w:ascii="Arial" w:eastAsia="Arial" w:hAnsi="Arial" w:cs="Arial"/>
          <w:sz w:val="22"/>
          <w:szCs w:val="22"/>
        </w:rPr>
        <w:t xml:space="preserve">, que podrían beneficiarse de esta tecnología, lo que demuestra la aplicabilidad en contextos similares al de minas peruanas como las Bambas, Antapaccay o Quellaveco (Natural </w:t>
      </w:r>
      <w:proofErr w:type="spellStart"/>
      <w:r>
        <w:rPr>
          <w:rFonts w:ascii="Arial" w:eastAsia="Arial" w:hAnsi="Arial" w:cs="Arial"/>
          <w:sz w:val="22"/>
          <w:szCs w:val="22"/>
        </w:rPr>
        <w:t>Resources</w:t>
      </w:r>
      <w:proofErr w:type="spellEnd"/>
      <w:r>
        <w:rPr>
          <w:rFonts w:ascii="Arial" w:eastAsia="Arial" w:hAnsi="Arial" w:cs="Arial"/>
          <w:sz w:val="22"/>
          <w:szCs w:val="22"/>
        </w:rPr>
        <w:t xml:space="preserve"> </w:t>
      </w:r>
      <w:proofErr w:type="spellStart"/>
      <w:r>
        <w:rPr>
          <w:rFonts w:ascii="Arial" w:eastAsia="Arial" w:hAnsi="Arial" w:cs="Arial"/>
          <w:sz w:val="22"/>
          <w:szCs w:val="22"/>
        </w:rPr>
        <w:t>Canada</w:t>
      </w:r>
      <w:proofErr w:type="spellEnd"/>
      <w:r>
        <w:rPr>
          <w:rFonts w:ascii="Arial" w:eastAsia="Arial" w:hAnsi="Arial" w:cs="Arial"/>
          <w:sz w:val="22"/>
          <w:szCs w:val="22"/>
        </w:rPr>
        <w:t xml:space="preserve">, 2022). </w:t>
      </w:r>
    </w:p>
    <w:p w14:paraId="01021ED8" w14:textId="77777777" w:rsidR="001916FA" w:rsidRDefault="00000000">
      <w:pPr>
        <w:rPr>
          <w:rFonts w:ascii="Arial" w:eastAsia="Arial" w:hAnsi="Arial" w:cs="Arial"/>
          <w:sz w:val="22"/>
          <w:szCs w:val="22"/>
        </w:rPr>
      </w:pPr>
      <w:r>
        <w:rPr>
          <w:rFonts w:ascii="Arial" w:eastAsia="Arial" w:hAnsi="Arial" w:cs="Arial"/>
          <w:b/>
          <w:sz w:val="22"/>
          <w:szCs w:val="22"/>
        </w:rPr>
        <w:t>3.7. Viabilidad Regulativa y Social</w:t>
      </w:r>
    </w:p>
    <w:p w14:paraId="4965F133" w14:textId="77777777" w:rsidR="001916FA" w:rsidRDefault="00000000">
      <w:pPr>
        <w:jc w:val="both"/>
        <w:rPr>
          <w:rFonts w:ascii="Arial" w:eastAsia="Arial" w:hAnsi="Arial" w:cs="Arial"/>
          <w:sz w:val="22"/>
          <w:szCs w:val="22"/>
        </w:rPr>
      </w:pPr>
      <w:r>
        <w:rPr>
          <w:rFonts w:ascii="Arial" w:eastAsia="Arial" w:hAnsi="Arial" w:cs="Arial"/>
          <w:sz w:val="22"/>
          <w:szCs w:val="22"/>
        </w:rPr>
        <w:t xml:space="preserve">La implementación de SMR en el sector minero no solo requiere viabilidad técnica y económica, sino también un entorno regulatorio adecuado y aceptación social. Según el informe del grupo CORDEL de la </w:t>
      </w:r>
      <w:proofErr w:type="spellStart"/>
      <w:r>
        <w:rPr>
          <w:rFonts w:ascii="Arial" w:eastAsia="Arial" w:hAnsi="Arial" w:cs="Arial"/>
          <w:sz w:val="22"/>
          <w:szCs w:val="22"/>
        </w:rPr>
        <w:t>World</w:t>
      </w:r>
      <w:proofErr w:type="spellEnd"/>
      <w:r>
        <w:rPr>
          <w:rFonts w:ascii="Arial" w:eastAsia="Arial" w:hAnsi="Arial" w:cs="Arial"/>
          <w:sz w:val="22"/>
          <w:szCs w:val="22"/>
        </w:rPr>
        <w:t xml:space="preserve"> Nuclear </w:t>
      </w:r>
      <w:proofErr w:type="spellStart"/>
      <w:r>
        <w:rPr>
          <w:rFonts w:ascii="Arial" w:eastAsia="Arial" w:hAnsi="Arial" w:cs="Arial"/>
          <w:sz w:val="22"/>
          <w:szCs w:val="22"/>
        </w:rPr>
        <w:t>Association</w:t>
      </w:r>
      <w:proofErr w:type="spellEnd"/>
      <w:r>
        <w:rPr>
          <w:rFonts w:ascii="Arial" w:eastAsia="Arial" w:hAnsi="Arial" w:cs="Arial"/>
          <w:sz w:val="22"/>
          <w:szCs w:val="22"/>
        </w:rPr>
        <w:t>, es necesario establecer procesos de licenciamiento adaptados a las características modulares y escalables de estos reactores. (</w:t>
      </w:r>
      <w:proofErr w:type="spellStart"/>
      <w:r>
        <w:rPr>
          <w:rFonts w:ascii="Arial" w:eastAsia="Arial" w:hAnsi="Arial" w:cs="Arial"/>
          <w:sz w:val="22"/>
          <w:szCs w:val="22"/>
        </w:rPr>
        <w:t>World</w:t>
      </w:r>
      <w:proofErr w:type="spellEnd"/>
      <w:r>
        <w:rPr>
          <w:rFonts w:ascii="Arial" w:eastAsia="Arial" w:hAnsi="Arial" w:cs="Arial"/>
          <w:sz w:val="22"/>
          <w:szCs w:val="22"/>
        </w:rPr>
        <w:t xml:space="preserve"> Nuclear </w:t>
      </w:r>
      <w:proofErr w:type="spellStart"/>
      <w:r>
        <w:rPr>
          <w:rFonts w:ascii="Arial" w:eastAsia="Arial" w:hAnsi="Arial" w:cs="Arial"/>
          <w:sz w:val="22"/>
          <w:szCs w:val="22"/>
        </w:rPr>
        <w:t>Association</w:t>
      </w:r>
      <w:proofErr w:type="spellEnd"/>
      <w:r>
        <w:rPr>
          <w:rFonts w:ascii="Arial" w:eastAsia="Arial" w:hAnsi="Arial" w:cs="Arial"/>
          <w:sz w:val="22"/>
          <w:szCs w:val="22"/>
        </w:rPr>
        <w:t>, 2015).</w:t>
      </w:r>
    </w:p>
    <w:p w14:paraId="66E31C39" w14:textId="77777777" w:rsidR="001916FA" w:rsidRDefault="00000000">
      <w:pPr>
        <w:jc w:val="both"/>
        <w:rPr>
          <w:rFonts w:ascii="Arial" w:eastAsia="Arial" w:hAnsi="Arial" w:cs="Arial"/>
          <w:sz w:val="22"/>
          <w:szCs w:val="22"/>
        </w:rPr>
      </w:pPr>
      <w:r>
        <w:rPr>
          <w:rFonts w:ascii="Arial" w:eastAsia="Arial" w:hAnsi="Arial" w:cs="Arial"/>
          <w:sz w:val="22"/>
          <w:szCs w:val="22"/>
        </w:rPr>
        <w:t xml:space="preserve">En el caso peruano, esto implicaría la necesidad de una autoridad reguladora o ampliación de competencias del Instituto Peruano de Energía Nuclear (IPEN), con apoyo técnico internacional. Además, se deben considerar aspectos como la gestión de residuos, la capacitación de personal y la coordinación con organismos internacionales como la IAEA. </w:t>
      </w:r>
    </w:p>
    <w:p w14:paraId="31BEB530" w14:textId="77777777" w:rsidR="001916FA" w:rsidRDefault="00000000">
      <w:pPr>
        <w:jc w:val="both"/>
        <w:rPr>
          <w:rFonts w:ascii="Arial" w:eastAsia="Arial" w:hAnsi="Arial" w:cs="Arial"/>
          <w:sz w:val="22"/>
          <w:szCs w:val="22"/>
        </w:rPr>
      </w:pPr>
      <w:r>
        <w:rPr>
          <w:rFonts w:ascii="Arial" w:eastAsia="Arial" w:hAnsi="Arial" w:cs="Arial"/>
          <w:sz w:val="22"/>
          <w:szCs w:val="22"/>
        </w:rPr>
        <w:t>Por otro lado, desde el punto de vista social, la aceptación del componente nuclear es clave. La experiencia internacional muestra que el acompañamiento temprano a comunidades locales, la transparencia en la comunicación de riesgos y beneficios son factores determinantes para lograr legitimidad social. En países como Canadá y Finlandia, se han desarrollado estrategias de diálogo comunitario exitosas en torno a proyectos nucleares, que podrían servir de referencia para el contexto minero peruano.</w:t>
      </w:r>
    </w:p>
    <w:p w14:paraId="7C39BD4A" w14:textId="77777777" w:rsidR="001916FA" w:rsidRDefault="00000000">
      <w:pPr>
        <w:jc w:val="both"/>
        <w:rPr>
          <w:rFonts w:ascii="Arial" w:eastAsia="Arial" w:hAnsi="Arial" w:cs="Arial"/>
          <w:sz w:val="22"/>
          <w:szCs w:val="22"/>
        </w:rPr>
      </w:pPr>
      <w:r>
        <w:rPr>
          <w:rFonts w:ascii="Arial" w:eastAsia="Arial" w:hAnsi="Arial" w:cs="Arial"/>
          <w:sz w:val="22"/>
          <w:szCs w:val="22"/>
        </w:rPr>
        <w:t xml:space="preserve">Finalmente, el acceso a financiamiento verde será crucial para viabilizar estos proyectos. Organismos multilaterales como el Banco Mundial, el BID o el Fondo Verde para el Clima ya están evaluando incluir tecnologías nucleares avanzadas dentro de sus líneas de financiamiento climático, especialmente cuando se integran con energías renovables y contribuyen a la descarbonización industrial (Sandia </w:t>
      </w:r>
      <w:proofErr w:type="spellStart"/>
      <w:r>
        <w:rPr>
          <w:rFonts w:ascii="Arial" w:eastAsia="Arial" w:hAnsi="Arial" w:cs="Arial"/>
          <w:sz w:val="22"/>
          <w:szCs w:val="22"/>
        </w:rPr>
        <w:t>National</w:t>
      </w:r>
      <w:proofErr w:type="spellEnd"/>
      <w:r>
        <w:rPr>
          <w:rFonts w:ascii="Arial" w:eastAsia="Arial" w:hAnsi="Arial" w:cs="Arial"/>
          <w:sz w:val="22"/>
          <w:szCs w:val="22"/>
        </w:rPr>
        <w:t xml:space="preserve"> </w:t>
      </w:r>
      <w:proofErr w:type="spellStart"/>
      <w:r>
        <w:rPr>
          <w:rFonts w:ascii="Arial" w:eastAsia="Arial" w:hAnsi="Arial" w:cs="Arial"/>
          <w:sz w:val="22"/>
          <w:szCs w:val="22"/>
        </w:rPr>
        <w:t>Laboratories</w:t>
      </w:r>
      <w:proofErr w:type="spellEnd"/>
      <w:r>
        <w:rPr>
          <w:rFonts w:ascii="Arial" w:eastAsia="Arial" w:hAnsi="Arial" w:cs="Arial"/>
          <w:sz w:val="22"/>
          <w:szCs w:val="22"/>
        </w:rPr>
        <w:t>, 2025).</w:t>
      </w:r>
    </w:p>
    <w:p w14:paraId="4E1FAB54" w14:textId="77777777" w:rsidR="001916FA" w:rsidRDefault="00000000">
      <w:pPr>
        <w:rPr>
          <w:rFonts w:ascii="Arial" w:eastAsia="Arial" w:hAnsi="Arial" w:cs="Arial"/>
          <w:b/>
          <w:sz w:val="22"/>
          <w:szCs w:val="22"/>
        </w:rPr>
      </w:pPr>
      <w:r>
        <w:rPr>
          <w:rFonts w:ascii="Arial" w:eastAsia="Arial" w:hAnsi="Arial" w:cs="Arial"/>
          <w:b/>
          <w:sz w:val="22"/>
          <w:szCs w:val="22"/>
        </w:rPr>
        <w:t>3.8. Seguridad Operativa y Gestión de Riesgos</w:t>
      </w:r>
    </w:p>
    <w:p w14:paraId="2FFCA1A3" w14:textId="77777777" w:rsidR="001916FA" w:rsidRDefault="00000000">
      <w:pPr>
        <w:jc w:val="both"/>
        <w:rPr>
          <w:rFonts w:ascii="Arial" w:eastAsia="Arial" w:hAnsi="Arial" w:cs="Arial"/>
          <w:b/>
          <w:sz w:val="22"/>
          <w:szCs w:val="22"/>
        </w:rPr>
      </w:pPr>
      <w:r>
        <w:rPr>
          <w:rFonts w:ascii="Arial" w:eastAsia="Arial" w:hAnsi="Arial" w:cs="Arial"/>
          <w:sz w:val="22"/>
          <w:szCs w:val="22"/>
        </w:rPr>
        <w:t xml:space="preserve">Los SMR incorporan sistemas de seguridad pasiva, diseñados para responder automáticamente ante fallos sin necesidad de intervención humana inmediata. Esto es especialmente relevante en entornos mineros remotos, donde la capacidad de respuesta puede estar limitada. Estos sistemas incluyen mecanismos de apagado automático, disipación de calor sin energía externa y contención reforzada ante eventos extremos. Además, los SMR presentan menores riesgos de proliferación y accidentes severos gracias a su menor inventario de combustible y a su diseño simplificado (Sandia </w:t>
      </w:r>
      <w:proofErr w:type="spellStart"/>
      <w:r>
        <w:rPr>
          <w:rFonts w:ascii="Arial" w:eastAsia="Arial" w:hAnsi="Arial" w:cs="Arial"/>
          <w:sz w:val="22"/>
          <w:szCs w:val="22"/>
        </w:rPr>
        <w:t>National</w:t>
      </w:r>
      <w:proofErr w:type="spellEnd"/>
      <w:r>
        <w:rPr>
          <w:rFonts w:ascii="Arial" w:eastAsia="Arial" w:hAnsi="Arial" w:cs="Arial"/>
          <w:sz w:val="22"/>
          <w:szCs w:val="22"/>
        </w:rPr>
        <w:t xml:space="preserve"> </w:t>
      </w:r>
      <w:proofErr w:type="spellStart"/>
      <w:r>
        <w:rPr>
          <w:rFonts w:ascii="Arial" w:eastAsia="Arial" w:hAnsi="Arial" w:cs="Arial"/>
          <w:sz w:val="22"/>
          <w:szCs w:val="22"/>
        </w:rPr>
        <w:t>Laboratories</w:t>
      </w:r>
      <w:proofErr w:type="spellEnd"/>
      <w:r>
        <w:rPr>
          <w:rFonts w:ascii="Arial" w:eastAsia="Arial" w:hAnsi="Arial" w:cs="Arial"/>
          <w:sz w:val="22"/>
          <w:szCs w:val="22"/>
        </w:rPr>
        <w:t>, 2021).</w:t>
      </w:r>
    </w:p>
    <w:p w14:paraId="09D1C82E" w14:textId="77777777" w:rsidR="001916FA" w:rsidRDefault="00000000">
      <w:pPr>
        <w:spacing w:after="0" w:line="240" w:lineRule="auto"/>
        <w:jc w:val="both"/>
        <w:rPr>
          <w:rFonts w:ascii="Arial" w:eastAsia="Arial" w:hAnsi="Arial" w:cs="Arial"/>
          <w:b/>
          <w:sz w:val="22"/>
          <w:szCs w:val="22"/>
        </w:rPr>
      </w:pPr>
      <w:r>
        <w:rPr>
          <w:rFonts w:ascii="Arial" w:eastAsia="Arial" w:hAnsi="Arial" w:cs="Arial"/>
          <w:b/>
          <w:sz w:val="22"/>
          <w:szCs w:val="22"/>
        </w:rPr>
        <w:t>4. Presentación y discusión de resultados</w:t>
      </w:r>
      <w:r>
        <w:rPr>
          <w:rFonts w:ascii="Arial" w:eastAsia="Arial" w:hAnsi="Arial" w:cs="Arial"/>
          <w:b/>
          <w:color w:val="808080"/>
          <w:sz w:val="22"/>
          <w:szCs w:val="22"/>
        </w:rPr>
        <w:t xml:space="preserve"> </w:t>
      </w:r>
    </w:p>
    <w:p w14:paraId="4FF937A5" w14:textId="77777777" w:rsidR="001916FA" w:rsidRDefault="001916FA">
      <w:pPr>
        <w:spacing w:after="0" w:line="240" w:lineRule="auto"/>
        <w:jc w:val="both"/>
        <w:rPr>
          <w:rFonts w:ascii="Arial" w:eastAsia="Arial" w:hAnsi="Arial" w:cs="Arial"/>
          <w:b/>
          <w:sz w:val="22"/>
          <w:szCs w:val="22"/>
        </w:rPr>
      </w:pPr>
    </w:p>
    <w:p w14:paraId="26D891DB" w14:textId="77777777" w:rsidR="001916FA" w:rsidRDefault="00000000">
      <w:pPr>
        <w:jc w:val="both"/>
        <w:rPr>
          <w:rFonts w:ascii="Arial" w:eastAsia="Arial" w:hAnsi="Arial" w:cs="Arial"/>
          <w:b/>
          <w:sz w:val="22"/>
          <w:szCs w:val="22"/>
        </w:rPr>
      </w:pPr>
      <w:r>
        <w:rPr>
          <w:rFonts w:ascii="Arial" w:eastAsia="Arial" w:hAnsi="Arial" w:cs="Arial"/>
          <w:b/>
          <w:sz w:val="22"/>
          <w:szCs w:val="22"/>
        </w:rPr>
        <w:t>4.1. Evaluación Técnica y Económica de Escenarios Energéticos</w:t>
      </w:r>
    </w:p>
    <w:p w14:paraId="5D603B06" w14:textId="77777777" w:rsidR="001916FA" w:rsidRDefault="00000000">
      <w:pPr>
        <w:jc w:val="both"/>
        <w:rPr>
          <w:rFonts w:ascii="Arial" w:eastAsia="Arial" w:hAnsi="Arial" w:cs="Arial"/>
          <w:sz w:val="22"/>
          <w:szCs w:val="22"/>
        </w:rPr>
      </w:pPr>
      <w:r>
        <w:rPr>
          <w:rFonts w:ascii="Arial" w:eastAsia="Arial" w:hAnsi="Arial" w:cs="Arial"/>
          <w:b/>
          <w:sz w:val="22"/>
          <w:szCs w:val="22"/>
        </w:rPr>
        <w:t>Ahorro Económico</w:t>
      </w:r>
      <w:r>
        <w:rPr>
          <w:rFonts w:ascii="Arial" w:eastAsia="Arial" w:hAnsi="Arial" w:cs="Arial"/>
          <w:sz w:val="22"/>
          <w:szCs w:val="22"/>
        </w:rPr>
        <w:t>: La combinación de SMR con energías renovables permite reducir el Costo Nivelado de Energía (LCOE) hasta en un 30% respecto al uso de diésel, especialmente en zonas remotas donde los costos logísticos son elevados. En el caso de Las Bambas, esta transición podría representar un ahorro anual de aproximadamente 59 millones de USD, al pasar de un LCOE de 100 USD/</w:t>
      </w:r>
      <w:proofErr w:type="spellStart"/>
      <w:r>
        <w:rPr>
          <w:rFonts w:ascii="Arial" w:eastAsia="Arial" w:hAnsi="Arial" w:cs="Arial"/>
          <w:sz w:val="22"/>
          <w:szCs w:val="22"/>
        </w:rPr>
        <w:t>MWh</w:t>
      </w:r>
      <w:proofErr w:type="spellEnd"/>
      <w:r>
        <w:rPr>
          <w:rFonts w:ascii="Arial" w:eastAsia="Arial" w:hAnsi="Arial" w:cs="Arial"/>
          <w:sz w:val="22"/>
          <w:szCs w:val="22"/>
        </w:rPr>
        <w:t xml:space="preserve"> (diésel) a uno de 60 USD/</w:t>
      </w:r>
      <w:proofErr w:type="spellStart"/>
      <w:r>
        <w:rPr>
          <w:rFonts w:ascii="Arial" w:eastAsia="Arial" w:hAnsi="Arial" w:cs="Arial"/>
          <w:sz w:val="22"/>
          <w:szCs w:val="22"/>
        </w:rPr>
        <w:t>MWh</w:t>
      </w:r>
      <w:proofErr w:type="spellEnd"/>
      <w:r>
        <w:rPr>
          <w:rFonts w:ascii="Arial" w:eastAsia="Arial" w:hAnsi="Arial" w:cs="Arial"/>
          <w:sz w:val="22"/>
          <w:szCs w:val="22"/>
        </w:rPr>
        <w:t xml:space="preserve"> (SMR + renovables). Este tipo de ahorro ha sido respaldado por estudios de viabilidad económica en proyectos piloto de SMR en Canadá y EE. UU., donde se destaca la competitividad de esta tecnología frente a fuentes fósiles tradicionales (IEEE </w:t>
      </w:r>
      <w:proofErr w:type="spellStart"/>
      <w:r>
        <w:rPr>
          <w:rFonts w:ascii="Arial" w:eastAsia="Arial" w:hAnsi="Arial" w:cs="Arial"/>
          <w:sz w:val="22"/>
          <w:szCs w:val="22"/>
        </w:rPr>
        <w:t>Spectrum</w:t>
      </w:r>
      <w:proofErr w:type="spellEnd"/>
      <w:r>
        <w:rPr>
          <w:rFonts w:ascii="Arial" w:eastAsia="Arial" w:hAnsi="Arial" w:cs="Arial"/>
          <w:sz w:val="22"/>
          <w:szCs w:val="22"/>
        </w:rPr>
        <w:t>, 2025).</w:t>
      </w:r>
    </w:p>
    <w:p w14:paraId="4FC5456C" w14:textId="77777777" w:rsidR="001916FA" w:rsidRDefault="00000000">
      <w:pPr>
        <w:jc w:val="both"/>
        <w:rPr>
          <w:rFonts w:ascii="Arial" w:eastAsia="Arial" w:hAnsi="Arial" w:cs="Arial"/>
          <w:sz w:val="22"/>
          <w:szCs w:val="22"/>
        </w:rPr>
      </w:pPr>
      <w:r>
        <w:rPr>
          <w:rFonts w:ascii="Arial" w:eastAsia="Arial" w:hAnsi="Arial" w:cs="Arial"/>
          <w:b/>
          <w:sz w:val="22"/>
          <w:szCs w:val="22"/>
        </w:rPr>
        <w:t>Reducción Masiva de Emisiones</w:t>
      </w:r>
      <w:r>
        <w:rPr>
          <w:rFonts w:ascii="Arial" w:eastAsia="Arial" w:hAnsi="Arial" w:cs="Arial"/>
          <w:sz w:val="22"/>
          <w:szCs w:val="22"/>
        </w:rPr>
        <w:t xml:space="preserve">: Aunque el Perú cuenta con una matriz energética mayoritariamente hidroeléctrica, muchas operaciones mineras ubicadas en zonas remotas aún dependen de fuentes fósiles como el diésel y el gas natural, debido a su desconexión del SEIN. </w:t>
      </w:r>
    </w:p>
    <w:p w14:paraId="5E051DD1" w14:textId="77777777" w:rsidR="001916FA" w:rsidRDefault="00000000">
      <w:pPr>
        <w:jc w:val="both"/>
        <w:rPr>
          <w:rFonts w:ascii="Arial" w:eastAsia="Arial" w:hAnsi="Arial" w:cs="Arial"/>
          <w:sz w:val="22"/>
          <w:szCs w:val="22"/>
        </w:rPr>
      </w:pPr>
      <w:r>
        <w:rPr>
          <w:rFonts w:ascii="Arial" w:eastAsia="Arial" w:hAnsi="Arial" w:cs="Arial"/>
          <w:sz w:val="22"/>
          <w:szCs w:val="22"/>
        </w:rPr>
        <w:t xml:space="preserve">En este contexto, la implementación de SMR combinados con renovables permitiría reducir las emisiones de CO₂ en más del 70%, al reemplazar tecnologías térmicas por soluciones limpias y continuas. En el caso de Las Bambas, esto equivale a evitar la emisión de aproximadamente 968 mil toneladas de CO₂ al año, contribuyendo a la descarbonización del cobre peruano y mejorando su competitividad en mercados internacionales que exigen trazabilidad ambiental (COES, 2025; </w:t>
      </w:r>
      <w:proofErr w:type="spellStart"/>
      <w:r>
        <w:rPr>
          <w:rFonts w:ascii="Arial" w:eastAsia="Arial" w:hAnsi="Arial" w:cs="Arial"/>
          <w:sz w:val="22"/>
          <w:szCs w:val="22"/>
        </w:rPr>
        <w:t>World</w:t>
      </w:r>
      <w:proofErr w:type="spellEnd"/>
      <w:r>
        <w:rPr>
          <w:rFonts w:ascii="Arial" w:eastAsia="Arial" w:hAnsi="Arial" w:cs="Arial"/>
          <w:sz w:val="22"/>
          <w:szCs w:val="22"/>
        </w:rPr>
        <w:t xml:space="preserve"> Nuclear </w:t>
      </w:r>
      <w:proofErr w:type="spellStart"/>
      <w:r>
        <w:rPr>
          <w:rFonts w:ascii="Arial" w:eastAsia="Arial" w:hAnsi="Arial" w:cs="Arial"/>
          <w:sz w:val="22"/>
          <w:szCs w:val="22"/>
        </w:rPr>
        <w:t>Association</w:t>
      </w:r>
      <w:proofErr w:type="spellEnd"/>
      <w:r>
        <w:rPr>
          <w:rFonts w:ascii="Arial" w:eastAsia="Arial" w:hAnsi="Arial" w:cs="Arial"/>
          <w:sz w:val="22"/>
          <w:szCs w:val="22"/>
        </w:rPr>
        <w:t>, 2025).</w:t>
      </w:r>
    </w:p>
    <w:p w14:paraId="0555D61D" w14:textId="77777777" w:rsidR="001916FA" w:rsidRDefault="00000000">
      <w:pPr>
        <w:jc w:val="both"/>
        <w:rPr>
          <w:rFonts w:ascii="Arial" w:eastAsia="Arial" w:hAnsi="Arial" w:cs="Arial"/>
          <w:sz w:val="22"/>
          <w:szCs w:val="22"/>
        </w:rPr>
      </w:pPr>
      <w:r>
        <w:rPr>
          <w:rFonts w:ascii="Arial" w:eastAsia="Arial" w:hAnsi="Arial" w:cs="Arial"/>
          <w:b/>
          <w:sz w:val="22"/>
          <w:szCs w:val="22"/>
        </w:rPr>
        <w:t>Base Energética Robusta</w:t>
      </w:r>
      <w:r>
        <w:rPr>
          <w:rFonts w:ascii="Arial" w:eastAsia="Arial" w:hAnsi="Arial" w:cs="Arial"/>
          <w:sz w:val="22"/>
          <w:szCs w:val="22"/>
        </w:rPr>
        <w:t>: Los SMR actúan como fuente firme de energía, lo que permite compensar la intermitencia de fuentes renovables como la solar y la eólica. Esta característica es clave para garantizar la continuidad operativa de las minas, especialmente en zonas alejadas de la red eléctrica nacional. A diferencia de los sistemas 100% renovables, que requieren almacenamiento costoso o respaldo fósil, los SMR aseguran un suministro constante sin depender de condiciones climáticas.</w:t>
      </w:r>
    </w:p>
    <w:p w14:paraId="4903BB53" w14:textId="77777777" w:rsidR="001916FA" w:rsidRDefault="00000000">
      <w:pPr>
        <w:jc w:val="both"/>
        <w:rPr>
          <w:rFonts w:ascii="Arial" w:eastAsia="Arial" w:hAnsi="Arial" w:cs="Arial"/>
          <w:sz w:val="22"/>
          <w:szCs w:val="22"/>
        </w:rPr>
      </w:pPr>
      <w:r>
        <w:rPr>
          <w:rFonts w:ascii="Arial" w:eastAsia="Arial" w:hAnsi="Arial" w:cs="Arial"/>
          <w:b/>
          <w:sz w:val="22"/>
          <w:szCs w:val="22"/>
        </w:rPr>
        <w:t>Marco Regulatorio e Institucional</w:t>
      </w:r>
      <w:r>
        <w:rPr>
          <w:rFonts w:ascii="Arial" w:eastAsia="Arial" w:hAnsi="Arial" w:cs="Arial"/>
          <w:sz w:val="22"/>
          <w:szCs w:val="22"/>
        </w:rPr>
        <w:t>: La adopción de SMR requiere marcos específicos de licenciamiento, supervisión de la autoridad nuclear peruana y programas de financiamiento verde. Las simulaciones señalan un alto potencial de implementación si se establece un marco institucional y legal adaptado a esta tecnología.</w:t>
      </w:r>
    </w:p>
    <w:p w14:paraId="2F36401C" w14:textId="77777777" w:rsidR="001916FA" w:rsidRDefault="00000000">
      <w:pPr>
        <w:spacing w:after="0" w:line="240" w:lineRule="auto"/>
        <w:jc w:val="both"/>
        <w:rPr>
          <w:rFonts w:ascii="Arial" w:eastAsia="Arial" w:hAnsi="Arial" w:cs="Arial"/>
          <w:sz w:val="22"/>
          <w:szCs w:val="22"/>
        </w:rPr>
      </w:pPr>
      <w:r>
        <w:rPr>
          <w:rFonts w:ascii="Arial" w:eastAsia="Arial" w:hAnsi="Arial" w:cs="Arial"/>
          <w:b/>
          <w:sz w:val="22"/>
          <w:szCs w:val="22"/>
        </w:rPr>
        <w:t>4.2. Comparación Internacional de Casos de Uso de SMR en Minería o Zonas Remotas</w:t>
      </w:r>
      <w:r>
        <w:rPr>
          <w:rFonts w:ascii="Arial" w:eastAsia="Arial" w:hAnsi="Arial" w:cs="Arial"/>
          <w:sz w:val="22"/>
          <w:szCs w:val="22"/>
        </w:rPr>
        <w:t xml:space="preserve"> </w:t>
      </w:r>
    </w:p>
    <w:p w14:paraId="4F464DA9" w14:textId="77777777" w:rsidR="001916FA" w:rsidRDefault="001916FA">
      <w:pPr>
        <w:spacing w:after="0" w:line="240" w:lineRule="auto"/>
        <w:jc w:val="both"/>
        <w:rPr>
          <w:rFonts w:ascii="Arial" w:eastAsia="Arial" w:hAnsi="Arial" w:cs="Arial"/>
          <w:sz w:val="22"/>
          <w:szCs w:val="22"/>
        </w:rPr>
      </w:pPr>
    </w:p>
    <w:p w14:paraId="571E1DEA"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 xml:space="preserve">La viabilidad del uso de SMR en minería no es solo una propuesta teórica, sino una tendencia que ya está siendo explorada en diversos países. En Canadá, el gobierno federal ha identificado más de 20 minas fuera de red que podrían beneficiarse de SMR, y se han iniciado proyectos piloto en regiones como Ontario y Saskatchewan (Natural </w:t>
      </w:r>
      <w:proofErr w:type="spellStart"/>
      <w:r>
        <w:rPr>
          <w:rFonts w:ascii="Arial" w:eastAsia="Arial" w:hAnsi="Arial" w:cs="Arial"/>
          <w:sz w:val="22"/>
          <w:szCs w:val="22"/>
        </w:rPr>
        <w:t>Resources</w:t>
      </w:r>
      <w:proofErr w:type="spellEnd"/>
      <w:r>
        <w:rPr>
          <w:rFonts w:ascii="Arial" w:eastAsia="Arial" w:hAnsi="Arial" w:cs="Arial"/>
          <w:sz w:val="22"/>
          <w:szCs w:val="22"/>
        </w:rPr>
        <w:t xml:space="preserve"> </w:t>
      </w:r>
      <w:proofErr w:type="spellStart"/>
      <w:r>
        <w:rPr>
          <w:rFonts w:ascii="Arial" w:eastAsia="Arial" w:hAnsi="Arial" w:cs="Arial"/>
          <w:sz w:val="22"/>
          <w:szCs w:val="22"/>
        </w:rPr>
        <w:t>Canada</w:t>
      </w:r>
      <w:proofErr w:type="spellEnd"/>
      <w:r>
        <w:rPr>
          <w:rFonts w:ascii="Arial" w:eastAsia="Arial" w:hAnsi="Arial" w:cs="Arial"/>
          <w:sz w:val="22"/>
          <w:szCs w:val="22"/>
        </w:rPr>
        <w:t xml:space="preserve">, 2022). En Rusia, el reactor flotante </w:t>
      </w:r>
      <w:proofErr w:type="spellStart"/>
      <w:r>
        <w:rPr>
          <w:rFonts w:ascii="Arial" w:eastAsia="Arial" w:hAnsi="Arial" w:cs="Arial"/>
          <w:sz w:val="22"/>
          <w:szCs w:val="22"/>
        </w:rPr>
        <w:t>Akademik</w:t>
      </w:r>
      <w:proofErr w:type="spellEnd"/>
      <w:r>
        <w:rPr>
          <w:rFonts w:ascii="Arial" w:eastAsia="Arial" w:hAnsi="Arial" w:cs="Arial"/>
          <w:sz w:val="22"/>
          <w:szCs w:val="22"/>
        </w:rPr>
        <w:t xml:space="preserve"> </w:t>
      </w:r>
      <w:proofErr w:type="spellStart"/>
      <w:r>
        <w:rPr>
          <w:rFonts w:ascii="Arial" w:eastAsia="Arial" w:hAnsi="Arial" w:cs="Arial"/>
          <w:sz w:val="22"/>
          <w:szCs w:val="22"/>
        </w:rPr>
        <w:t>Lomonosov</w:t>
      </w:r>
      <w:proofErr w:type="spellEnd"/>
      <w:r>
        <w:rPr>
          <w:rFonts w:ascii="Arial" w:eastAsia="Arial" w:hAnsi="Arial" w:cs="Arial"/>
          <w:sz w:val="22"/>
          <w:szCs w:val="22"/>
        </w:rPr>
        <w:t xml:space="preserve"> abastece comunidades remotas en Siberia, demostrando la capacidad de los SMR para operar en condiciones extremas. Por su parte, Australia ha evaluado el uso de SMR en minería de uranio y cobre en zonas desérticas, donde el acceso a la red es limitado y la demanda energética es constante. Estos casos refuerzan la aplicabilidad de esta tecnología en contextos similares al peruano, donde la minería opera en zonas aisladas con alta demanda energética.</w:t>
      </w:r>
    </w:p>
    <w:p w14:paraId="396E8BD3" w14:textId="77777777" w:rsidR="001916FA" w:rsidRDefault="001916FA">
      <w:pPr>
        <w:spacing w:after="0" w:line="240" w:lineRule="auto"/>
        <w:jc w:val="both"/>
        <w:rPr>
          <w:rFonts w:ascii="Arial" w:eastAsia="Arial" w:hAnsi="Arial" w:cs="Arial"/>
          <w:sz w:val="22"/>
          <w:szCs w:val="22"/>
        </w:rPr>
      </w:pPr>
    </w:p>
    <w:p w14:paraId="60F6F41E" w14:textId="77777777" w:rsidR="001916FA" w:rsidRDefault="00000000">
      <w:pPr>
        <w:spacing w:after="0" w:line="240" w:lineRule="auto"/>
        <w:jc w:val="both"/>
        <w:rPr>
          <w:rFonts w:ascii="Arial" w:eastAsia="Arial" w:hAnsi="Arial" w:cs="Arial"/>
          <w:sz w:val="22"/>
          <w:szCs w:val="22"/>
        </w:rPr>
      </w:pPr>
      <w:r>
        <w:rPr>
          <w:rFonts w:ascii="Arial" w:eastAsia="Arial" w:hAnsi="Arial" w:cs="Arial"/>
          <w:b/>
          <w:sz w:val="22"/>
          <w:szCs w:val="22"/>
        </w:rPr>
        <w:t>4.2. Impacto en la Competitividad del Cobre Peruano</w:t>
      </w:r>
    </w:p>
    <w:p w14:paraId="7D001443" w14:textId="77777777" w:rsidR="001916FA" w:rsidRDefault="001916FA">
      <w:pPr>
        <w:spacing w:after="0" w:line="240" w:lineRule="auto"/>
        <w:jc w:val="both"/>
        <w:rPr>
          <w:rFonts w:ascii="Arial" w:eastAsia="Arial" w:hAnsi="Arial" w:cs="Arial"/>
          <w:sz w:val="22"/>
          <w:szCs w:val="22"/>
        </w:rPr>
      </w:pPr>
    </w:p>
    <w:p w14:paraId="071647BA"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La adopción de los SMR y las energías renovables no solo permite reducir costos operativos y emisiones de gases de efecto invernadero, sino que también mejora significativamente la trazabilidad ambiental del cobre producido en el Perú. Este aspecto es crucial, considerando que el cobre es el principal mineral de exportación del país. De acuerdo con el Ministerio de Energía y Minas (2025), durante el primer trimestre del año, el cobre generó ingresos por US$ 6,540 millones, representando el 31.5% del total de exportaciones mineras, superando ampliamente a otros minerales como el oro y el zinc (Boletín Estadístico Minero – Primer Trimestre 2025, MINEM).</w:t>
      </w:r>
    </w:p>
    <w:p w14:paraId="7CCA67EF" w14:textId="77777777" w:rsidR="001916FA" w:rsidRDefault="001916FA">
      <w:pPr>
        <w:spacing w:after="0" w:line="240" w:lineRule="auto"/>
        <w:jc w:val="both"/>
        <w:rPr>
          <w:rFonts w:ascii="Arial" w:eastAsia="Arial" w:hAnsi="Arial" w:cs="Arial"/>
          <w:sz w:val="22"/>
          <w:szCs w:val="22"/>
        </w:rPr>
      </w:pPr>
    </w:p>
    <w:p w14:paraId="7C0232F5"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 xml:space="preserve">En mercados exigentes como la Unión Europea, Estados Unidos y Asia, los compradores demandan cada vez más materias primas con baja huella de carbono. En este contexto, la certificación de “cobre verde” puede abrir nuevas oportunidades comerciales, mejorar el posicionamiento internacional del Perú como productor responsable y atraer inversiones sostenibles. Además, mecanismos regulatorios como el </w:t>
      </w:r>
      <w:proofErr w:type="spellStart"/>
      <w:r>
        <w:rPr>
          <w:rFonts w:ascii="Arial" w:eastAsia="Arial" w:hAnsi="Arial" w:cs="Arial"/>
          <w:sz w:val="22"/>
          <w:szCs w:val="22"/>
        </w:rPr>
        <w:t>Carbon</w:t>
      </w:r>
      <w:proofErr w:type="spellEnd"/>
      <w:r>
        <w:rPr>
          <w:rFonts w:ascii="Arial" w:eastAsia="Arial" w:hAnsi="Arial" w:cs="Arial"/>
          <w:sz w:val="22"/>
          <w:szCs w:val="22"/>
        </w:rPr>
        <w:t xml:space="preserve"> </w:t>
      </w:r>
      <w:proofErr w:type="spellStart"/>
      <w:r>
        <w:rPr>
          <w:rFonts w:ascii="Arial" w:eastAsia="Arial" w:hAnsi="Arial" w:cs="Arial"/>
          <w:sz w:val="22"/>
          <w:szCs w:val="22"/>
        </w:rPr>
        <w:t>Border</w:t>
      </w:r>
      <w:proofErr w:type="spellEnd"/>
      <w:r>
        <w:rPr>
          <w:rFonts w:ascii="Arial" w:eastAsia="Arial" w:hAnsi="Arial" w:cs="Arial"/>
          <w:sz w:val="22"/>
          <w:szCs w:val="22"/>
        </w:rPr>
        <w:t xml:space="preserve"> </w:t>
      </w:r>
      <w:proofErr w:type="spellStart"/>
      <w:r>
        <w:rPr>
          <w:rFonts w:ascii="Arial" w:eastAsia="Arial" w:hAnsi="Arial" w:cs="Arial"/>
          <w:sz w:val="22"/>
          <w:szCs w:val="22"/>
        </w:rPr>
        <w:t>Adjustment</w:t>
      </w:r>
      <w:proofErr w:type="spellEnd"/>
      <w:r>
        <w:rPr>
          <w:rFonts w:ascii="Arial" w:eastAsia="Arial" w:hAnsi="Arial" w:cs="Arial"/>
          <w:sz w:val="22"/>
          <w:szCs w:val="22"/>
        </w:rPr>
        <w:t xml:space="preserve"> </w:t>
      </w:r>
      <w:proofErr w:type="spellStart"/>
      <w:r>
        <w:rPr>
          <w:rFonts w:ascii="Arial" w:eastAsia="Arial" w:hAnsi="Arial" w:cs="Arial"/>
          <w:sz w:val="22"/>
          <w:szCs w:val="22"/>
        </w:rPr>
        <w:t>Mechanism</w:t>
      </w:r>
      <w:proofErr w:type="spellEnd"/>
      <w:r>
        <w:rPr>
          <w:rFonts w:ascii="Arial" w:eastAsia="Arial" w:hAnsi="Arial" w:cs="Arial"/>
          <w:sz w:val="22"/>
          <w:szCs w:val="22"/>
        </w:rPr>
        <w:t xml:space="preserve"> (CBAM) de la Unión Europea podrían imponer aranceles adicionales a productos con alta intensidad de carbono, lo que hace urgente la transición energética en el sector minero para mantener la competitividad del cobre peruano en el mercado global.</w:t>
      </w:r>
    </w:p>
    <w:p w14:paraId="7B69DA03" w14:textId="77777777" w:rsidR="001916FA" w:rsidRDefault="001916FA">
      <w:pPr>
        <w:spacing w:after="0" w:line="240" w:lineRule="auto"/>
        <w:jc w:val="both"/>
        <w:rPr>
          <w:rFonts w:ascii="Arial" w:eastAsia="Arial" w:hAnsi="Arial" w:cs="Arial"/>
          <w:sz w:val="22"/>
          <w:szCs w:val="22"/>
        </w:rPr>
      </w:pPr>
    </w:p>
    <w:p w14:paraId="26DD8C6B" w14:textId="77777777" w:rsidR="001916FA" w:rsidRDefault="00000000">
      <w:pPr>
        <w:spacing w:after="0" w:line="240" w:lineRule="auto"/>
        <w:jc w:val="both"/>
        <w:rPr>
          <w:rFonts w:ascii="Arial" w:eastAsia="Arial" w:hAnsi="Arial" w:cs="Arial"/>
          <w:sz w:val="22"/>
          <w:szCs w:val="22"/>
        </w:rPr>
      </w:pPr>
      <w:r>
        <w:rPr>
          <w:rFonts w:ascii="Arial" w:eastAsia="Arial" w:hAnsi="Arial" w:cs="Arial"/>
          <w:b/>
          <w:sz w:val="22"/>
          <w:szCs w:val="22"/>
        </w:rPr>
        <w:t xml:space="preserve">4.3. Contribución de la Minería a los Compromisos Climáticos del Perú </w:t>
      </w:r>
      <w:r>
        <w:rPr>
          <w:rFonts w:ascii="Arial" w:eastAsia="Arial" w:hAnsi="Arial" w:cs="Arial"/>
          <w:sz w:val="22"/>
          <w:szCs w:val="22"/>
        </w:rPr>
        <w:t xml:space="preserve"> </w:t>
      </w:r>
    </w:p>
    <w:p w14:paraId="1C60AAEE" w14:textId="77777777" w:rsidR="001916FA" w:rsidRDefault="001916FA">
      <w:pPr>
        <w:spacing w:after="0" w:line="240" w:lineRule="auto"/>
        <w:jc w:val="both"/>
        <w:rPr>
          <w:rFonts w:ascii="Arial" w:eastAsia="Arial" w:hAnsi="Arial" w:cs="Arial"/>
          <w:sz w:val="22"/>
          <w:szCs w:val="22"/>
        </w:rPr>
      </w:pPr>
    </w:p>
    <w:p w14:paraId="438A3FEE"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 xml:space="preserve">La transición energética en el sector minero, mediante la adopción de tecnologías como los SMR y las energías renovables, representa una oportunidad estratégica para que el Perú avance en el cumplimiento de sus compromisos climáticos internacionales. Según la Contribución Determinada a Nivel Nacional (NDC) actualizada en 2021, el país se ha comprometido a reducir sus emisiones de gases de efecto invernadero en un 40% al 2030, de los cuales un 30% es incondicional y un 10% depende de cooperación internacional (MINAM, 2021). La minería, al ser uno de los sectores con mayor consumo energético especialmente en zonas fuera del SEIN que dependen del diésel, tiene un rol clave en alcanzar esta meta. </w:t>
      </w:r>
    </w:p>
    <w:p w14:paraId="29C374A4" w14:textId="77777777" w:rsidR="001916FA" w:rsidRDefault="001916FA">
      <w:pPr>
        <w:spacing w:after="0" w:line="240" w:lineRule="auto"/>
        <w:jc w:val="both"/>
        <w:rPr>
          <w:rFonts w:ascii="Arial" w:eastAsia="Arial" w:hAnsi="Arial" w:cs="Arial"/>
          <w:sz w:val="22"/>
          <w:szCs w:val="22"/>
        </w:rPr>
      </w:pPr>
    </w:p>
    <w:p w14:paraId="4A5E6FA0"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La implementación de soluciones energéticas limpias en operaciones como Las Bambas, Antamina o Quellaveco no solo reduciría significativamente las emisiones del sector, sino que también permitiría a las empresas mineras alinearse con estándares internacionales de sostenibilidad. Esto es especialmente relevante en un contexto donde los inversionistas y compradores globales priorizan cadenas de suministro con baja huella de carbono.</w:t>
      </w:r>
    </w:p>
    <w:p w14:paraId="23ED21DF" w14:textId="77777777" w:rsidR="001916FA" w:rsidRDefault="001916FA">
      <w:pPr>
        <w:spacing w:after="0" w:line="240" w:lineRule="auto"/>
        <w:jc w:val="both"/>
        <w:rPr>
          <w:rFonts w:ascii="Arial" w:eastAsia="Arial" w:hAnsi="Arial" w:cs="Arial"/>
          <w:sz w:val="22"/>
          <w:szCs w:val="22"/>
        </w:rPr>
      </w:pPr>
    </w:p>
    <w:p w14:paraId="5B392C32"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Además, esta transición posiciona a la minería peruana como un actor activo en el cumplimiento de los Objetivos de Desarrollo Sostenible (ODS), particularmente el ODS 7 (energía asequible y no contaminante), el ODS 9 (industria, innovación e infraestructura) y el ODS 13 (acción por el clima). La “Hoja de Ruta de Sostenibilidad para el Sector Minería Metálica” elaborada por Perú Sostenible destaca que la adopción de tecnologías limpias es clave para cerrar brechas sociales y ambientales en zonas mineras (Perú Sostenible, 2024).</w:t>
      </w:r>
    </w:p>
    <w:p w14:paraId="3B615F3E" w14:textId="77777777" w:rsidR="001916FA" w:rsidRDefault="001916FA">
      <w:pPr>
        <w:spacing w:after="0" w:line="240" w:lineRule="auto"/>
        <w:jc w:val="both"/>
        <w:rPr>
          <w:rFonts w:ascii="Arial" w:eastAsia="Arial" w:hAnsi="Arial" w:cs="Arial"/>
          <w:sz w:val="22"/>
          <w:szCs w:val="22"/>
        </w:rPr>
      </w:pPr>
    </w:p>
    <w:p w14:paraId="218FA8A3" w14:textId="77777777" w:rsidR="001916FA" w:rsidRDefault="00000000">
      <w:pPr>
        <w:spacing w:after="0" w:line="240" w:lineRule="auto"/>
        <w:jc w:val="both"/>
        <w:rPr>
          <w:rFonts w:ascii="Arial" w:eastAsia="Arial" w:hAnsi="Arial" w:cs="Arial"/>
          <w:sz w:val="22"/>
          <w:szCs w:val="22"/>
        </w:rPr>
      </w:pPr>
      <w:r>
        <w:rPr>
          <w:rFonts w:ascii="Arial" w:eastAsia="Arial" w:hAnsi="Arial" w:cs="Arial"/>
          <w:b/>
          <w:sz w:val="22"/>
          <w:szCs w:val="22"/>
        </w:rPr>
        <w:t>5. Conclusiones</w:t>
      </w:r>
    </w:p>
    <w:p w14:paraId="1F454A43" w14:textId="77777777" w:rsidR="001916FA" w:rsidRDefault="001916FA">
      <w:pPr>
        <w:spacing w:after="0" w:line="240" w:lineRule="auto"/>
        <w:jc w:val="both"/>
        <w:rPr>
          <w:rFonts w:ascii="Arial" w:eastAsia="Arial" w:hAnsi="Arial" w:cs="Arial"/>
          <w:sz w:val="22"/>
          <w:szCs w:val="22"/>
        </w:rPr>
      </w:pPr>
    </w:p>
    <w:p w14:paraId="403EA609"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La combinación de reactores modulares pequeños (SMR) con energías renovables se presenta como una alternativa energética técnicamente viable y económicamente competitiva para operaciones mineras en zonas remotas del Perú. Los análisis realizados muestran que esta solución híbrida permite reducir significativamente los costos energéticos y las emisiones de gases de efecto invernadero, mejorando la eficiencia operativa y la sostenibilidad ambiental del sector.</w:t>
      </w:r>
    </w:p>
    <w:p w14:paraId="3E747BDD" w14:textId="77777777" w:rsidR="001916FA" w:rsidRDefault="001916FA">
      <w:pPr>
        <w:spacing w:after="0" w:line="240" w:lineRule="auto"/>
        <w:jc w:val="both"/>
        <w:rPr>
          <w:rFonts w:ascii="Arial" w:eastAsia="Arial" w:hAnsi="Arial" w:cs="Arial"/>
          <w:sz w:val="22"/>
          <w:szCs w:val="22"/>
        </w:rPr>
      </w:pPr>
    </w:p>
    <w:p w14:paraId="15C0A9E6"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Para viabilizar esta transición, es indispensable el desarrollo de un marco regulatorio específico que contemple el licenciamiento nuclear, la integración con fuentes renovables y mecanismos de financiamiento verde. La implementación de proyectos piloto en colaboración con el sector privado permitiría validar la tecnología en condiciones reales, garantizando la seguridad operativa y generando confianza institucional.</w:t>
      </w:r>
    </w:p>
    <w:p w14:paraId="1B42A384" w14:textId="77777777" w:rsidR="001916FA" w:rsidRDefault="001916FA">
      <w:pPr>
        <w:spacing w:after="0" w:line="240" w:lineRule="auto"/>
        <w:jc w:val="both"/>
        <w:rPr>
          <w:rFonts w:ascii="Arial" w:eastAsia="Arial" w:hAnsi="Arial" w:cs="Arial"/>
          <w:sz w:val="22"/>
          <w:szCs w:val="22"/>
        </w:rPr>
      </w:pPr>
    </w:p>
    <w:p w14:paraId="6687B2F4"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El diseño modular de los SMR permite una implementación escalonada, ajustada a la demanda energética de cada operación minera. Esta flexibilidad evita el sobredimensionamiento de la infraestructura, reduce riesgos financieros y facilita una transición energética progresiva, especialmente en contextos geográficos complejos como los Andes peruanos.</w:t>
      </w:r>
    </w:p>
    <w:p w14:paraId="7EE916B9" w14:textId="77777777" w:rsidR="001916FA" w:rsidRDefault="001916FA">
      <w:pPr>
        <w:spacing w:after="0" w:line="240" w:lineRule="auto"/>
        <w:jc w:val="both"/>
        <w:rPr>
          <w:rFonts w:ascii="Arial" w:eastAsia="Arial" w:hAnsi="Arial" w:cs="Arial"/>
          <w:sz w:val="22"/>
          <w:szCs w:val="22"/>
        </w:rPr>
      </w:pPr>
    </w:p>
    <w:p w14:paraId="4F19C07A"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La adopción temprana de estas tecnologías posicionaría al cobre peruano como un producto de baja huella de carbono, alineado con las exigencias de trazabilidad ambiental de los mercados internacionales. Esto no solo mejoraría el acceso a mercados premium, sino que también fortalecería la imagen del Perú como productor responsable y sostenible.</w:t>
      </w:r>
    </w:p>
    <w:p w14:paraId="29F9D92B" w14:textId="77777777" w:rsidR="001916FA" w:rsidRDefault="001916FA">
      <w:pPr>
        <w:spacing w:after="0" w:line="240" w:lineRule="auto"/>
        <w:jc w:val="both"/>
        <w:rPr>
          <w:rFonts w:ascii="Arial" w:eastAsia="Arial" w:hAnsi="Arial" w:cs="Arial"/>
          <w:sz w:val="22"/>
          <w:szCs w:val="22"/>
        </w:rPr>
      </w:pPr>
    </w:p>
    <w:p w14:paraId="710D2015"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Finalmente, la transición energética en la minería contribuiría directamente al cumplimiento de los compromisos climáticos del país, como la reducción del 40% de emisiones al 2030 establecida en las NDC, y a los Objetivos de Desarrollo Sostenible (ODS).</w:t>
      </w:r>
    </w:p>
    <w:p w14:paraId="1F94C130" w14:textId="77777777" w:rsidR="001916FA" w:rsidRDefault="001916FA">
      <w:pPr>
        <w:spacing w:after="0" w:line="240" w:lineRule="auto"/>
        <w:jc w:val="both"/>
        <w:rPr>
          <w:rFonts w:ascii="Arial" w:eastAsia="Arial" w:hAnsi="Arial" w:cs="Arial"/>
          <w:sz w:val="22"/>
          <w:szCs w:val="22"/>
        </w:rPr>
      </w:pPr>
    </w:p>
    <w:p w14:paraId="28C41625" w14:textId="77777777" w:rsidR="001916FA" w:rsidRDefault="001916FA">
      <w:pPr>
        <w:spacing w:after="0" w:line="240" w:lineRule="auto"/>
        <w:jc w:val="both"/>
        <w:rPr>
          <w:rFonts w:ascii="Arial" w:eastAsia="Arial" w:hAnsi="Arial" w:cs="Arial"/>
          <w:sz w:val="22"/>
          <w:szCs w:val="22"/>
        </w:rPr>
      </w:pPr>
    </w:p>
    <w:p w14:paraId="05925CC4" w14:textId="77777777" w:rsidR="001916FA" w:rsidRDefault="00000000">
      <w:pPr>
        <w:spacing w:after="0" w:line="240" w:lineRule="auto"/>
        <w:jc w:val="both"/>
        <w:rPr>
          <w:rFonts w:ascii="Arial" w:eastAsia="Arial" w:hAnsi="Arial" w:cs="Arial"/>
          <w:b/>
          <w:sz w:val="22"/>
          <w:szCs w:val="22"/>
        </w:rPr>
      </w:pPr>
      <w:r>
        <w:rPr>
          <w:rFonts w:ascii="Arial" w:eastAsia="Arial" w:hAnsi="Arial" w:cs="Arial"/>
          <w:b/>
          <w:sz w:val="22"/>
          <w:szCs w:val="22"/>
        </w:rPr>
        <w:t>6. Referencias bibliográficas</w:t>
      </w:r>
    </w:p>
    <w:p w14:paraId="5AFD7E14" w14:textId="77777777" w:rsidR="001916FA" w:rsidRDefault="001916FA">
      <w:pPr>
        <w:spacing w:after="0" w:line="240" w:lineRule="auto"/>
        <w:jc w:val="both"/>
        <w:rPr>
          <w:rFonts w:ascii="Arial" w:eastAsia="Arial" w:hAnsi="Arial" w:cs="Arial"/>
          <w:b/>
          <w:sz w:val="22"/>
          <w:szCs w:val="22"/>
        </w:rPr>
      </w:pPr>
    </w:p>
    <w:p w14:paraId="49DAABEB" w14:textId="77777777" w:rsidR="001916FA" w:rsidRDefault="00000000" w:rsidP="006151B4">
      <w:pPr>
        <w:spacing w:after="0" w:line="240" w:lineRule="auto"/>
        <w:ind w:left="180" w:hanging="38"/>
        <w:jc w:val="both"/>
        <w:rPr>
          <w:rFonts w:ascii="Arial" w:eastAsia="Arial" w:hAnsi="Arial" w:cs="Arial"/>
          <w:sz w:val="22"/>
          <w:szCs w:val="22"/>
        </w:rPr>
      </w:pPr>
      <w:r>
        <w:rPr>
          <w:rFonts w:ascii="Arial" w:eastAsia="Arial" w:hAnsi="Arial" w:cs="Arial"/>
          <w:sz w:val="22"/>
          <w:szCs w:val="22"/>
        </w:rPr>
        <w:t>COMEX. 2024. Producción cuprífera aumentó Un 12.7% en 2023 y El Perú Se mantiene Como El Segundo mayor productor de cobre del Mundo.</w:t>
      </w:r>
      <w:r>
        <w:rPr>
          <w:rFonts w:ascii="Arial" w:eastAsia="Arial" w:hAnsi="Arial" w:cs="Arial"/>
          <w:color w:val="37393C"/>
          <w:highlight w:val="white"/>
        </w:rPr>
        <w:t xml:space="preserve"> </w:t>
      </w:r>
      <w:r>
        <w:rPr>
          <w:rFonts w:ascii="Arial" w:eastAsia="Arial" w:hAnsi="Arial" w:cs="Arial"/>
          <w:sz w:val="22"/>
          <w:szCs w:val="22"/>
        </w:rPr>
        <w:t>COMEXPERU - Sociedad de Comercio Exterior Del Perú. Publicado el 16 de Febrero de 2024</w:t>
      </w:r>
    </w:p>
    <w:p w14:paraId="65022A5D" w14:textId="77777777" w:rsidR="001916FA" w:rsidRDefault="001916FA">
      <w:pPr>
        <w:spacing w:after="0" w:line="240" w:lineRule="auto"/>
        <w:ind w:left="180" w:hanging="180"/>
        <w:jc w:val="both"/>
        <w:rPr>
          <w:rFonts w:ascii="Arial" w:eastAsia="Arial" w:hAnsi="Arial" w:cs="Arial"/>
          <w:sz w:val="22"/>
          <w:szCs w:val="22"/>
        </w:rPr>
      </w:pPr>
    </w:p>
    <w:p w14:paraId="1F202361" w14:textId="77777777" w:rsidR="001916FA" w:rsidRDefault="00000000" w:rsidP="006151B4">
      <w:pPr>
        <w:spacing w:after="0" w:line="240" w:lineRule="auto"/>
        <w:ind w:left="180" w:hanging="38"/>
        <w:jc w:val="both"/>
        <w:rPr>
          <w:rFonts w:ascii="Arial" w:eastAsia="Arial" w:hAnsi="Arial" w:cs="Arial"/>
          <w:sz w:val="22"/>
          <w:szCs w:val="22"/>
        </w:rPr>
      </w:pPr>
      <w:r>
        <w:rPr>
          <w:rFonts w:ascii="Arial" w:eastAsia="Arial" w:hAnsi="Arial" w:cs="Arial"/>
          <w:sz w:val="22"/>
          <w:szCs w:val="22"/>
        </w:rPr>
        <w:t>Ministerio de Energía y Minas. 2024. Estudio de Impacto Ambiental del proyecto minero “Las Bambas”. Plataforma del Estado Peruano, p. 1–200.</w:t>
      </w:r>
    </w:p>
    <w:p w14:paraId="2EFA01CD" w14:textId="77777777" w:rsidR="001916FA" w:rsidRDefault="001916FA">
      <w:pPr>
        <w:spacing w:after="0" w:line="240" w:lineRule="auto"/>
        <w:ind w:left="142"/>
        <w:jc w:val="both"/>
        <w:rPr>
          <w:rFonts w:ascii="Arial" w:eastAsia="Arial" w:hAnsi="Arial" w:cs="Arial"/>
          <w:sz w:val="22"/>
          <w:szCs w:val="22"/>
        </w:rPr>
      </w:pPr>
    </w:p>
    <w:p w14:paraId="4823ECD7" w14:textId="77777777" w:rsidR="001916FA" w:rsidRDefault="00000000">
      <w:pPr>
        <w:spacing w:after="0" w:line="240" w:lineRule="auto"/>
        <w:ind w:left="142"/>
        <w:jc w:val="both"/>
        <w:rPr>
          <w:rFonts w:ascii="Arial" w:eastAsia="Arial" w:hAnsi="Arial" w:cs="Arial"/>
          <w:sz w:val="22"/>
          <w:szCs w:val="22"/>
        </w:rPr>
      </w:pPr>
      <w:r>
        <w:rPr>
          <w:rFonts w:ascii="Arial" w:eastAsia="Arial" w:hAnsi="Arial" w:cs="Arial"/>
          <w:sz w:val="22"/>
          <w:szCs w:val="22"/>
        </w:rPr>
        <w:t>SNC-</w:t>
      </w:r>
      <w:proofErr w:type="spellStart"/>
      <w:r>
        <w:rPr>
          <w:rFonts w:ascii="Arial" w:eastAsia="Arial" w:hAnsi="Arial" w:cs="Arial"/>
          <w:sz w:val="22"/>
          <w:szCs w:val="22"/>
        </w:rPr>
        <w:t>Lavalin</w:t>
      </w:r>
      <w:proofErr w:type="spellEnd"/>
      <w:r>
        <w:rPr>
          <w:rFonts w:ascii="Arial" w:eastAsia="Arial" w:hAnsi="Arial" w:cs="Arial"/>
          <w:sz w:val="22"/>
          <w:szCs w:val="22"/>
        </w:rPr>
        <w:t xml:space="preserve"> Perú. 2016. Resumen Ejecutivo de la Tercera Modificación del Estudio de Impacto Ambiental de la Unidad Minera Las Bambas. SENACE, p. 1–50.</w:t>
      </w:r>
    </w:p>
    <w:p w14:paraId="2541C601" w14:textId="77777777" w:rsidR="001916FA" w:rsidRDefault="001916FA">
      <w:pPr>
        <w:spacing w:after="0" w:line="240" w:lineRule="auto"/>
        <w:ind w:left="142"/>
        <w:jc w:val="both"/>
        <w:rPr>
          <w:rFonts w:ascii="Arial" w:eastAsia="Arial" w:hAnsi="Arial" w:cs="Arial"/>
          <w:sz w:val="22"/>
          <w:szCs w:val="22"/>
        </w:rPr>
      </w:pPr>
    </w:p>
    <w:p w14:paraId="6755DC4B" w14:textId="77777777" w:rsidR="001916FA" w:rsidRDefault="00000000">
      <w:pPr>
        <w:spacing w:after="0" w:line="240" w:lineRule="auto"/>
        <w:ind w:left="142"/>
        <w:jc w:val="both"/>
        <w:rPr>
          <w:rFonts w:ascii="Arial" w:eastAsia="Arial" w:hAnsi="Arial" w:cs="Arial"/>
          <w:sz w:val="22"/>
          <w:szCs w:val="22"/>
        </w:rPr>
      </w:pPr>
      <w:r>
        <w:rPr>
          <w:rFonts w:ascii="Arial" w:eastAsia="Arial" w:hAnsi="Arial" w:cs="Arial"/>
          <w:sz w:val="22"/>
          <w:szCs w:val="22"/>
        </w:rPr>
        <w:t xml:space="preserve">Ayres, D., Zamora, L., </w:t>
      </w:r>
      <w:proofErr w:type="spellStart"/>
      <w:r>
        <w:rPr>
          <w:rFonts w:ascii="Arial" w:eastAsia="Arial" w:hAnsi="Arial" w:cs="Arial"/>
          <w:sz w:val="22"/>
          <w:szCs w:val="22"/>
        </w:rPr>
        <w:t>Roesch</w:t>
      </w:r>
      <w:proofErr w:type="spellEnd"/>
      <w:r>
        <w:rPr>
          <w:rFonts w:ascii="Arial" w:eastAsia="Arial" w:hAnsi="Arial" w:cs="Arial"/>
          <w:sz w:val="22"/>
          <w:szCs w:val="22"/>
        </w:rPr>
        <w:t xml:space="preserve">, R., </w:t>
      </w:r>
      <w:proofErr w:type="spellStart"/>
      <w:r>
        <w:rPr>
          <w:rFonts w:ascii="Arial" w:eastAsia="Arial" w:hAnsi="Arial" w:cs="Arial"/>
          <w:sz w:val="22"/>
          <w:szCs w:val="22"/>
        </w:rPr>
        <w:t>Constantinescu</w:t>
      </w:r>
      <w:proofErr w:type="spellEnd"/>
      <w:r>
        <w:rPr>
          <w:rFonts w:ascii="Arial" w:eastAsia="Arial" w:hAnsi="Arial" w:cs="Arial"/>
          <w:sz w:val="22"/>
          <w:szCs w:val="22"/>
        </w:rPr>
        <w:t>, N. 2024. Costos de generación de energías renovables en 2023. Agencia Internacional de Energías Renovables (IRENA), v. 2024, p. 1–40.</w:t>
      </w:r>
    </w:p>
    <w:p w14:paraId="63F11178" w14:textId="77777777" w:rsidR="001916FA" w:rsidRDefault="001916FA">
      <w:pPr>
        <w:spacing w:after="0" w:line="240" w:lineRule="auto"/>
        <w:ind w:left="142"/>
        <w:jc w:val="both"/>
        <w:rPr>
          <w:rFonts w:ascii="Arial" w:eastAsia="Arial" w:hAnsi="Arial" w:cs="Arial"/>
          <w:sz w:val="22"/>
          <w:szCs w:val="22"/>
        </w:rPr>
      </w:pPr>
    </w:p>
    <w:p w14:paraId="32381BD6" w14:textId="77777777" w:rsidR="001916FA" w:rsidRPr="006151B4" w:rsidRDefault="00000000">
      <w:pPr>
        <w:spacing w:after="0" w:line="240" w:lineRule="auto"/>
        <w:ind w:left="142"/>
        <w:jc w:val="both"/>
        <w:rPr>
          <w:rFonts w:ascii="Arial" w:eastAsia="Arial" w:hAnsi="Arial" w:cs="Arial"/>
          <w:sz w:val="22"/>
          <w:szCs w:val="22"/>
          <w:lang w:val="en-US"/>
        </w:rPr>
      </w:pPr>
      <w:r>
        <w:rPr>
          <w:rFonts w:ascii="Arial" w:eastAsia="Arial" w:hAnsi="Arial" w:cs="Arial"/>
          <w:sz w:val="22"/>
          <w:szCs w:val="22"/>
        </w:rPr>
        <w:t xml:space="preserve">International </w:t>
      </w:r>
      <w:proofErr w:type="spellStart"/>
      <w:r>
        <w:rPr>
          <w:rFonts w:ascii="Arial" w:eastAsia="Arial" w:hAnsi="Arial" w:cs="Arial"/>
          <w:sz w:val="22"/>
          <w:szCs w:val="22"/>
        </w:rPr>
        <w:t>Atomic</w:t>
      </w:r>
      <w:proofErr w:type="spellEnd"/>
      <w:r>
        <w:rPr>
          <w:rFonts w:ascii="Arial" w:eastAsia="Arial" w:hAnsi="Arial" w:cs="Arial"/>
          <w:sz w:val="22"/>
          <w:szCs w:val="22"/>
        </w:rPr>
        <w:t xml:space="preserve"> Energy Agency (IAEA). </w:t>
      </w:r>
      <w:r w:rsidRPr="006151B4">
        <w:rPr>
          <w:rFonts w:ascii="Arial" w:eastAsia="Arial" w:hAnsi="Arial" w:cs="Arial"/>
          <w:sz w:val="22"/>
          <w:szCs w:val="22"/>
          <w:lang w:val="en-US"/>
        </w:rPr>
        <w:t xml:space="preserve">2025. Small Modular Reactors (SMR). IAEA, </w:t>
      </w:r>
      <w:proofErr w:type="spellStart"/>
      <w:r w:rsidRPr="006151B4">
        <w:rPr>
          <w:rFonts w:ascii="Arial" w:eastAsia="Arial" w:hAnsi="Arial" w:cs="Arial"/>
          <w:sz w:val="22"/>
          <w:szCs w:val="22"/>
          <w:lang w:val="en-US"/>
        </w:rPr>
        <w:t>plataforma</w:t>
      </w:r>
      <w:proofErr w:type="spellEnd"/>
      <w:r w:rsidRPr="006151B4">
        <w:rPr>
          <w:rFonts w:ascii="Arial" w:eastAsia="Arial" w:hAnsi="Arial" w:cs="Arial"/>
          <w:sz w:val="22"/>
          <w:szCs w:val="22"/>
          <w:lang w:val="en-US"/>
        </w:rPr>
        <w:t xml:space="preserve"> </w:t>
      </w:r>
      <w:proofErr w:type="spellStart"/>
      <w:r w:rsidRPr="006151B4">
        <w:rPr>
          <w:rFonts w:ascii="Arial" w:eastAsia="Arial" w:hAnsi="Arial" w:cs="Arial"/>
          <w:sz w:val="22"/>
          <w:szCs w:val="22"/>
          <w:lang w:val="en-US"/>
        </w:rPr>
        <w:t>técnica</w:t>
      </w:r>
      <w:proofErr w:type="spellEnd"/>
      <w:r w:rsidRPr="006151B4">
        <w:rPr>
          <w:rFonts w:ascii="Arial" w:eastAsia="Arial" w:hAnsi="Arial" w:cs="Arial"/>
          <w:sz w:val="22"/>
          <w:szCs w:val="22"/>
          <w:lang w:val="en-US"/>
        </w:rPr>
        <w:t>, p. 1–20.</w:t>
      </w:r>
    </w:p>
    <w:p w14:paraId="2D90A228" w14:textId="77777777" w:rsidR="001916FA" w:rsidRPr="006151B4" w:rsidRDefault="001916FA">
      <w:pPr>
        <w:spacing w:after="0" w:line="240" w:lineRule="auto"/>
        <w:ind w:left="142"/>
        <w:jc w:val="both"/>
        <w:rPr>
          <w:rFonts w:ascii="Arial" w:eastAsia="Arial" w:hAnsi="Arial" w:cs="Arial"/>
          <w:sz w:val="22"/>
          <w:szCs w:val="22"/>
          <w:lang w:val="en-US"/>
        </w:rPr>
      </w:pPr>
    </w:p>
    <w:p w14:paraId="20A9A1F7" w14:textId="77777777" w:rsidR="001916FA" w:rsidRPr="00AD6AD6" w:rsidRDefault="00000000">
      <w:pPr>
        <w:spacing w:after="0" w:line="240" w:lineRule="auto"/>
        <w:ind w:left="142"/>
        <w:jc w:val="both"/>
        <w:rPr>
          <w:rFonts w:ascii="Arial" w:eastAsia="Arial" w:hAnsi="Arial" w:cs="Arial"/>
          <w:sz w:val="22"/>
          <w:szCs w:val="22"/>
          <w:lang w:val="en-US"/>
        </w:rPr>
      </w:pPr>
      <w:r w:rsidRPr="00AD6AD6">
        <w:rPr>
          <w:rFonts w:ascii="Arial" w:eastAsia="Arial" w:hAnsi="Arial" w:cs="Arial"/>
          <w:sz w:val="22"/>
          <w:szCs w:val="22"/>
          <w:lang w:val="en-US"/>
        </w:rPr>
        <w:t>Natural Resources Canada. 2022. S Call to Action: A Canadian Roadmap for Small Modular Reactors. Government of Canada, p. 1-50.</w:t>
      </w:r>
    </w:p>
    <w:p w14:paraId="26B73482" w14:textId="77777777" w:rsidR="001916FA" w:rsidRPr="00AD6AD6" w:rsidRDefault="001916FA">
      <w:pPr>
        <w:spacing w:after="0" w:line="240" w:lineRule="auto"/>
        <w:ind w:left="142"/>
        <w:jc w:val="both"/>
        <w:rPr>
          <w:rFonts w:ascii="Arial" w:eastAsia="Arial" w:hAnsi="Arial" w:cs="Arial"/>
          <w:sz w:val="22"/>
          <w:szCs w:val="22"/>
          <w:lang w:val="en-US"/>
        </w:rPr>
      </w:pPr>
    </w:p>
    <w:p w14:paraId="5D662668" w14:textId="77777777" w:rsidR="001916FA" w:rsidRPr="00AD6AD6" w:rsidRDefault="00000000">
      <w:pPr>
        <w:spacing w:after="0" w:line="240" w:lineRule="auto"/>
        <w:ind w:left="142"/>
        <w:jc w:val="both"/>
        <w:rPr>
          <w:rFonts w:ascii="Arial" w:eastAsia="Arial" w:hAnsi="Arial" w:cs="Arial"/>
          <w:sz w:val="22"/>
          <w:szCs w:val="22"/>
          <w:lang w:val="en-US"/>
        </w:rPr>
      </w:pPr>
      <w:r w:rsidRPr="00AD6AD6">
        <w:rPr>
          <w:rFonts w:ascii="Arial" w:eastAsia="Arial" w:hAnsi="Arial" w:cs="Arial"/>
          <w:sz w:val="22"/>
          <w:szCs w:val="22"/>
          <w:lang w:val="en-US"/>
        </w:rPr>
        <w:t xml:space="preserve">Evans, A.S., Parks, J.M., Horowitz, S., Gilbert, L., Whalen, R. 2021. U.S. Domestic Small Modular Reactor Security by Design. Sandia National Laboratories, SAND2021-0768, p. 1–60. </w:t>
      </w:r>
    </w:p>
    <w:p w14:paraId="32DC530D" w14:textId="77777777" w:rsidR="001916FA" w:rsidRPr="00AD6AD6" w:rsidRDefault="001916FA">
      <w:pPr>
        <w:spacing w:after="0" w:line="240" w:lineRule="auto"/>
        <w:ind w:left="142"/>
        <w:jc w:val="both"/>
        <w:rPr>
          <w:rFonts w:ascii="Arial" w:eastAsia="Arial" w:hAnsi="Arial" w:cs="Arial"/>
          <w:sz w:val="22"/>
          <w:szCs w:val="22"/>
          <w:lang w:val="en-US"/>
        </w:rPr>
      </w:pPr>
    </w:p>
    <w:p w14:paraId="496AE972" w14:textId="77777777" w:rsidR="001916FA" w:rsidRDefault="00000000">
      <w:pPr>
        <w:pBdr>
          <w:top w:val="nil"/>
          <w:left w:val="nil"/>
          <w:bottom w:val="nil"/>
          <w:right w:val="nil"/>
          <w:between w:val="nil"/>
        </w:pBdr>
        <w:spacing w:after="0" w:line="240" w:lineRule="auto"/>
        <w:ind w:left="142" w:hanging="142"/>
        <w:jc w:val="both"/>
        <w:rPr>
          <w:rFonts w:ascii="Arial" w:eastAsia="Arial" w:hAnsi="Arial" w:cs="Arial"/>
          <w:sz w:val="22"/>
          <w:szCs w:val="22"/>
        </w:rPr>
      </w:pPr>
      <w:r>
        <w:rPr>
          <w:rFonts w:ascii="Arial" w:eastAsia="Arial" w:hAnsi="Arial" w:cs="Arial"/>
          <w:sz w:val="22"/>
          <w:szCs w:val="22"/>
        </w:rPr>
        <w:t xml:space="preserve">COES – Comité de Operación Económica del Sistema Interconectado Nacional. 2025. Generación por tipo de fuente primaria – Reporte diario del 16 de julio de 2025. Disponible en: </w:t>
      </w:r>
      <w:hyperlink r:id="rId13">
        <w:r w:rsidR="001916FA">
          <w:rPr>
            <w:rFonts w:ascii="Arial" w:eastAsia="Arial" w:hAnsi="Arial" w:cs="Arial"/>
            <w:color w:val="1155CC"/>
            <w:sz w:val="22"/>
            <w:szCs w:val="22"/>
            <w:u w:val="single"/>
          </w:rPr>
          <w:t>https://www.coes.org.pe/Portal/portalinformacion/generacion</w:t>
        </w:r>
      </w:hyperlink>
    </w:p>
    <w:p w14:paraId="258A9E72" w14:textId="77777777" w:rsidR="001916FA" w:rsidRDefault="001916FA">
      <w:pPr>
        <w:pBdr>
          <w:top w:val="nil"/>
          <w:left w:val="nil"/>
          <w:bottom w:val="nil"/>
          <w:right w:val="nil"/>
          <w:between w:val="nil"/>
        </w:pBdr>
        <w:spacing w:after="0" w:line="240" w:lineRule="auto"/>
        <w:ind w:left="142" w:hanging="142"/>
        <w:jc w:val="both"/>
        <w:rPr>
          <w:rFonts w:ascii="Arial" w:eastAsia="Arial" w:hAnsi="Arial" w:cs="Arial"/>
          <w:sz w:val="22"/>
          <w:szCs w:val="22"/>
        </w:rPr>
      </w:pPr>
    </w:p>
    <w:p w14:paraId="51ED41B2" w14:textId="77777777" w:rsidR="001916FA" w:rsidRPr="006151B4" w:rsidRDefault="00000000">
      <w:pPr>
        <w:pBdr>
          <w:top w:val="nil"/>
          <w:left w:val="nil"/>
          <w:bottom w:val="nil"/>
          <w:right w:val="nil"/>
          <w:between w:val="nil"/>
        </w:pBdr>
        <w:spacing w:after="0" w:line="240" w:lineRule="auto"/>
        <w:ind w:left="142" w:hanging="142"/>
        <w:jc w:val="both"/>
        <w:rPr>
          <w:rFonts w:ascii="Arial" w:eastAsia="Arial" w:hAnsi="Arial" w:cs="Arial"/>
          <w:sz w:val="22"/>
          <w:szCs w:val="22"/>
        </w:rPr>
      </w:pPr>
      <w:r>
        <w:rPr>
          <w:rFonts w:ascii="Arial" w:eastAsia="Arial" w:hAnsi="Arial" w:cs="Arial"/>
          <w:sz w:val="22"/>
          <w:szCs w:val="22"/>
        </w:rPr>
        <w:t xml:space="preserve">International Energy Agency (IEA). 2022. </w:t>
      </w:r>
      <w:r w:rsidRPr="00AD6AD6">
        <w:rPr>
          <w:rFonts w:ascii="Arial" w:eastAsia="Arial" w:hAnsi="Arial" w:cs="Arial"/>
          <w:i/>
          <w:sz w:val="22"/>
          <w:szCs w:val="22"/>
          <w:lang w:val="en-US"/>
        </w:rPr>
        <w:t>World Energy Outlook 2022</w:t>
      </w:r>
      <w:r w:rsidRPr="00AD6AD6">
        <w:rPr>
          <w:rFonts w:ascii="Arial" w:eastAsia="Arial" w:hAnsi="Arial" w:cs="Arial"/>
          <w:sz w:val="22"/>
          <w:szCs w:val="22"/>
          <w:lang w:val="en-US"/>
        </w:rPr>
        <w:t xml:space="preserve">. </w:t>
      </w:r>
      <w:r w:rsidRPr="006151B4">
        <w:rPr>
          <w:rFonts w:ascii="Arial" w:eastAsia="Arial" w:hAnsi="Arial" w:cs="Arial"/>
          <w:sz w:val="22"/>
          <w:szCs w:val="22"/>
        </w:rPr>
        <w:t xml:space="preserve">Disponible en: </w:t>
      </w:r>
      <w:hyperlink r:id="rId14">
        <w:r w:rsidR="001916FA" w:rsidRPr="006151B4">
          <w:rPr>
            <w:rFonts w:ascii="Arial" w:eastAsia="Arial" w:hAnsi="Arial" w:cs="Arial"/>
            <w:color w:val="1155CC"/>
            <w:sz w:val="22"/>
            <w:szCs w:val="22"/>
            <w:u w:val="single"/>
          </w:rPr>
          <w:t>https://www.iea.org/reports/world-energy-outlook-2022</w:t>
        </w:r>
      </w:hyperlink>
    </w:p>
    <w:p w14:paraId="15FE320B" w14:textId="77777777" w:rsidR="001916FA" w:rsidRPr="006151B4" w:rsidRDefault="001916FA">
      <w:pPr>
        <w:pBdr>
          <w:top w:val="nil"/>
          <w:left w:val="nil"/>
          <w:bottom w:val="nil"/>
          <w:right w:val="nil"/>
          <w:between w:val="nil"/>
        </w:pBdr>
        <w:spacing w:after="0" w:line="240" w:lineRule="auto"/>
        <w:ind w:left="142" w:hanging="142"/>
        <w:jc w:val="both"/>
        <w:rPr>
          <w:rFonts w:ascii="Arial" w:eastAsia="Arial" w:hAnsi="Arial" w:cs="Arial"/>
          <w:sz w:val="22"/>
          <w:szCs w:val="22"/>
        </w:rPr>
      </w:pPr>
    </w:p>
    <w:p w14:paraId="53D28472" w14:textId="77777777" w:rsidR="001916FA" w:rsidRDefault="00000000">
      <w:pPr>
        <w:pBdr>
          <w:top w:val="nil"/>
          <w:left w:val="nil"/>
          <w:bottom w:val="nil"/>
          <w:right w:val="nil"/>
          <w:between w:val="nil"/>
        </w:pBdr>
        <w:spacing w:after="0" w:line="240" w:lineRule="auto"/>
        <w:ind w:left="142" w:hanging="142"/>
        <w:jc w:val="both"/>
        <w:rPr>
          <w:rFonts w:ascii="Arial" w:eastAsia="Arial" w:hAnsi="Arial" w:cs="Arial"/>
          <w:sz w:val="22"/>
          <w:szCs w:val="22"/>
        </w:rPr>
      </w:pPr>
      <w:r>
        <w:rPr>
          <w:rFonts w:ascii="Arial" w:eastAsia="Arial" w:hAnsi="Arial" w:cs="Arial"/>
          <w:sz w:val="22"/>
          <w:szCs w:val="22"/>
        </w:rPr>
        <w:t>Ministerio de Energía y Minas del Perú. Boletín Estadístico Minero – Primer Trimestre 2025. Dirección General de Promoción Minera.</w:t>
      </w:r>
    </w:p>
    <w:p w14:paraId="4E2FE8F2" w14:textId="77777777" w:rsidR="001916FA" w:rsidRDefault="001916FA">
      <w:pPr>
        <w:pBdr>
          <w:top w:val="nil"/>
          <w:left w:val="nil"/>
          <w:bottom w:val="nil"/>
          <w:right w:val="nil"/>
          <w:between w:val="nil"/>
        </w:pBdr>
        <w:spacing w:after="0" w:line="240" w:lineRule="auto"/>
        <w:ind w:left="142" w:hanging="142"/>
        <w:jc w:val="both"/>
        <w:rPr>
          <w:rFonts w:ascii="Arial" w:eastAsia="Arial" w:hAnsi="Arial" w:cs="Arial"/>
          <w:sz w:val="22"/>
          <w:szCs w:val="22"/>
        </w:rPr>
      </w:pPr>
    </w:p>
    <w:p w14:paraId="1F087C75" w14:textId="77777777" w:rsidR="001916FA" w:rsidRDefault="00000000">
      <w:pPr>
        <w:pBdr>
          <w:top w:val="nil"/>
          <w:left w:val="nil"/>
          <w:bottom w:val="nil"/>
          <w:right w:val="nil"/>
          <w:between w:val="nil"/>
        </w:pBdr>
        <w:spacing w:after="0" w:line="240" w:lineRule="auto"/>
        <w:ind w:left="142" w:hanging="142"/>
        <w:jc w:val="both"/>
        <w:rPr>
          <w:rFonts w:ascii="Arial" w:eastAsia="Arial" w:hAnsi="Arial" w:cs="Arial"/>
          <w:sz w:val="22"/>
          <w:szCs w:val="22"/>
        </w:rPr>
      </w:pPr>
      <w:r>
        <w:rPr>
          <w:rFonts w:ascii="Arial" w:eastAsia="Arial" w:hAnsi="Arial" w:cs="Arial"/>
          <w:sz w:val="22"/>
          <w:szCs w:val="22"/>
        </w:rPr>
        <w:t>Estela, J.A., Rodríguez, C., Zamora, T., Ching, A. 2021. Energías renovables en la minería del Perú [Informe], MINSUS, p. 8-23.</w:t>
      </w:r>
    </w:p>
    <w:p w14:paraId="239B679A" w14:textId="77777777" w:rsidR="001916FA" w:rsidRDefault="001916FA">
      <w:pPr>
        <w:pBdr>
          <w:top w:val="nil"/>
          <w:left w:val="nil"/>
          <w:bottom w:val="nil"/>
          <w:right w:val="nil"/>
          <w:between w:val="nil"/>
        </w:pBdr>
        <w:spacing w:after="0" w:line="240" w:lineRule="auto"/>
        <w:ind w:left="142" w:hanging="142"/>
        <w:jc w:val="both"/>
        <w:rPr>
          <w:rFonts w:ascii="Arial" w:eastAsia="Arial" w:hAnsi="Arial" w:cs="Arial"/>
          <w:sz w:val="22"/>
          <w:szCs w:val="22"/>
        </w:rPr>
      </w:pPr>
    </w:p>
    <w:p w14:paraId="1BE24348" w14:textId="77777777" w:rsidR="001916FA" w:rsidRDefault="00000000">
      <w:pPr>
        <w:pBdr>
          <w:top w:val="nil"/>
          <w:left w:val="nil"/>
          <w:bottom w:val="nil"/>
          <w:right w:val="nil"/>
          <w:between w:val="nil"/>
        </w:pBdr>
        <w:spacing w:after="0" w:line="240" w:lineRule="auto"/>
        <w:ind w:left="142" w:hanging="142"/>
        <w:jc w:val="both"/>
        <w:rPr>
          <w:rFonts w:ascii="Arial" w:eastAsia="Arial" w:hAnsi="Arial" w:cs="Arial"/>
          <w:sz w:val="22"/>
          <w:szCs w:val="22"/>
        </w:rPr>
      </w:pPr>
      <w:r w:rsidRPr="00AD6AD6">
        <w:rPr>
          <w:rFonts w:ascii="Arial" w:eastAsia="Arial" w:hAnsi="Arial" w:cs="Arial"/>
          <w:sz w:val="22"/>
          <w:szCs w:val="22"/>
          <w:lang w:val="en-US"/>
        </w:rPr>
        <w:t xml:space="preserve">NEA 2024, SMRs for Mining: Opportunities and Challenges for Small Modular Reactors, OECD, p. 31-43. </w:t>
      </w:r>
      <w:r>
        <w:rPr>
          <w:rFonts w:ascii="Arial" w:eastAsia="Arial" w:hAnsi="Arial" w:cs="Arial"/>
          <w:sz w:val="22"/>
          <w:szCs w:val="22"/>
        </w:rPr>
        <w:t xml:space="preserve">Disponible en: </w:t>
      </w:r>
      <w:hyperlink r:id="rId15">
        <w:r w:rsidR="001916FA">
          <w:rPr>
            <w:rFonts w:ascii="Arial" w:eastAsia="Arial" w:hAnsi="Arial" w:cs="Arial"/>
            <w:color w:val="1155CC"/>
            <w:sz w:val="22"/>
            <w:szCs w:val="22"/>
            <w:u w:val="single"/>
          </w:rPr>
          <w:t>www.oecd-nea.org/pub</w:t>
        </w:r>
      </w:hyperlink>
    </w:p>
    <w:p w14:paraId="523BEDCF" w14:textId="77777777" w:rsidR="001916FA" w:rsidRDefault="001916FA">
      <w:pPr>
        <w:pBdr>
          <w:top w:val="nil"/>
          <w:left w:val="nil"/>
          <w:bottom w:val="nil"/>
          <w:right w:val="nil"/>
          <w:between w:val="nil"/>
        </w:pBdr>
        <w:spacing w:after="0" w:line="240" w:lineRule="auto"/>
        <w:jc w:val="both"/>
        <w:rPr>
          <w:rFonts w:ascii="Arial" w:eastAsia="Arial" w:hAnsi="Arial" w:cs="Arial"/>
          <w:sz w:val="22"/>
          <w:szCs w:val="22"/>
        </w:rPr>
      </w:pPr>
    </w:p>
    <w:p w14:paraId="601EF111" w14:textId="77777777" w:rsidR="001916FA" w:rsidRDefault="001916FA">
      <w:pPr>
        <w:pBdr>
          <w:top w:val="nil"/>
          <w:left w:val="nil"/>
          <w:bottom w:val="nil"/>
          <w:right w:val="nil"/>
          <w:between w:val="nil"/>
        </w:pBdr>
        <w:spacing w:after="0" w:line="240" w:lineRule="auto"/>
        <w:jc w:val="both"/>
        <w:rPr>
          <w:rFonts w:ascii="Arial" w:eastAsia="Arial" w:hAnsi="Arial" w:cs="Arial"/>
          <w:sz w:val="22"/>
          <w:szCs w:val="22"/>
        </w:rPr>
      </w:pPr>
    </w:p>
    <w:p w14:paraId="1E131556" w14:textId="77777777" w:rsidR="001916FA" w:rsidRDefault="00000000">
      <w:pPr>
        <w:pBdr>
          <w:top w:val="nil"/>
          <w:left w:val="nil"/>
          <w:bottom w:val="nil"/>
          <w:right w:val="nil"/>
          <w:between w:val="nil"/>
        </w:pBdr>
        <w:spacing w:after="0" w:line="240" w:lineRule="auto"/>
        <w:ind w:left="142" w:hanging="142"/>
        <w:jc w:val="both"/>
        <w:rPr>
          <w:rFonts w:ascii="Arial" w:eastAsia="Arial" w:hAnsi="Arial" w:cs="Arial"/>
          <w:sz w:val="22"/>
          <w:szCs w:val="22"/>
        </w:rPr>
      </w:pPr>
      <w:r>
        <w:rPr>
          <w:rFonts w:ascii="Arial" w:eastAsia="Arial" w:hAnsi="Arial" w:cs="Arial"/>
          <w:sz w:val="22"/>
          <w:szCs w:val="22"/>
        </w:rPr>
        <w:t>Bedón, C. 2016. Libro Las Bambas. Minera Las Bamba. No. 2016-10738, p. 21.</w:t>
      </w:r>
    </w:p>
    <w:p w14:paraId="5D2636E4" w14:textId="77777777" w:rsidR="001916FA" w:rsidRDefault="001916FA">
      <w:pPr>
        <w:pBdr>
          <w:top w:val="nil"/>
          <w:left w:val="nil"/>
          <w:bottom w:val="nil"/>
          <w:right w:val="nil"/>
          <w:between w:val="nil"/>
        </w:pBdr>
        <w:spacing w:after="0" w:line="240" w:lineRule="auto"/>
        <w:ind w:left="142" w:hanging="142"/>
        <w:jc w:val="both"/>
        <w:rPr>
          <w:rFonts w:ascii="Arial" w:eastAsia="Arial" w:hAnsi="Arial" w:cs="Arial"/>
          <w:sz w:val="22"/>
          <w:szCs w:val="22"/>
        </w:rPr>
      </w:pPr>
    </w:p>
    <w:p w14:paraId="1E14C0F1" w14:textId="77777777" w:rsidR="001916FA" w:rsidRPr="00AD6AD6" w:rsidRDefault="00000000">
      <w:pPr>
        <w:spacing w:after="0" w:line="240" w:lineRule="auto"/>
        <w:jc w:val="both"/>
        <w:rPr>
          <w:rFonts w:ascii="Arial" w:eastAsia="Arial" w:hAnsi="Arial" w:cs="Arial"/>
          <w:sz w:val="22"/>
          <w:szCs w:val="22"/>
          <w:lang w:val="en-US"/>
        </w:rPr>
      </w:pPr>
      <w:r w:rsidRPr="00AD6AD6">
        <w:rPr>
          <w:rFonts w:ascii="Arial" w:eastAsia="Arial" w:hAnsi="Arial" w:cs="Arial"/>
          <w:sz w:val="22"/>
          <w:szCs w:val="22"/>
          <w:lang w:val="en-US"/>
        </w:rPr>
        <w:t xml:space="preserve">Allen, M. 2021. Mining Energy Consumption 2021 [Informe]. </w:t>
      </w:r>
      <w:proofErr w:type="spellStart"/>
      <w:r w:rsidRPr="00AD6AD6">
        <w:rPr>
          <w:rFonts w:ascii="Arial" w:eastAsia="Arial" w:hAnsi="Arial" w:cs="Arial"/>
          <w:sz w:val="22"/>
          <w:szCs w:val="22"/>
          <w:lang w:val="en-US"/>
        </w:rPr>
        <w:t>Engeco</w:t>
      </w:r>
      <w:proofErr w:type="spellEnd"/>
      <w:r w:rsidRPr="00AD6AD6">
        <w:rPr>
          <w:rFonts w:ascii="Arial" w:eastAsia="Arial" w:hAnsi="Arial" w:cs="Arial"/>
          <w:sz w:val="22"/>
          <w:szCs w:val="22"/>
          <w:lang w:val="en-US"/>
        </w:rPr>
        <w:t xml:space="preserve"> &amp; The Weir Group PLC. p. 1 - 26 </w:t>
      </w:r>
    </w:p>
    <w:p w14:paraId="1D3A978C" w14:textId="77777777" w:rsidR="001916FA" w:rsidRPr="00AD6AD6" w:rsidRDefault="001916FA">
      <w:pPr>
        <w:spacing w:after="0" w:line="240" w:lineRule="auto"/>
        <w:jc w:val="both"/>
        <w:rPr>
          <w:rFonts w:ascii="Arial" w:eastAsia="Arial" w:hAnsi="Arial" w:cs="Arial"/>
          <w:sz w:val="22"/>
          <w:szCs w:val="22"/>
          <w:lang w:val="en-US"/>
        </w:rPr>
      </w:pPr>
    </w:p>
    <w:p w14:paraId="6BD49FF6"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 xml:space="preserve">Perú Petro. 2023. Indicadores de ecoeficiencia. Reporte de consumo de energía. Perú </w:t>
      </w:r>
      <w:proofErr w:type="spellStart"/>
      <w:r>
        <w:rPr>
          <w:rFonts w:ascii="Arial" w:eastAsia="Arial" w:hAnsi="Arial" w:cs="Arial"/>
          <w:sz w:val="22"/>
          <w:szCs w:val="22"/>
        </w:rPr>
        <w:t>Petró</w:t>
      </w:r>
      <w:proofErr w:type="spellEnd"/>
      <w:r>
        <w:rPr>
          <w:rFonts w:ascii="Arial" w:eastAsia="Arial" w:hAnsi="Arial" w:cs="Arial"/>
          <w:sz w:val="22"/>
          <w:szCs w:val="22"/>
        </w:rPr>
        <w:t xml:space="preserve">. Disponible en:    </w:t>
      </w:r>
      <w:hyperlink r:id="rId16">
        <w:r w:rsidR="001916FA">
          <w:rPr>
            <w:rFonts w:ascii="Arial" w:eastAsia="Arial" w:hAnsi="Arial" w:cs="Arial"/>
            <w:color w:val="1155CC"/>
            <w:sz w:val="22"/>
            <w:szCs w:val="22"/>
            <w:u w:val="single"/>
          </w:rPr>
          <w:t>https://www.perupetro.com.pe/wps/wcm/connect/corporativo</w:t>
        </w:r>
      </w:hyperlink>
    </w:p>
    <w:p w14:paraId="570992DB" w14:textId="77777777" w:rsidR="001916FA" w:rsidRDefault="00000000">
      <w:pPr>
        <w:spacing w:after="0" w:line="240" w:lineRule="auto"/>
        <w:jc w:val="both"/>
        <w:rPr>
          <w:rFonts w:ascii="Arial" w:eastAsia="Arial" w:hAnsi="Arial" w:cs="Arial"/>
          <w:sz w:val="22"/>
          <w:szCs w:val="22"/>
        </w:rPr>
      </w:pPr>
      <w:r>
        <w:rPr>
          <w:rFonts w:ascii="Arial" w:eastAsia="Arial" w:hAnsi="Arial" w:cs="Arial"/>
          <w:sz w:val="22"/>
          <w:szCs w:val="22"/>
        </w:rPr>
        <w:t xml:space="preserve">                                                                                                                                    </w:t>
      </w:r>
    </w:p>
    <w:p w14:paraId="77530049" w14:textId="77777777" w:rsidR="001916FA" w:rsidRDefault="001916FA">
      <w:pPr>
        <w:pBdr>
          <w:top w:val="nil"/>
          <w:left w:val="nil"/>
          <w:bottom w:val="nil"/>
          <w:right w:val="nil"/>
          <w:between w:val="nil"/>
        </w:pBdr>
        <w:spacing w:after="0" w:line="240" w:lineRule="auto"/>
        <w:ind w:left="142" w:hanging="142"/>
        <w:jc w:val="both"/>
        <w:rPr>
          <w:rFonts w:ascii="Arial" w:eastAsia="Arial" w:hAnsi="Arial" w:cs="Arial"/>
          <w:b/>
          <w:sz w:val="22"/>
          <w:szCs w:val="22"/>
        </w:rPr>
      </w:pPr>
    </w:p>
    <w:p w14:paraId="463EFA3D" w14:textId="77777777" w:rsidR="001916FA" w:rsidRPr="005D4844" w:rsidRDefault="00000000">
      <w:pPr>
        <w:widowControl w:val="0"/>
        <w:spacing w:after="0" w:line="240" w:lineRule="auto"/>
        <w:rPr>
          <w:rFonts w:ascii="Arial" w:eastAsia="Arial" w:hAnsi="Arial" w:cs="Arial"/>
          <w:b/>
          <w:bCs/>
          <w:sz w:val="22"/>
          <w:szCs w:val="22"/>
        </w:rPr>
      </w:pPr>
      <w:r w:rsidRPr="005D4844">
        <w:rPr>
          <w:rFonts w:ascii="Arial" w:eastAsia="Arial" w:hAnsi="Arial" w:cs="Arial"/>
          <w:b/>
          <w:bCs/>
          <w:sz w:val="22"/>
          <w:szCs w:val="22"/>
        </w:rPr>
        <w:t>Brian David Pajares Correa (Autor)</w:t>
      </w:r>
    </w:p>
    <w:p w14:paraId="7912CA9A" w14:textId="77777777" w:rsidR="001916FA" w:rsidRDefault="001916FA">
      <w:pPr>
        <w:widowControl w:val="0"/>
        <w:spacing w:after="0" w:line="240" w:lineRule="auto"/>
        <w:rPr>
          <w:rFonts w:ascii="Arial" w:eastAsia="Arial" w:hAnsi="Arial" w:cs="Arial"/>
          <w:sz w:val="22"/>
          <w:szCs w:val="22"/>
        </w:rPr>
      </w:pPr>
    </w:p>
    <w:p w14:paraId="60F36AFB" w14:textId="77777777" w:rsidR="001916FA" w:rsidRDefault="00000000">
      <w:pPr>
        <w:jc w:val="both"/>
        <w:rPr>
          <w:rFonts w:ascii="Arial" w:eastAsia="Arial" w:hAnsi="Arial" w:cs="Arial"/>
          <w:sz w:val="22"/>
          <w:szCs w:val="22"/>
        </w:rPr>
      </w:pPr>
      <w:r>
        <w:rPr>
          <w:rFonts w:ascii="Arial" w:eastAsia="Arial" w:hAnsi="Arial" w:cs="Arial"/>
          <w:sz w:val="22"/>
          <w:szCs w:val="22"/>
        </w:rPr>
        <w:t xml:space="preserve">Ingeniero mecánico egresado de la Pontificia Universidad Católica del Perú (PUCP), con una trayectoria de más de 15 años liderando proyectos de innovación, automatización y transición energética en el sector minero e industrial. Posee un </w:t>
      </w:r>
      <w:r>
        <w:rPr>
          <w:rFonts w:ascii="Arial" w:eastAsia="Arial" w:hAnsi="Arial" w:cs="Arial"/>
          <w:b/>
          <w:sz w:val="22"/>
          <w:szCs w:val="22"/>
        </w:rPr>
        <w:t xml:space="preserve">Máster en Gestión de Proyectos por la </w:t>
      </w:r>
      <w:proofErr w:type="spellStart"/>
      <w:r>
        <w:rPr>
          <w:rFonts w:ascii="Arial" w:eastAsia="Arial" w:hAnsi="Arial" w:cs="Arial"/>
          <w:b/>
          <w:sz w:val="22"/>
          <w:szCs w:val="22"/>
        </w:rPr>
        <w:t>University</w:t>
      </w:r>
      <w:proofErr w:type="spellEnd"/>
      <w:r>
        <w:rPr>
          <w:rFonts w:ascii="Arial" w:eastAsia="Arial" w:hAnsi="Arial" w:cs="Arial"/>
          <w:b/>
          <w:sz w:val="22"/>
          <w:szCs w:val="22"/>
        </w:rPr>
        <w:t xml:space="preserve"> </w:t>
      </w:r>
      <w:proofErr w:type="spellStart"/>
      <w:r>
        <w:rPr>
          <w:rFonts w:ascii="Arial" w:eastAsia="Arial" w:hAnsi="Arial" w:cs="Arial"/>
          <w:b/>
          <w:sz w:val="22"/>
          <w:szCs w:val="22"/>
        </w:rPr>
        <w:t>of</w:t>
      </w:r>
      <w:proofErr w:type="spellEnd"/>
      <w:r>
        <w:rPr>
          <w:rFonts w:ascii="Arial" w:eastAsia="Arial" w:hAnsi="Arial" w:cs="Arial"/>
          <w:b/>
          <w:sz w:val="22"/>
          <w:szCs w:val="22"/>
        </w:rPr>
        <w:t xml:space="preserve"> Maryland (EE.UU.)</w:t>
      </w:r>
      <w:r>
        <w:rPr>
          <w:rFonts w:ascii="Arial" w:eastAsia="Arial" w:hAnsi="Arial" w:cs="Arial"/>
          <w:sz w:val="22"/>
          <w:szCs w:val="22"/>
        </w:rPr>
        <w:t xml:space="preserve">, especializado en cambio organizacional, y un </w:t>
      </w:r>
      <w:r>
        <w:rPr>
          <w:rFonts w:ascii="Arial" w:eastAsia="Arial" w:hAnsi="Arial" w:cs="Arial"/>
          <w:b/>
          <w:sz w:val="22"/>
          <w:szCs w:val="22"/>
        </w:rPr>
        <w:t xml:space="preserve">MBA por </w:t>
      </w:r>
      <w:proofErr w:type="spellStart"/>
      <w:r>
        <w:rPr>
          <w:rFonts w:ascii="Arial" w:eastAsia="Arial" w:hAnsi="Arial" w:cs="Arial"/>
          <w:b/>
          <w:sz w:val="22"/>
          <w:szCs w:val="22"/>
        </w:rPr>
        <w:t>Centrum</w:t>
      </w:r>
      <w:proofErr w:type="spellEnd"/>
      <w:r>
        <w:rPr>
          <w:rFonts w:ascii="Arial" w:eastAsia="Arial" w:hAnsi="Arial" w:cs="Arial"/>
          <w:b/>
          <w:sz w:val="22"/>
          <w:szCs w:val="22"/>
        </w:rPr>
        <w:t xml:space="preserve"> Católica</w:t>
      </w:r>
      <w:r>
        <w:rPr>
          <w:rFonts w:ascii="Arial" w:eastAsia="Arial" w:hAnsi="Arial" w:cs="Arial"/>
          <w:sz w:val="22"/>
          <w:szCs w:val="22"/>
        </w:rPr>
        <w:t xml:space="preserve">, con estudios en la </w:t>
      </w:r>
      <w:proofErr w:type="spellStart"/>
      <w:r>
        <w:rPr>
          <w:rFonts w:ascii="Arial" w:eastAsia="Arial" w:hAnsi="Arial" w:cs="Arial"/>
          <w:b/>
          <w:sz w:val="22"/>
          <w:szCs w:val="22"/>
        </w:rPr>
        <w:t>University</w:t>
      </w:r>
      <w:proofErr w:type="spellEnd"/>
      <w:r>
        <w:rPr>
          <w:rFonts w:ascii="Arial" w:eastAsia="Arial" w:hAnsi="Arial" w:cs="Arial"/>
          <w:b/>
          <w:sz w:val="22"/>
          <w:szCs w:val="22"/>
        </w:rPr>
        <w:t xml:space="preserve"> </w:t>
      </w:r>
      <w:proofErr w:type="spellStart"/>
      <w:r>
        <w:rPr>
          <w:rFonts w:ascii="Arial" w:eastAsia="Arial" w:hAnsi="Arial" w:cs="Arial"/>
          <w:b/>
          <w:sz w:val="22"/>
          <w:szCs w:val="22"/>
        </w:rPr>
        <w:t>of</w:t>
      </w:r>
      <w:proofErr w:type="spellEnd"/>
      <w:r>
        <w:rPr>
          <w:rFonts w:ascii="Arial" w:eastAsia="Arial" w:hAnsi="Arial" w:cs="Arial"/>
          <w:b/>
          <w:sz w:val="22"/>
          <w:szCs w:val="22"/>
        </w:rPr>
        <w:t xml:space="preserve"> Victoria (Canadá)</w:t>
      </w:r>
      <w:r>
        <w:rPr>
          <w:rFonts w:ascii="Arial" w:eastAsia="Arial" w:hAnsi="Arial" w:cs="Arial"/>
          <w:sz w:val="22"/>
          <w:szCs w:val="22"/>
        </w:rPr>
        <w:t xml:space="preserve"> y </w:t>
      </w:r>
      <w:r>
        <w:rPr>
          <w:rFonts w:ascii="Arial" w:eastAsia="Arial" w:hAnsi="Arial" w:cs="Arial"/>
          <w:b/>
          <w:sz w:val="22"/>
          <w:szCs w:val="22"/>
        </w:rPr>
        <w:t xml:space="preserve">Maastricht </w:t>
      </w:r>
      <w:proofErr w:type="spellStart"/>
      <w:r>
        <w:rPr>
          <w:rFonts w:ascii="Arial" w:eastAsia="Arial" w:hAnsi="Arial" w:cs="Arial"/>
          <w:b/>
          <w:sz w:val="22"/>
          <w:szCs w:val="22"/>
        </w:rPr>
        <w:t>University</w:t>
      </w:r>
      <w:proofErr w:type="spellEnd"/>
      <w:r>
        <w:rPr>
          <w:rFonts w:ascii="Arial" w:eastAsia="Arial" w:hAnsi="Arial" w:cs="Arial"/>
          <w:b/>
          <w:sz w:val="22"/>
          <w:szCs w:val="22"/>
        </w:rPr>
        <w:t xml:space="preserve"> (Holanda)</w:t>
      </w:r>
      <w:r>
        <w:rPr>
          <w:rFonts w:ascii="Arial" w:eastAsia="Arial" w:hAnsi="Arial" w:cs="Arial"/>
          <w:sz w:val="22"/>
          <w:szCs w:val="22"/>
        </w:rPr>
        <w:t>.</w:t>
      </w:r>
    </w:p>
    <w:p w14:paraId="755C14E5" w14:textId="77777777" w:rsidR="001916FA" w:rsidRDefault="00000000">
      <w:pPr>
        <w:jc w:val="both"/>
        <w:rPr>
          <w:rFonts w:ascii="Arial" w:eastAsia="Arial" w:hAnsi="Arial" w:cs="Arial"/>
          <w:sz w:val="22"/>
          <w:szCs w:val="22"/>
        </w:rPr>
      </w:pPr>
      <w:r>
        <w:rPr>
          <w:rFonts w:ascii="Arial" w:eastAsia="Arial" w:hAnsi="Arial" w:cs="Arial"/>
          <w:sz w:val="22"/>
          <w:szCs w:val="22"/>
        </w:rPr>
        <w:t xml:space="preserve">Su experiencia profesional incluye roles estratégicos como Ingeniero Senior de Proyectos de Tecnología en Antamina, Jefe de Innovación en Minas Buenaventura, y Jefe de Innovación en Sitech </w:t>
      </w:r>
      <w:proofErr w:type="spellStart"/>
      <w:r>
        <w:rPr>
          <w:rFonts w:ascii="Arial" w:eastAsia="Arial" w:hAnsi="Arial" w:cs="Arial"/>
          <w:sz w:val="22"/>
          <w:szCs w:val="22"/>
        </w:rPr>
        <w:t>Ferreycorp</w:t>
      </w:r>
      <w:proofErr w:type="spellEnd"/>
      <w:r>
        <w:rPr>
          <w:rFonts w:ascii="Arial" w:eastAsia="Arial" w:hAnsi="Arial" w:cs="Arial"/>
          <w:sz w:val="22"/>
          <w:szCs w:val="22"/>
        </w:rPr>
        <w:t xml:space="preserve">, donde ha dirigido la implementación de soluciones de alto impacto para el sector minero e industrias en general. Ha colaborado con consultoras de clase mundial como McKinsey, BCG y Quintil Valley, así como con </w:t>
      </w:r>
      <w:proofErr w:type="spellStart"/>
      <w:r>
        <w:rPr>
          <w:rFonts w:ascii="Arial" w:eastAsia="Arial" w:hAnsi="Arial" w:cs="Arial"/>
          <w:sz w:val="22"/>
          <w:szCs w:val="22"/>
        </w:rPr>
        <w:t>start</w:t>
      </w:r>
      <w:proofErr w:type="spellEnd"/>
      <w:r>
        <w:rPr>
          <w:rFonts w:ascii="Arial" w:eastAsia="Arial" w:hAnsi="Arial" w:cs="Arial"/>
          <w:sz w:val="22"/>
          <w:szCs w:val="22"/>
        </w:rPr>
        <w:t xml:space="preserve">-ups tecnológicas de alto crecimiento como </w:t>
      </w:r>
      <w:proofErr w:type="spellStart"/>
      <w:r>
        <w:rPr>
          <w:rFonts w:ascii="Arial" w:eastAsia="Arial" w:hAnsi="Arial" w:cs="Arial"/>
          <w:sz w:val="22"/>
          <w:szCs w:val="22"/>
        </w:rPr>
        <w:t>Space</w:t>
      </w:r>
      <w:proofErr w:type="spellEnd"/>
      <w:r>
        <w:rPr>
          <w:rFonts w:ascii="Arial" w:eastAsia="Arial" w:hAnsi="Arial" w:cs="Arial"/>
          <w:sz w:val="22"/>
          <w:szCs w:val="22"/>
        </w:rPr>
        <w:t xml:space="preserve"> AG.</w:t>
      </w:r>
    </w:p>
    <w:p w14:paraId="4E6213E3" w14:textId="0EE60EAA" w:rsidR="001916FA" w:rsidRDefault="00000000">
      <w:pPr>
        <w:jc w:val="both"/>
        <w:rPr>
          <w:rFonts w:ascii="Arial" w:eastAsia="Arial" w:hAnsi="Arial" w:cs="Arial"/>
          <w:sz w:val="22"/>
          <w:szCs w:val="22"/>
        </w:rPr>
      </w:pPr>
      <w:r>
        <w:rPr>
          <w:rFonts w:ascii="Arial" w:eastAsia="Arial" w:hAnsi="Arial" w:cs="Arial"/>
          <w:sz w:val="22"/>
          <w:szCs w:val="22"/>
        </w:rPr>
        <w:t xml:space="preserve">Brian es además especialista en tecnologías disruptivas aplicadas a minería, con certificaciones en Scrum Master, PMP, </w:t>
      </w:r>
      <w:proofErr w:type="spellStart"/>
      <w:r>
        <w:rPr>
          <w:rFonts w:ascii="Arial" w:eastAsia="Arial" w:hAnsi="Arial" w:cs="Arial"/>
          <w:sz w:val="22"/>
          <w:szCs w:val="22"/>
        </w:rPr>
        <w:t>Six</w:t>
      </w:r>
      <w:proofErr w:type="spellEnd"/>
      <w:r>
        <w:rPr>
          <w:rFonts w:ascii="Arial" w:eastAsia="Arial" w:hAnsi="Arial" w:cs="Arial"/>
          <w:sz w:val="22"/>
          <w:szCs w:val="22"/>
        </w:rPr>
        <w:t xml:space="preserve"> Sigma Black </w:t>
      </w:r>
      <w:proofErr w:type="spellStart"/>
      <w:r>
        <w:rPr>
          <w:rFonts w:ascii="Arial" w:eastAsia="Arial" w:hAnsi="Arial" w:cs="Arial"/>
          <w:sz w:val="22"/>
          <w:szCs w:val="22"/>
        </w:rPr>
        <w:t>Belt</w:t>
      </w:r>
      <w:proofErr w:type="spellEnd"/>
      <w:r>
        <w:rPr>
          <w:rFonts w:ascii="Arial" w:eastAsia="Arial" w:hAnsi="Arial" w:cs="Arial"/>
          <w:sz w:val="22"/>
          <w:szCs w:val="22"/>
        </w:rPr>
        <w:t xml:space="preserve"> y Machine </w:t>
      </w:r>
      <w:proofErr w:type="spellStart"/>
      <w:r>
        <w:rPr>
          <w:rFonts w:ascii="Arial" w:eastAsia="Arial" w:hAnsi="Arial" w:cs="Arial"/>
          <w:sz w:val="22"/>
          <w:szCs w:val="22"/>
        </w:rPr>
        <w:t>Learning</w:t>
      </w:r>
      <w:proofErr w:type="spellEnd"/>
      <w:r>
        <w:rPr>
          <w:rFonts w:ascii="Arial" w:eastAsia="Arial" w:hAnsi="Arial" w:cs="Arial"/>
          <w:sz w:val="22"/>
          <w:szCs w:val="22"/>
        </w:rPr>
        <w:t xml:space="preserve"> por el MIT. Actualmente impulsa proyectos relacionados con energía limpia y automatización inteligente, contribuyendo al posicionamiento del Perú como líder global en minería sostenible e innovación tecnológica. Su enfoque se basa en combinar rigor técnico con visión estratégica, proponiendo soluciones que reducen costos, aumentan productividad y mejoran la competitividad en mercados exigentes.</w:t>
      </w:r>
    </w:p>
    <w:p w14:paraId="12220C0B" w14:textId="77777777" w:rsidR="00AD6AD6" w:rsidRDefault="00AD6AD6" w:rsidP="005D4844">
      <w:pPr>
        <w:spacing w:after="0" w:line="240" w:lineRule="auto"/>
        <w:jc w:val="both"/>
        <w:rPr>
          <w:rFonts w:ascii="Arial" w:eastAsia="Arial" w:hAnsi="Arial" w:cs="Arial"/>
          <w:b/>
          <w:sz w:val="22"/>
          <w:szCs w:val="22"/>
        </w:rPr>
      </w:pPr>
      <w:proofErr w:type="spellStart"/>
      <w:r>
        <w:rPr>
          <w:rFonts w:ascii="Arial" w:eastAsia="Arial" w:hAnsi="Arial" w:cs="Arial"/>
          <w:b/>
          <w:sz w:val="22"/>
          <w:szCs w:val="22"/>
        </w:rPr>
        <w:t>Yennifer</w:t>
      </w:r>
      <w:proofErr w:type="spellEnd"/>
      <w:r>
        <w:rPr>
          <w:rFonts w:ascii="Arial" w:eastAsia="Arial" w:hAnsi="Arial" w:cs="Arial"/>
          <w:b/>
          <w:sz w:val="22"/>
          <w:szCs w:val="22"/>
        </w:rPr>
        <w:t xml:space="preserve"> Ramírez Candiotti</w:t>
      </w:r>
      <w:r>
        <w:rPr>
          <w:rFonts w:ascii="Arial" w:eastAsia="Arial" w:hAnsi="Arial" w:cs="Arial"/>
          <w:b/>
          <w:sz w:val="22"/>
          <w:szCs w:val="22"/>
          <w:vertAlign w:val="superscript"/>
        </w:rPr>
        <w:t xml:space="preserve"> </w:t>
      </w:r>
      <w:r>
        <w:rPr>
          <w:rFonts w:ascii="Arial" w:eastAsia="Arial" w:hAnsi="Arial" w:cs="Arial"/>
          <w:b/>
          <w:sz w:val="22"/>
          <w:szCs w:val="22"/>
        </w:rPr>
        <w:t xml:space="preserve">(Co autor) </w:t>
      </w:r>
    </w:p>
    <w:p w14:paraId="3C5A32E8" w14:textId="6B5FC977" w:rsidR="005D4844" w:rsidRDefault="005D4844" w:rsidP="005D4844">
      <w:pPr>
        <w:jc w:val="both"/>
        <w:rPr>
          <w:rFonts w:ascii="Arial" w:eastAsia="Arial" w:hAnsi="Arial" w:cs="Arial"/>
          <w:sz w:val="22"/>
          <w:szCs w:val="22"/>
        </w:rPr>
      </w:pPr>
      <w:r w:rsidRPr="005D4844">
        <w:rPr>
          <w:rFonts w:ascii="Arial" w:eastAsia="Arial" w:hAnsi="Arial" w:cs="Arial"/>
          <w:sz w:val="22"/>
          <w:szCs w:val="22"/>
        </w:rPr>
        <w:t>Egresada de Ingeniería Mecatrónica. Poseo sólidas habilidades de liderazgo y manejo de equipos con interés en la innovación y soluciones tecnológicas. Mi enfoque está en la gestión ágil de proyectos y diseño de producto. Destaco por mi capacidad para priorizar el valor del producto, gestionar backlog y trabajar con equipos multifuncionales para garantizar la entrega continua de soluciones estratégicas.</w:t>
      </w:r>
    </w:p>
    <w:p w14:paraId="13BAC5C9" w14:textId="072F10A5" w:rsidR="001916FA" w:rsidRDefault="00AD6AD6" w:rsidP="005D4844">
      <w:pPr>
        <w:spacing w:after="0" w:line="240" w:lineRule="auto"/>
        <w:jc w:val="both"/>
        <w:rPr>
          <w:rFonts w:ascii="Arial" w:eastAsia="Arial" w:hAnsi="Arial" w:cs="Arial"/>
          <w:b/>
          <w:sz w:val="22"/>
          <w:szCs w:val="22"/>
        </w:rPr>
      </w:pPr>
      <w:r w:rsidRPr="00AD6AD6">
        <w:rPr>
          <w:rFonts w:ascii="Arial" w:eastAsia="Arial" w:hAnsi="Arial" w:cs="Arial"/>
          <w:b/>
          <w:sz w:val="22"/>
          <w:szCs w:val="22"/>
        </w:rPr>
        <w:t xml:space="preserve">Maria Taipe </w:t>
      </w:r>
      <w:proofErr w:type="spellStart"/>
      <w:r w:rsidRPr="00AD6AD6">
        <w:rPr>
          <w:rFonts w:ascii="Arial" w:eastAsia="Arial" w:hAnsi="Arial" w:cs="Arial"/>
          <w:b/>
          <w:sz w:val="22"/>
          <w:szCs w:val="22"/>
        </w:rPr>
        <w:t>Ricse</w:t>
      </w:r>
      <w:proofErr w:type="spellEnd"/>
      <w:r w:rsidRPr="00AD6AD6">
        <w:rPr>
          <w:rFonts w:ascii="Arial" w:eastAsia="Arial" w:hAnsi="Arial" w:cs="Arial"/>
          <w:b/>
          <w:sz w:val="22"/>
          <w:szCs w:val="22"/>
          <w:vertAlign w:val="superscript"/>
        </w:rPr>
        <w:t xml:space="preserve"> </w:t>
      </w:r>
      <w:r w:rsidRPr="00AD6AD6">
        <w:rPr>
          <w:rFonts w:ascii="Arial" w:eastAsia="Arial" w:hAnsi="Arial" w:cs="Arial"/>
          <w:b/>
          <w:sz w:val="22"/>
          <w:szCs w:val="22"/>
        </w:rPr>
        <w:t>(Co autor)</w:t>
      </w:r>
    </w:p>
    <w:p w14:paraId="788C2603" w14:textId="53E9BF49" w:rsidR="005D4844" w:rsidRPr="005D4844" w:rsidRDefault="005D4844" w:rsidP="005D4844">
      <w:pPr>
        <w:jc w:val="both"/>
        <w:rPr>
          <w:rFonts w:ascii="Arial" w:eastAsia="Arial" w:hAnsi="Arial" w:cs="Arial"/>
          <w:sz w:val="22"/>
          <w:szCs w:val="22"/>
        </w:rPr>
      </w:pPr>
      <w:r w:rsidRPr="005D4844">
        <w:rPr>
          <w:rFonts w:ascii="Arial" w:eastAsia="Arial" w:hAnsi="Arial" w:cs="Arial"/>
          <w:sz w:val="22"/>
          <w:szCs w:val="22"/>
        </w:rPr>
        <w:t xml:space="preserve">Egresada de Ingeniería Mecatrónica y profesional técnico de Mecatrónica Industrial, con experiencia en el manejo de software de diseño y modelado 3D como AutoCAD e Inventor, así como en programación y control destaco TIA Portal y MATLAB. Además, manejo herramientas clave de Microsoft como </w:t>
      </w:r>
      <w:proofErr w:type="spellStart"/>
      <w:r w:rsidRPr="005D4844">
        <w:rPr>
          <w:rFonts w:ascii="Arial" w:eastAsia="Arial" w:hAnsi="Arial" w:cs="Arial"/>
          <w:sz w:val="22"/>
          <w:szCs w:val="22"/>
        </w:rPr>
        <w:t>Power</w:t>
      </w:r>
      <w:proofErr w:type="spellEnd"/>
      <w:r w:rsidRPr="005D4844">
        <w:rPr>
          <w:rFonts w:ascii="Arial" w:eastAsia="Arial" w:hAnsi="Arial" w:cs="Arial"/>
          <w:sz w:val="22"/>
          <w:szCs w:val="22"/>
        </w:rPr>
        <w:t xml:space="preserve"> </w:t>
      </w:r>
      <w:proofErr w:type="spellStart"/>
      <w:r w:rsidRPr="005D4844">
        <w:rPr>
          <w:rFonts w:ascii="Arial" w:eastAsia="Arial" w:hAnsi="Arial" w:cs="Arial"/>
          <w:sz w:val="22"/>
          <w:szCs w:val="22"/>
        </w:rPr>
        <w:t>Automate</w:t>
      </w:r>
      <w:proofErr w:type="spellEnd"/>
      <w:r w:rsidRPr="005D4844">
        <w:rPr>
          <w:rFonts w:ascii="Arial" w:eastAsia="Arial" w:hAnsi="Arial" w:cs="Arial"/>
          <w:sz w:val="22"/>
          <w:szCs w:val="22"/>
        </w:rPr>
        <w:t xml:space="preserve">, </w:t>
      </w:r>
      <w:proofErr w:type="spellStart"/>
      <w:r w:rsidRPr="005D4844">
        <w:rPr>
          <w:rFonts w:ascii="Arial" w:eastAsia="Arial" w:hAnsi="Arial" w:cs="Arial"/>
          <w:sz w:val="22"/>
          <w:szCs w:val="22"/>
        </w:rPr>
        <w:t>Power</w:t>
      </w:r>
      <w:proofErr w:type="spellEnd"/>
      <w:r w:rsidRPr="005D4844">
        <w:rPr>
          <w:rFonts w:ascii="Arial" w:eastAsia="Arial" w:hAnsi="Arial" w:cs="Arial"/>
          <w:sz w:val="22"/>
          <w:szCs w:val="22"/>
        </w:rPr>
        <w:t xml:space="preserve"> Apps y </w:t>
      </w:r>
      <w:proofErr w:type="spellStart"/>
      <w:r w:rsidRPr="005D4844">
        <w:rPr>
          <w:rFonts w:ascii="Arial" w:eastAsia="Arial" w:hAnsi="Arial" w:cs="Arial"/>
          <w:sz w:val="22"/>
          <w:szCs w:val="22"/>
        </w:rPr>
        <w:t>Power</w:t>
      </w:r>
      <w:proofErr w:type="spellEnd"/>
      <w:r w:rsidRPr="005D4844">
        <w:rPr>
          <w:rFonts w:ascii="Arial" w:eastAsia="Arial" w:hAnsi="Arial" w:cs="Arial"/>
          <w:sz w:val="22"/>
          <w:szCs w:val="22"/>
        </w:rPr>
        <w:t xml:space="preserve"> BI para la optimización de procesos. Me caracterizan la adaptabilidad y el compromiso con los objetivos, lo que me permite integrarme con facilidad en entornos dinámicos y contribuir activamente al logro de metas. Estoy enfocada en desarrollarme en el área de ingeniería, con especial interés en la innovación tecnológica y la automatización.</w:t>
      </w:r>
    </w:p>
    <w:p w14:paraId="7F426092" w14:textId="77777777" w:rsidR="001916FA" w:rsidRPr="00AD6AD6" w:rsidRDefault="001916FA">
      <w:pPr>
        <w:ind w:left="720"/>
        <w:rPr>
          <w:rFonts w:ascii="Arial" w:eastAsia="Arial" w:hAnsi="Arial" w:cs="Arial"/>
          <w:sz w:val="22"/>
          <w:szCs w:val="22"/>
        </w:rPr>
      </w:pPr>
    </w:p>
    <w:p w14:paraId="307FB5DB" w14:textId="77777777" w:rsidR="001916FA" w:rsidRPr="00AD6AD6" w:rsidRDefault="001916FA">
      <w:pPr>
        <w:ind w:left="720"/>
        <w:rPr>
          <w:rFonts w:ascii="Arial" w:eastAsia="Arial" w:hAnsi="Arial" w:cs="Arial"/>
          <w:sz w:val="22"/>
          <w:szCs w:val="22"/>
        </w:rPr>
      </w:pPr>
    </w:p>
    <w:p w14:paraId="2E704CEE" w14:textId="77777777" w:rsidR="001916FA" w:rsidRPr="00AD6AD6" w:rsidRDefault="001916FA">
      <w:pPr>
        <w:ind w:left="720"/>
        <w:rPr>
          <w:rFonts w:ascii="Arial" w:eastAsia="Arial" w:hAnsi="Arial" w:cs="Arial"/>
          <w:sz w:val="22"/>
          <w:szCs w:val="22"/>
        </w:rPr>
      </w:pPr>
    </w:p>
    <w:sectPr w:rsidR="001916FA" w:rsidRPr="00AD6AD6">
      <w:type w:val="continuous"/>
      <w:pgSz w:w="12240" w:h="15840"/>
      <w:pgMar w:top="1134" w:right="680" w:bottom="964" w:left="851" w:header="680" w:footer="567" w:gutter="0"/>
      <w:cols w:num="2" w:space="720" w:equalWidth="0">
        <w:col w:w="4986" w:space="397"/>
        <w:col w:w="498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B050C" w14:textId="77777777" w:rsidR="00765769" w:rsidRDefault="00765769" w:rsidP="006151B4">
      <w:pPr>
        <w:spacing w:after="0" w:line="240" w:lineRule="auto"/>
      </w:pPr>
      <w:r>
        <w:separator/>
      </w:r>
    </w:p>
  </w:endnote>
  <w:endnote w:type="continuationSeparator" w:id="0">
    <w:p w14:paraId="341AEF64" w14:textId="77777777" w:rsidR="00765769" w:rsidRDefault="00765769" w:rsidP="00615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024F254-760C-43DF-B7C6-F13B98580D1D}"/>
  </w:font>
  <w:font w:name="Aptos">
    <w:charset w:val="00"/>
    <w:family w:val="swiss"/>
    <w:pitch w:val="variable"/>
    <w:sig w:usb0="20000287" w:usb1="00000003" w:usb2="00000000" w:usb3="00000000" w:csb0="0000019F" w:csb1="00000000"/>
    <w:embedRegular r:id="rId2" w:fontKey="{17C01B3C-7C85-4A6C-97CD-D3DF4FD917B1}"/>
    <w:embedItalic r:id="rId3" w:fontKey="{071B158D-C7A1-4913-9F0F-D4E48073C93C}"/>
  </w:font>
  <w:font w:name="Play">
    <w:charset w:val="00"/>
    <w:family w:val="auto"/>
    <w:pitch w:val="default"/>
    <w:embedRegular r:id="rId4" w:fontKey="{0F56E642-9FCF-42A1-AE04-B481685CA095}"/>
  </w:font>
  <w:font w:name="Aptos Display">
    <w:charset w:val="00"/>
    <w:family w:val="swiss"/>
    <w:pitch w:val="variable"/>
    <w:sig w:usb0="20000287" w:usb1="00000003" w:usb2="00000000" w:usb3="00000000" w:csb0="0000019F" w:csb1="00000000"/>
    <w:embedRegular r:id="rId5" w:fontKey="{2D32682E-9646-423D-8027-2ADC9FE1C30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784493E1-BEA1-49AA-8208-8C8A4EDFA0D4}"/>
    <w:embedBold r:id="rId7" w:fontKey="{E592776A-5298-4CFC-9D02-132959F962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753CD" w14:textId="77777777" w:rsidR="006151B4" w:rsidRDefault="006151B4">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EE38756" w14:textId="77777777" w:rsidR="006151B4" w:rsidRDefault="006151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8AA17" w14:textId="77777777" w:rsidR="00765769" w:rsidRDefault="00765769" w:rsidP="006151B4">
      <w:pPr>
        <w:spacing w:after="0" w:line="240" w:lineRule="auto"/>
      </w:pPr>
      <w:r>
        <w:separator/>
      </w:r>
    </w:p>
  </w:footnote>
  <w:footnote w:type="continuationSeparator" w:id="0">
    <w:p w14:paraId="7DBA4174" w14:textId="77777777" w:rsidR="00765769" w:rsidRDefault="00765769" w:rsidP="006151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85E55" w14:textId="04FD8AEB" w:rsidR="006151B4" w:rsidRDefault="006151B4">
    <w:pPr>
      <w:pStyle w:val="Header"/>
      <w:jc w:val="center"/>
    </w:pPr>
  </w:p>
  <w:p w14:paraId="6FF3A11E" w14:textId="77777777" w:rsidR="006151B4" w:rsidRDefault="006151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30B97"/>
    <w:multiLevelType w:val="multilevel"/>
    <w:tmpl w:val="B6902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627E95"/>
    <w:multiLevelType w:val="multilevel"/>
    <w:tmpl w:val="E064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F35D22"/>
    <w:multiLevelType w:val="multilevel"/>
    <w:tmpl w:val="371C8DC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9777409">
    <w:abstractNumId w:val="0"/>
  </w:num>
  <w:num w:numId="2" w16cid:durableId="1110859925">
    <w:abstractNumId w:val="2"/>
  </w:num>
  <w:num w:numId="3" w16cid:durableId="840198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6FA"/>
    <w:rsid w:val="001916FA"/>
    <w:rsid w:val="00211ECE"/>
    <w:rsid w:val="005D4844"/>
    <w:rsid w:val="006151B4"/>
    <w:rsid w:val="00765769"/>
    <w:rsid w:val="00AD6AD6"/>
    <w:rsid w:val="00B73E02"/>
    <w:rsid w:val="00F00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33D56"/>
  <w15:docId w15:val="{BCE7738D-25EE-4BA2-AF96-9A109EA04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P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956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DefaultParagraphFont"/>
    <w:uiPriority w:val="9"/>
    <w:rsid w:val="009567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9567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9567F8"/>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9567F8"/>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9567F8"/>
    <w:rPr>
      <w:rFonts w:eastAsiaTheme="majorEastAsia" w:cstheme="majorBidi"/>
      <w:color w:val="0F4761" w:themeColor="accent1" w:themeShade="BF"/>
    </w:rPr>
  </w:style>
  <w:style w:type="character" w:customStyle="1" w:styleId="Ttulo6Car">
    <w:name w:val="Título 6 Car"/>
    <w:basedOn w:val="DefaultParagraphFont"/>
    <w:uiPriority w:val="9"/>
    <w:semiHidden/>
    <w:rsid w:val="00956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7F8"/>
    <w:rPr>
      <w:rFonts w:eastAsiaTheme="majorEastAsia" w:cstheme="majorBidi"/>
      <w:color w:val="272727" w:themeColor="text1" w:themeTint="D8"/>
    </w:rPr>
  </w:style>
  <w:style w:type="character" w:customStyle="1" w:styleId="TtuloCar">
    <w:name w:val="Título Car"/>
    <w:basedOn w:val="DefaultParagraphFont"/>
    <w:uiPriority w:val="10"/>
    <w:rsid w:val="009567F8"/>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956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7F8"/>
    <w:pPr>
      <w:spacing w:before="160"/>
      <w:jc w:val="center"/>
    </w:pPr>
    <w:rPr>
      <w:i/>
      <w:iCs/>
      <w:color w:val="404040" w:themeColor="text1" w:themeTint="BF"/>
    </w:rPr>
  </w:style>
  <w:style w:type="character" w:customStyle="1" w:styleId="QuoteChar">
    <w:name w:val="Quote Char"/>
    <w:basedOn w:val="DefaultParagraphFont"/>
    <w:link w:val="Quote"/>
    <w:uiPriority w:val="29"/>
    <w:rsid w:val="009567F8"/>
    <w:rPr>
      <w:i/>
      <w:iCs/>
      <w:color w:val="404040" w:themeColor="text1" w:themeTint="BF"/>
    </w:rPr>
  </w:style>
  <w:style w:type="paragraph" w:styleId="ListParagraph">
    <w:name w:val="List Paragraph"/>
    <w:basedOn w:val="Normal"/>
    <w:uiPriority w:val="34"/>
    <w:qFormat/>
    <w:rsid w:val="009567F8"/>
    <w:pPr>
      <w:ind w:left="720"/>
      <w:contextualSpacing/>
    </w:pPr>
  </w:style>
  <w:style w:type="character" w:styleId="IntenseEmphasis">
    <w:name w:val="Intense Emphasis"/>
    <w:basedOn w:val="DefaultParagraphFont"/>
    <w:uiPriority w:val="21"/>
    <w:qFormat/>
    <w:rsid w:val="009567F8"/>
    <w:rPr>
      <w:i/>
      <w:iCs/>
      <w:color w:val="0F4761" w:themeColor="accent1" w:themeShade="BF"/>
    </w:rPr>
  </w:style>
  <w:style w:type="paragraph" w:styleId="IntenseQuote">
    <w:name w:val="Intense Quote"/>
    <w:basedOn w:val="Normal"/>
    <w:next w:val="Normal"/>
    <w:link w:val="IntenseQuoteChar"/>
    <w:uiPriority w:val="30"/>
    <w:qFormat/>
    <w:rsid w:val="00956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7F8"/>
    <w:rPr>
      <w:i/>
      <w:iCs/>
      <w:color w:val="0F4761" w:themeColor="accent1" w:themeShade="BF"/>
    </w:rPr>
  </w:style>
  <w:style w:type="character" w:styleId="IntenseReference">
    <w:name w:val="Intense Reference"/>
    <w:basedOn w:val="DefaultParagraphFont"/>
    <w:uiPriority w:val="32"/>
    <w:qFormat/>
    <w:rsid w:val="009567F8"/>
    <w:rPr>
      <w:b/>
      <w:bCs/>
      <w:smallCaps/>
      <w:color w:val="0F4761" w:themeColor="accent1" w:themeShade="BF"/>
      <w:spacing w:val="5"/>
    </w:rPr>
  </w:style>
  <w:style w:type="paragraph" w:styleId="NoSpacing">
    <w:name w:val="No Spacing"/>
    <w:uiPriority w:val="1"/>
    <w:qFormat/>
    <w:rsid w:val="00A75050"/>
    <w:pPr>
      <w:spacing w:after="0" w:line="240" w:lineRule="auto"/>
    </w:pPr>
  </w:style>
  <w:style w:type="character" w:styleId="Strong">
    <w:name w:val="Strong"/>
    <w:basedOn w:val="DefaultParagraphFont"/>
    <w:uiPriority w:val="22"/>
    <w:qFormat/>
    <w:rsid w:val="00F11655"/>
    <w:rPr>
      <w:b/>
      <w:bCs/>
    </w:rPr>
  </w:style>
  <w:style w:type="character" w:styleId="Hyperlink">
    <w:name w:val="Hyperlink"/>
    <w:basedOn w:val="DefaultParagraphFont"/>
    <w:uiPriority w:val="99"/>
    <w:unhideWhenUsed/>
    <w:rsid w:val="00546F39"/>
    <w:rPr>
      <w:color w:val="467886" w:themeColor="hyperlink"/>
      <w:u w:val="single"/>
    </w:rPr>
  </w:style>
  <w:style w:type="character" w:styleId="UnresolvedMention">
    <w:name w:val="Unresolved Mention"/>
    <w:basedOn w:val="DefaultParagraphFont"/>
    <w:uiPriority w:val="99"/>
    <w:semiHidden/>
    <w:unhideWhenUsed/>
    <w:rsid w:val="00546F39"/>
    <w:rPr>
      <w:color w:val="605E5C"/>
      <w:shd w:val="clear" w:color="auto" w:fill="E1DFDD"/>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151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1B4"/>
  </w:style>
  <w:style w:type="paragraph" w:styleId="Footer">
    <w:name w:val="footer"/>
    <w:basedOn w:val="Normal"/>
    <w:link w:val="FooterChar"/>
    <w:uiPriority w:val="99"/>
    <w:unhideWhenUsed/>
    <w:rsid w:val="006151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11351">
      <w:bodyDiv w:val="1"/>
      <w:marLeft w:val="0"/>
      <w:marRight w:val="0"/>
      <w:marTop w:val="0"/>
      <w:marBottom w:val="0"/>
      <w:divBdr>
        <w:top w:val="none" w:sz="0" w:space="0" w:color="auto"/>
        <w:left w:val="none" w:sz="0" w:space="0" w:color="auto"/>
        <w:bottom w:val="none" w:sz="0" w:space="0" w:color="auto"/>
        <w:right w:val="none" w:sz="0" w:space="0" w:color="auto"/>
      </w:divBdr>
    </w:div>
    <w:div w:id="195773253">
      <w:bodyDiv w:val="1"/>
      <w:marLeft w:val="0"/>
      <w:marRight w:val="0"/>
      <w:marTop w:val="0"/>
      <w:marBottom w:val="0"/>
      <w:divBdr>
        <w:top w:val="none" w:sz="0" w:space="0" w:color="auto"/>
        <w:left w:val="none" w:sz="0" w:space="0" w:color="auto"/>
        <w:bottom w:val="none" w:sz="0" w:space="0" w:color="auto"/>
        <w:right w:val="none" w:sz="0" w:space="0" w:color="auto"/>
      </w:divBdr>
    </w:div>
    <w:div w:id="366416123">
      <w:bodyDiv w:val="1"/>
      <w:marLeft w:val="0"/>
      <w:marRight w:val="0"/>
      <w:marTop w:val="0"/>
      <w:marBottom w:val="0"/>
      <w:divBdr>
        <w:top w:val="none" w:sz="0" w:space="0" w:color="auto"/>
        <w:left w:val="none" w:sz="0" w:space="0" w:color="auto"/>
        <w:bottom w:val="none" w:sz="0" w:space="0" w:color="auto"/>
        <w:right w:val="none" w:sz="0" w:space="0" w:color="auto"/>
      </w:divBdr>
      <w:divsChild>
        <w:div w:id="2051227476">
          <w:marLeft w:val="0"/>
          <w:marRight w:val="0"/>
          <w:marTop w:val="0"/>
          <w:marBottom w:val="0"/>
          <w:divBdr>
            <w:top w:val="none" w:sz="0" w:space="0" w:color="auto"/>
            <w:left w:val="none" w:sz="0" w:space="0" w:color="auto"/>
            <w:bottom w:val="none" w:sz="0" w:space="0" w:color="auto"/>
            <w:right w:val="none" w:sz="0" w:space="0" w:color="auto"/>
          </w:divBdr>
          <w:divsChild>
            <w:div w:id="613440638">
              <w:marLeft w:val="0"/>
              <w:marRight w:val="0"/>
              <w:marTop w:val="0"/>
              <w:marBottom w:val="0"/>
              <w:divBdr>
                <w:top w:val="none" w:sz="0" w:space="0" w:color="auto"/>
                <w:left w:val="none" w:sz="0" w:space="0" w:color="auto"/>
                <w:bottom w:val="none" w:sz="0" w:space="0" w:color="auto"/>
                <w:right w:val="none" w:sz="0" w:space="0" w:color="auto"/>
              </w:divBdr>
              <w:divsChild>
                <w:div w:id="575628009">
                  <w:marLeft w:val="0"/>
                  <w:marRight w:val="0"/>
                  <w:marTop w:val="0"/>
                  <w:marBottom w:val="0"/>
                  <w:divBdr>
                    <w:top w:val="none" w:sz="0" w:space="0" w:color="auto"/>
                    <w:left w:val="none" w:sz="0" w:space="0" w:color="auto"/>
                    <w:bottom w:val="none" w:sz="0" w:space="0" w:color="auto"/>
                    <w:right w:val="none" w:sz="0" w:space="0" w:color="auto"/>
                  </w:divBdr>
                  <w:divsChild>
                    <w:div w:id="66464350">
                      <w:marLeft w:val="0"/>
                      <w:marRight w:val="0"/>
                      <w:marTop w:val="0"/>
                      <w:marBottom w:val="0"/>
                      <w:divBdr>
                        <w:top w:val="none" w:sz="0" w:space="0" w:color="auto"/>
                        <w:left w:val="none" w:sz="0" w:space="0" w:color="auto"/>
                        <w:bottom w:val="none" w:sz="0" w:space="0" w:color="auto"/>
                        <w:right w:val="none" w:sz="0" w:space="0" w:color="auto"/>
                      </w:divBdr>
                      <w:divsChild>
                        <w:div w:id="1141465578">
                          <w:marLeft w:val="0"/>
                          <w:marRight w:val="0"/>
                          <w:marTop w:val="0"/>
                          <w:marBottom w:val="0"/>
                          <w:divBdr>
                            <w:top w:val="none" w:sz="0" w:space="0" w:color="auto"/>
                            <w:left w:val="none" w:sz="0" w:space="0" w:color="auto"/>
                            <w:bottom w:val="none" w:sz="0" w:space="0" w:color="auto"/>
                            <w:right w:val="none" w:sz="0" w:space="0" w:color="auto"/>
                          </w:divBdr>
                          <w:divsChild>
                            <w:div w:id="721639675">
                              <w:marLeft w:val="0"/>
                              <w:marRight w:val="0"/>
                              <w:marTop w:val="0"/>
                              <w:marBottom w:val="0"/>
                              <w:divBdr>
                                <w:top w:val="none" w:sz="0" w:space="0" w:color="auto"/>
                                <w:left w:val="none" w:sz="0" w:space="0" w:color="auto"/>
                                <w:bottom w:val="none" w:sz="0" w:space="0" w:color="auto"/>
                                <w:right w:val="none" w:sz="0" w:space="0" w:color="auto"/>
                              </w:divBdr>
                              <w:divsChild>
                                <w:div w:id="1806047502">
                                  <w:marLeft w:val="0"/>
                                  <w:marRight w:val="0"/>
                                  <w:marTop w:val="0"/>
                                  <w:marBottom w:val="0"/>
                                  <w:divBdr>
                                    <w:top w:val="none" w:sz="0" w:space="0" w:color="auto"/>
                                    <w:left w:val="none" w:sz="0" w:space="0" w:color="auto"/>
                                    <w:bottom w:val="none" w:sz="0" w:space="0" w:color="auto"/>
                                    <w:right w:val="none" w:sz="0" w:space="0" w:color="auto"/>
                                  </w:divBdr>
                                  <w:divsChild>
                                    <w:div w:id="180303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5988">
                      <w:marLeft w:val="0"/>
                      <w:marRight w:val="0"/>
                      <w:marTop w:val="0"/>
                      <w:marBottom w:val="0"/>
                      <w:divBdr>
                        <w:top w:val="none" w:sz="0" w:space="0" w:color="auto"/>
                        <w:left w:val="none" w:sz="0" w:space="0" w:color="auto"/>
                        <w:bottom w:val="none" w:sz="0" w:space="0" w:color="auto"/>
                        <w:right w:val="none" w:sz="0" w:space="0" w:color="auto"/>
                      </w:divBdr>
                      <w:divsChild>
                        <w:div w:id="19138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556144">
      <w:bodyDiv w:val="1"/>
      <w:marLeft w:val="0"/>
      <w:marRight w:val="0"/>
      <w:marTop w:val="0"/>
      <w:marBottom w:val="0"/>
      <w:divBdr>
        <w:top w:val="none" w:sz="0" w:space="0" w:color="auto"/>
        <w:left w:val="none" w:sz="0" w:space="0" w:color="auto"/>
        <w:bottom w:val="none" w:sz="0" w:space="0" w:color="auto"/>
        <w:right w:val="none" w:sz="0" w:space="0" w:color="auto"/>
      </w:divBdr>
    </w:div>
    <w:div w:id="399790215">
      <w:bodyDiv w:val="1"/>
      <w:marLeft w:val="0"/>
      <w:marRight w:val="0"/>
      <w:marTop w:val="0"/>
      <w:marBottom w:val="0"/>
      <w:divBdr>
        <w:top w:val="none" w:sz="0" w:space="0" w:color="auto"/>
        <w:left w:val="none" w:sz="0" w:space="0" w:color="auto"/>
        <w:bottom w:val="none" w:sz="0" w:space="0" w:color="auto"/>
        <w:right w:val="none" w:sz="0" w:space="0" w:color="auto"/>
      </w:divBdr>
    </w:div>
    <w:div w:id="483009060">
      <w:bodyDiv w:val="1"/>
      <w:marLeft w:val="0"/>
      <w:marRight w:val="0"/>
      <w:marTop w:val="0"/>
      <w:marBottom w:val="0"/>
      <w:divBdr>
        <w:top w:val="none" w:sz="0" w:space="0" w:color="auto"/>
        <w:left w:val="none" w:sz="0" w:space="0" w:color="auto"/>
        <w:bottom w:val="none" w:sz="0" w:space="0" w:color="auto"/>
        <w:right w:val="none" w:sz="0" w:space="0" w:color="auto"/>
      </w:divBdr>
      <w:divsChild>
        <w:div w:id="1734891937">
          <w:marLeft w:val="0"/>
          <w:marRight w:val="0"/>
          <w:marTop w:val="0"/>
          <w:marBottom w:val="0"/>
          <w:divBdr>
            <w:top w:val="none" w:sz="0" w:space="0" w:color="auto"/>
            <w:left w:val="none" w:sz="0" w:space="0" w:color="auto"/>
            <w:bottom w:val="none" w:sz="0" w:space="0" w:color="auto"/>
            <w:right w:val="none" w:sz="0" w:space="0" w:color="auto"/>
          </w:divBdr>
          <w:divsChild>
            <w:div w:id="165050242">
              <w:marLeft w:val="0"/>
              <w:marRight w:val="0"/>
              <w:marTop w:val="0"/>
              <w:marBottom w:val="0"/>
              <w:divBdr>
                <w:top w:val="none" w:sz="0" w:space="0" w:color="auto"/>
                <w:left w:val="none" w:sz="0" w:space="0" w:color="auto"/>
                <w:bottom w:val="none" w:sz="0" w:space="0" w:color="auto"/>
                <w:right w:val="none" w:sz="0" w:space="0" w:color="auto"/>
              </w:divBdr>
              <w:divsChild>
                <w:div w:id="584149193">
                  <w:marLeft w:val="0"/>
                  <w:marRight w:val="0"/>
                  <w:marTop w:val="0"/>
                  <w:marBottom w:val="0"/>
                  <w:divBdr>
                    <w:top w:val="none" w:sz="0" w:space="0" w:color="auto"/>
                    <w:left w:val="none" w:sz="0" w:space="0" w:color="auto"/>
                    <w:bottom w:val="none" w:sz="0" w:space="0" w:color="auto"/>
                    <w:right w:val="none" w:sz="0" w:space="0" w:color="auto"/>
                  </w:divBdr>
                  <w:divsChild>
                    <w:div w:id="675810378">
                      <w:marLeft w:val="0"/>
                      <w:marRight w:val="0"/>
                      <w:marTop w:val="0"/>
                      <w:marBottom w:val="0"/>
                      <w:divBdr>
                        <w:top w:val="none" w:sz="0" w:space="0" w:color="auto"/>
                        <w:left w:val="none" w:sz="0" w:space="0" w:color="auto"/>
                        <w:bottom w:val="none" w:sz="0" w:space="0" w:color="auto"/>
                        <w:right w:val="none" w:sz="0" w:space="0" w:color="auto"/>
                      </w:divBdr>
                      <w:divsChild>
                        <w:div w:id="1972633951">
                          <w:marLeft w:val="0"/>
                          <w:marRight w:val="0"/>
                          <w:marTop w:val="0"/>
                          <w:marBottom w:val="0"/>
                          <w:divBdr>
                            <w:top w:val="none" w:sz="0" w:space="0" w:color="auto"/>
                            <w:left w:val="none" w:sz="0" w:space="0" w:color="auto"/>
                            <w:bottom w:val="none" w:sz="0" w:space="0" w:color="auto"/>
                            <w:right w:val="none" w:sz="0" w:space="0" w:color="auto"/>
                          </w:divBdr>
                          <w:divsChild>
                            <w:div w:id="931161989">
                              <w:marLeft w:val="0"/>
                              <w:marRight w:val="0"/>
                              <w:marTop w:val="0"/>
                              <w:marBottom w:val="0"/>
                              <w:divBdr>
                                <w:top w:val="none" w:sz="0" w:space="0" w:color="auto"/>
                                <w:left w:val="none" w:sz="0" w:space="0" w:color="auto"/>
                                <w:bottom w:val="none" w:sz="0" w:space="0" w:color="auto"/>
                                <w:right w:val="none" w:sz="0" w:space="0" w:color="auto"/>
                              </w:divBdr>
                              <w:divsChild>
                                <w:div w:id="263656444">
                                  <w:marLeft w:val="0"/>
                                  <w:marRight w:val="0"/>
                                  <w:marTop w:val="0"/>
                                  <w:marBottom w:val="0"/>
                                  <w:divBdr>
                                    <w:top w:val="none" w:sz="0" w:space="0" w:color="auto"/>
                                    <w:left w:val="none" w:sz="0" w:space="0" w:color="auto"/>
                                    <w:bottom w:val="none" w:sz="0" w:space="0" w:color="auto"/>
                                    <w:right w:val="none" w:sz="0" w:space="0" w:color="auto"/>
                                  </w:divBdr>
                                  <w:divsChild>
                                    <w:div w:id="5473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362793">
                      <w:marLeft w:val="0"/>
                      <w:marRight w:val="0"/>
                      <w:marTop w:val="0"/>
                      <w:marBottom w:val="0"/>
                      <w:divBdr>
                        <w:top w:val="none" w:sz="0" w:space="0" w:color="auto"/>
                        <w:left w:val="none" w:sz="0" w:space="0" w:color="auto"/>
                        <w:bottom w:val="none" w:sz="0" w:space="0" w:color="auto"/>
                        <w:right w:val="none" w:sz="0" w:space="0" w:color="auto"/>
                      </w:divBdr>
                      <w:divsChild>
                        <w:div w:id="22973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rian.d.pajares@gmail.com" TargetMode="External"/><Relationship Id="rId13" Type="http://schemas.openxmlformats.org/officeDocument/2006/relationships/hyperlink" Target="https://www.coes.org.pe/Portal/portalinformacion/generacio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erupetro.com.pe/wps/wcm/connect/corporativ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oecd-nea.org/pub"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y.ramirezcandiotti@gmail.com" TargetMode="External"/><Relationship Id="rId14" Type="http://schemas.openxmlformats.org/officeDocument/2006/relationships/hyperlink" Target="https://www.iea.org/reports/world-energy-outlook-202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Zp5BnFuCVcZfm8ioP7ZYXOn8Lg==">CgMxLjAaHwoBMBIaChgICVIUChJ0YWJsZS4yankwdW9ya3czdno4AHIhMU5Gak9RdmRjbkxLdGRSTVp1c1lIeXM0MllLY3hKbUpG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5145</Words>
  <Characters>29332</Characters>
  <Application>Microsoft Office Word</Application>
  <DocSecurity>0</DocSecurity>
  <Lines>244</Lines>
  <Paragraphs>68</Paragraphs>
  <ScaleCrop>false</ScaleCrop>
  <Company/>
  <LinksUpToDate>false</LinksUpToDate>
  <CharactersWithSpaces>34409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Pajares Correa, Brian</dc:creator>
  <cp:lastModifiedBy>Pajares Correa, Brian</cp:lastModifiedBy>
  <cp:revision>6</cp:revision>
  <dcterms:created xsi:type="dcterms:W3CDTF">2025-05-16T21:33:00Z</dcterms:created>
  <dcterms:modified xsi:type="dcterms:W3CDTF">2025-07-18T16:37:00Z</dcterms:modified>
</cp:coreProperties>
</file>