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7110" w:rsidRPr="00C85BE4" w:rsidRDefault="00157110" w:rsidP="00157110">
      <w:pPr>
        <w:spacing w:line="360" w:lineRule="auto"/>
        <w:jc w:val="center"/>
        <w:rPr>
          <w:b/>
          <w:sz w:val="24"/>
        </w:rPr>
      </w:pPr>
      <w:r w:rsidRPr="00C85BE4">
        <w:rPr>
          <w:b/>
          <w:bCs/>
          <w:sz w:val="24"/>
          <w:lang w:val="es-PE"/>
        </w:rPr>
        <w:t>“</w:t>
      </w:r>
      <w:r w:rsidRPr="00C85BE4">
        <w:rPr>
          <w:b/>
          <w:bCs/>
          <w:sz w:val="24"/>
          <w:lang w:val="es-PE"/>
        </w:rPr>
        <w:t>Análisis comparativo de los modelos matemáticos de Fred Bond, Steve Morrell y Roddy Valle, sobre el consumo energético aplicado a la molienda de minerales</w:t>
      </w:r>
      <w:r w:rsidRPr="00C85BE4">
        <w:rPr>
          <w:b/>
          <w:bCs/>
          <w:sz w:val="24"/>
          <w:lang w:val="es-PE"/>
        </w:rPr>
        <w:t>”</w:t>
      </w:r>
    </w:p>
    <w:p w:rsidR="00157110" w:rsidRPr="00C85BE4" w:rsidRDefault="00157110" w:rsidP="00157110">
      <w:pPr>
        <w:spacing w:line="360" w:lineRule="auto"/>
        <w:rPr>
          <w:b/>
        </w:rPr>
      </w:pPr>
    </w:p>
    <w:p w:rsidR="00157110" w:rsidRPr="00C85BE4" w:rsidRDefault="00157110" w:rsidP="00157110">
      <w:pPr>
        <w:pStyle w:val="Resumen"/>
        <w:spacing w:line="360" w:lineRule="auto"/>
        <w:rPr>
          <w:rFonts w:ascii="Arial" w:hAnsi="Arial" w:cs="Arial"/>
          <w:b/>
          <w:bCs/>
          <w:lang w:val="es-PE"/>
        </w:rPr>
      </w:pPr>
      <w:r w:rsidRPr="00C85BE4">
        <w:rPr>
          <w:rFonts w:ascii="Arial" w:hAnsi="Arial" w:cs="Arial"/>
          <w:b/>
          <w:bCs/>
          <w:lang w:val="es-PE"/>
        </w:rPr>
        <w:t xml:space="preserve">Categoría: Procesamiento de Minerales y Metalurgia Extractiva  </w:t>
      </w:r>
    </w:p>
    <w:p w:rsidR="00157110" w:rsidRPr="00C85BE4" w:rsidRDefault="00157110" w:rsidP="00157110">
      <w:pPr>
        <w:pStyle w:val="Resumen"/>
        <w:spacing w:line="360" w:lineRule="auto"/>
        <w:rPr>
          <w:rFonts w:ascii="Arial" w:hAnsi="Arial" w:cs="Arial"/>
          <w:b/>
          <w:bCs/>
          <w:lang w:val="es-PE"/>
        </w:rPr>
      </w:pPr>
      <w:r w:rsidRPr="00C85BE4">
        <w:rPr>
          <w:rFonts w:ascii="Arial" w:hAnsi="Arial" w:cs="Arial"/>
          <w:b/>
          <w:bCs/>
          <w:lang w:val="es-PE"/>
        </w:rPr>
        <w:t>Tema</w:t>
      </w:r>
      <w:r w:rsidRPr="00C85BE4">
        <w:rPr>
          <w:rFonts w:ascii="Arial" w:hAnsi="Arial" w:cs="Arial"/>
          <w:b/>
          <w:bCs/>
          <w:lang w:val="es-PE"/>
        </w:rPr>
        <w:tab/>
        <w:t>: Reducción de tamaño en chancado y molienda y ahorro de energía</w:t>
      </w:r>
    </w:p>
    <w:p w:rsidR="00157110" w:rsidRPr="00C85BE4" w:rsidRDefault="00157110" w:rsidP="00157110">
      <w:pPr>
        <w:pStyle w:val="Resumen"/>
        <w:spacing w:line="360" w:lineRule="auto"/>
        <w:rPr>
          <w:rFonts w:ascii="Arial" w:hAnsi="Arial" w:cs="Arial"/>
          <w:b/>
          <w:bCs/>
          <w:lang w:val="es-PE"/>
        </w:rPr>
      </w:pPr>
      <w:r w:rsidRPr="00C85BE4">
        <w:rPr>
          <w:rFonts w:ascii="Arial" w:hAnsi="Arial" w:cs="Arial"/>
          <w:b/>
          <w:bCs/>
          <w:lang w:val="es-PE"/>
        </w:rPr>
        <w:t>Autor: Msc. Ing. Luis Huere Anaya</w:t>
      </w:r>
    </w:p>
    <w:p w:rsidR="00157110" w:rsidRPr="00C85BE4" w:rsidRDefault="00157110" w:rsidP="00157110">
      <w:pPr>
        <w:pStyle w:val="Resumen"/>
        <w:spacing w:line="360" w:lineRule="auto"/>
        <w:rPr>
          <w:rFonts w:ascii="Arial" w:hAnsi="Arial" w:cs="Arial"/>
          <w:b/>
          <w:bCs/>
          <w:lang w:val="es-PE"/>
        </w:rPr>
      </w:pPr>
      <w:r w:rsidRPr="00C85BE4">
        <w:rPr>
          <w:rFonts w:ascii="Arial" w:hAnsi="Arial" w:cs="Arial"/>
          <w:b/>
          <w:bCs/>
          <w:lang w:val="es-PE"/>
        </w:rPr>
        <w:t>Empresa: TECSUP – Lima</w:t>
      </w:r>
    </w:p>
    <w:p w:rsidR="00C85BE4" w:rsidRPr="00C85BE4" w:rsidRDefault="00C85BE4" w:rsidP="00157110">
      <w:pPr>
        <w:pStyle w:val="Resumen"/>
        <w:spacing w:line="360" w:lineRule="auto"/>
        <w:rPr>
          <w:rFonts w:ascii="Arial" w:hAnsi="Arial" w:cs="Arial"/>
          <w:b/>
          <w:bCs/>
          <w:lang w:val="es-PE"/>
        </w:rPr>
      </w:pPr>
      <w:r w:rsidRPr="00C85BE4">
        <w:rPr>
          <w:rFonts w:ascii="Arial" w:hAnsi="Arial" w:cs="Arial"/>
          <w:b/>
          <w:bCs/>
          <w:lang w:val="es-PE"/>
        </w:rPr>
        <w:t>Cargo: Docente - consultor</w:t>
      </w:r>
    </w:p>
    <w:p w:rsidR="00157110" w:rsidRPr="00C85BE4" w:rsidRDefault="00157110" w:rsidP="00157110">
      <w:pPr>
        <w:pStyle w:val="Resumen"/>
        <w:spacing w:line="360" w:lineRule="auto"/>
        <w:rPr>
          <w:rFonts w:ascii="Arial" w:hAnsi="Arial" w:cs="Arial"/>
          <w:b/>
          <w:bCs/>
          <w:lang w:val="es-PE"/>
        </w:rPr>
      </w:pPr>
      <w:r w:rsidRPr="00C85BE4">
        <w:rPr>
          <w:rFonts w:ascii="Arial" w:hAnsi="Arial" w:cs="Arial"/>
          <w:b/>
          <w:bCs/>
          <w:lang w:val="es-PE"/>
        </w:rPr>
        <w:t>Celular: 987762093</w:t>
      </w:r>
    </w:p>
    <w:p w:rsidR="00C85BE4" w:rsidRPr="00C85BE4" w:rsidRDefault="00C85BE4" w:rsidP="00157110">
      <w:pPr>
        <w:pStyle w:val="Resumen"/>
        <w:spacing w:line="360" w:lineRule="auto"/>
        <w:rPr>
          <w:rFonts w:ascii="Arial" w:hAnsi="Arial" w:cs="Arial"/>
          <w:b/>
          <w:bCs/>
          <w:lang w:val="es-PE"/>
        </w:rPr>
      </w:pPr>
      <w:hyperlink r:id="rId4" w:history="1">
        <w:r w:rsidRPr="00C85BE4">
          <w:rPr>
            <w:rStyle w:val="Hipervnculo"/>
            <w:rFonts w:ascii="Arial" w:hAnsi="Arial" w:cs="Arial"/>
            <w:b/>
            <w:bCs/>
            <w:lang w:val="es-PE"/>
          </w:rPr>
          <w:t>lhuere@tecsup.edu.pe</w:t>
        </w:r>
      </w:hyperlink>
    </w:p>
    <w:p w:rsidR="00C85BE4" w:rsidRPr="00C85BE4" w:rsidRDefault="00C85BE4" w:rsidP="00157110">
      <w:pPr>
        <w:pStyle w:val="Resumen"/>
        <w:spacing w:line="360" w:lineRule="auto"/>
        <w:rPr>
          <w:rFonts w:ascii="Arial" w:hAnsi="Arial" w:cs="Arial"/>
          <w:b/>
          <w:bCs/>
          <w:lang w:val="es-PE"/>
        </w:rPr>
      </w:pPr>
      <w:r w:rsidRPr="00C85BE4">
        <w:rPr>
          <w:rFonts w:ascii="Arial" w:hAnsi="Arial" w:cs="Arial"/>
          <w:b/>
          <w:bCs/>
          <w:lang w:val="es-PE"/>
        </w:rPr>
        <w:t>luishuere@gmail.com</w:t>
      </w:r>
    </w:p>
    <w:p w:rsidR="00157110" w:rsidRDefault="0015711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b/>
          <w:bCs/>
          <w:lang w:val="es-PE"/>
        </w:rPr>
      </w:pPr>
    </w:p>
    <w:p w:rsidR="00271880" w:rsidRPr="00C85BE4" w:rsidRDefault="00271880" w:rsidP="00157110">
      <w:pPr>
        <w:pStyle w:val="Resumen"/>
        <w:spacing w:line="360" w:lineRule="auto"/>
        <w:rPr>
          <w:rFonts w:ascii="Arial" w:hAnsi="Arial" w:cs="Arial"/>
          <w:b/>
          <w:bCs/>
          <w:lang w:val="es-PE"/>
        </w:rPr>
      </w:pPr>
    </w:p>
    <w:p w:rsidR="00271880" w:rsidRDefault="00271880" w:rsidP="00157110">
      <w:pPr>
        <w:pStyle w:val="Resumen"/>
        <w:spacing w:line="360" w:lineRule="auto"/>
        <w:rPr>
          <w:rFonts w:ascii="Arial" w:hAnsi="Arial" w:cs="Arial"/>
          <w:lang w:val="es-PE"/>
        </w:rPr>
      </w:pPr>
    </w:p>
    <w:p w:rsidR="00271880" w:rsidRDefault="00271880" w:rsidP="00271880">
      <w:pPr>
        <w:pStyle w:val="Resumen"/>
        <w:spacing w:line="360" w:lineRule="auto"/>
        <w:jc w:val="center"/>
        <w:rPr>
          <w:rFonts w:ascii="Arial" w:hAnsi="Arial" w:cs="Arial"/>
          <w:b/>
          <w:bCs/>
          <w:sz w:val="24"/>
          <w:lang w:val="es-PE"/>
        </w:rPr>
      </w:pPr>
      <w:r w:rsidRPr="00C85BE4">
        <w:rPr>
          <w:rFonts w:ascii="Arial" w:hAnsi="Arial" w:cs="Arial"/>
          <w:b/>
          <w:bCs/>
          <w:sz w:val="24"/>
          <w:lang w:val="es-PE"/>
        </w:rPr>
        <w:lastRenderedPageBreak/>
        <w:t>Análisis comparativo de los modelos matemáticos de Fred Bond, Steve Morrell y Roddy Valle, sobre el consumo energético aplicado a la molienda de minerales</w:t>
      </w:r>
    </w:p>
    <w:p w:rsidR="00271880" w:rsidRDefault="00271880" w:rsidP="00271880">
      <w:pPr>
        <w:pStyle w:val="Resumen"/>
        <w:spacing w:line="360" w:lineRule="auto"/>
        <w:jc w:val="center"/>
        <w:rPr>
          <w:rFonts w:ascii="Arial" w:hAnsi="Arial" w:cs="Arial"/>
          <w:lang w:val="es-PE"/>
        </w:rPr>
      </w:pPr>
    </w:p>
    <w:p w:rsidR="00157110" w:rsidRPr="00C85BE4" w:rsidRDefault="00157110" w:rsidP="00157110">
      <w:pPr>
        <w:pStyle w:val="Resumen"/>
        <w:spacing w:line="360" w:lineRule="auto"/>
        <w:rPr>
          <w:rFonts w:ascii="Arial" w:hAnsi="Arial" w:cs="Arial"/>
          <w:lang w:val="es-PE"/>
        </w:rPr>
      </w:pPr>
      <w:r w:rsidRPr="00C85BE4">
        <w:rPr>
          <w:rFonts w:ascii="Arial" w:hAnsi="Arial" w:cs="Arial"/>
          <w:lang w:val="es-PE"/>
        </w:rPr>
        <w:t>En el ámbito minero, la optimización de los procesos de molienda es esencial para la eficiencia energética y la rentabilidad global de las operaciones. En este contexto, la estimación precisa del consumo energético durante la etapa de conminución del mineral juega un papel crucial.</w:t>
      </w:r>
    </w:p>
    <w:p w:rsidR="00157110" w:rsidRPr="00C85BE4" w:rsidRDefault="00157110" w:rsidP="00157110">
      <w:pPr>
        <w:pStyle w:val="Resumen"/>
        <w:spacing w:line="360" w:lineRule="auto"/>
        <w:rPr>
          <w:rFonts w:ascii="Arial" w:hAnsi="Arial" w:cs="Arial"/>
          <w:lang w:val="es-PE"/>
        </w:rPr>
      </w:pPr>
      <w:r w:rsidRPr="00C85BE4">
        <w:rPr>
          <w:rFonts w:ascii="Arial" w:hAnsi="Arial" w:cs="Arial"/>
          <w:lang w:val="es-PE"/>
        </w:rPr>
        <w:t>Se estima que entre el 30% y el 40% de la energía total se consume durante esta fase, lo que destaca la importancia de seleccionar modelos de predicción confiables, para análisis en planta de molienda.</w:t>
      </w:r>
    </w:p>
    <w:p w:rsidR="00157110" w:rsidRPr="00C85BE4" w:rsidRDefault="00157110" w:rsidP="00157110">
      <w:pPr>
        <w:pStyle w:val="Resumen"/>
        <w:spacing w:line="360" w:lineRule="auto"/>
        <w:rPr>
          <w:rFonts w:ascii="Arial" w:hAnsi="Arial" w:cs="Arial"/>
          <w:lang w:val="es-PE"/>
        </w:rPr>
      </w:pPr>
      <w:r w:rsidRPr="00C85BE4">
        <w:rPr>
          <w:rFonts w:ascii="Arial" w:hAnsi="Arial" w:cs="Arial"/>
          <w:lang w:val="es-PE"/>
        </w:rPr>
        <w:t>Las estimaciones de consumo energético en la molienda requieren de modelos predictivos las cuales se basan en fórmulas matemáticas empíricas, de las cuales destacan 3 modelos para este fin: Fred Bond (1952), Steve Morrell (2004) y Roddy Valle (2020).</w:t>
      </w:r>
    </w:p>
    <w:p w:rsidR="00157110" w:rsidRPr="00C85BE4" w:rsidRDefault="00157110" w:rsidP="00157110">
      <w:pPr>
        <w:pStyle w:val="Resumen"/>
        <w:spacing w:line="360" w:lineRule="auto"/>
        <w:rPr>
          <w:rFonts w:ascii="Arial" w:hAnsi="Arial" w:cs="Arial"/>
          <w:lang w:val="es-PE"/>
        </w:rPr>
      </w:pPr>
      <w:r w:rsidRPr="00C85BE4">
        <w:rPr>
          <w:rFonts w:ascii="Arial" w:hAnsi="Arial" w:cs="Arial"/>
          <w:lang w:val="es-PE"/>
        </w:rPr>
        <w:t>Esta experiencia relaciona la precisión y veracidad de los métodos predictivos según los minerales bajo diferentes cargas moledores.</w:t>
      </w:r>
    </w:p>
    <w:p w:rsidR="00157110" w:rsidRPr="00C85BE4" w:rsidRDefault="00157110" w:rsidP="00157110">
      <w:pPr>
        <w:pStyle w:val="Resumen"/>
        <w:spacing w:line="360" w:lineRule="auto"/>
        <w:rPr>
          <w:rFonts w:ascii="Arial" w:hAnsi="Arial" w:cs="Arial"/>
          <w:lang w:val="es-PE"/>
        </w:rPr>
      </w:pPr>
      <w:r w:rsidRPr="00C85BE4">
        <w:rPr>
          <w:rFonts w:ascii="Arial" w:hAnsi="Arial" w:cs="Arial"/>
          <w:lang w:val="es-PE"/>
        </w:rPr>
        <w:t>Las pruebas metalúrgicas buscan identificar el modelo de predicción de consumo energético más preciso y confiable entre los tres enfoques analizados. Para lograrlo, se contrastarán las estimaciones proporcionadas por estos modelos con datos reales de consumo energético obtenidos mediante el sistema de monitoreo eGauge, que en tiempo real nos da los valores del triángulo de potencias eléctrico.</w:t>
      </w:r>
    </w:p>
    <w:p w:rsidR="00157110" w:rsidRPr="00C85BE4" w:rsidRDefault="00157110" w:rsidP="00157110">
      <w:pPr>
        <w:pStyle w:val="Resumen"/>
        <w:spacing w:line="360" w:lineRule="auto"/>
        <w:rPr>
          <w:rFonts w:ascii="Arial" w:hAnsi="Arial" w:cs="Arial"/>
          <w:lang w:val="es-PE"/>
        </w:rPr>
      </w:pPr>
      <w:r w:rsidRPr="00C85BE4">
        <w:rPr>
          <w:rFonts w:ascii="Arial" w:hAnsi="Arial" w:cs="Arial"/>
          <w:lang w:val="es-PE"/>
        </w:rPr>
        <w:t>Las pruebas de molienda a nivel batch de molienda se efectuaron con seis tipos diferentes de minerales y con cargas de bolas variadas, incluyendo un 30%, 35% y 40% del volumen del molino, y a una velocidad crítica del 70%.</w:t>
      </w:r>
    </w:p>
    <w:p w:rsidR="00157110" w:rsidRPr="00C85BE4" w:rsidRDefault="00157110" w:rsidP="00157110">
      <w:pPr>
        <w:pStyle w:val="Resumen"/>
        <w:spacing w:line="360" w:lineRule="auto"/>
        <w:rPr>
          <w:rFonts w:ascii="Arial" w:hAnsi="Arial" w:cs="Arial"/>
          <w:lang w:val="es-PE"/>
        </w:rPr>
      </w:pPr>
      <w:r w:rsidRPr="00C85BE4">
        <w:rPr>
          <w:rFonts w:ascii="Arial" w:hAnsi="Arial" w:cs="Arial"/>
          <w:lang w:val="es-PE"/>
        </w:rPr>
        <w:t>Los resultados obtenidos muestran que el modelo de predicción de consumo energético en la molienda, entre los enfoques analizados que proporciona resultados más precisos y aplicables en diversas condiciones operativas es el modelo de Steve Morrell.</w:t>
      </w:r>
    </w:p>
    <w:p w:rsidR="00157110" w:rsidRPr="00C85BE4" w:rsidRDefault="00157110" w:rsidP="00157110">
      <w:pPr>
        <w:pStyle w:val="Resumen"/>
        <w:spacing w:line="360" w:lineRule="auto"/>
        <w:rPr>
          <w:rFonts w:ascii="Arial" w:hAnsi="Arial" w:cs="Arial"/>
          <w:lang w:val="es-PE"/>
        </w:rPr>
      </w:pPr>
      <w:r w:rsidRPr="00C85BE4">
        <w:rPr>
          <w:rFonts w:ascii="Arial" w:hAnsi="Arial" w:cs="Arial"/>
          <w:lang w:val="es-PE"/>
        </w:rPr>
        <w:t>Cabe mencionar que el modelo de Roddy Valle presentaba un error muy cercano al de Mor</w:t>
      </w:r>
      <w:r w:rsidR="00C85BE4">
        <w:rPr>
          <w:rFonts w:ascii="Arial" w:hAnsi="Arial" w:cs="Arial"/>
          <w:lang w:val="es-PE"/>
        </w:rPr>
        <w:t>r</w:t>
      </w:r>
      <w:r w:rsidRPr="00C85BE4">
        <w:rPr>
          <w:rFonts w:ascii="Arial" w:hAnsi="Arial" w:cs="Arial"/>
          <w:lang w:val="es-PE"/>
        </w:rPr>
        <w:t>el</w:t>
      </w:r>
      <w:r w:rsidR="00C85BE4">
        <w:rPr>
          <w:rFonts w:ascii="Arial" w:hAnsi="Arial" w:cs="Arial"/>
          <w:lang w:val="es-PE"/>
        </w:rPr>
        <w:t>l</w:t>
      </w:r>
      <w:r w:rsidRPr="00C85BE4">
        <w:rPr>
          <w:rFonts w:ascii="Arial" w:hAnsi="Arial" w:cs="Arial"/>
          <w:lang w:val="es-PE"/>
        </w:rPr>
        <w:t xml:space="preserve"> en las pruebas de laboratorio, siendo los valores para Valle de 9.22% con respecto al de Morrell que fue de 8.49%, el modelo de Bond presentó un error de 19.58%, demostrado la no aplicabilidad de este modelo en pruebas de laboratorio en Tecsup, todas referentes a la determinación del consumo energético en molienda</w:t>
      </w:r>
    </w:p>
    <w:p w:rsidR="00BF37E8" w:rsidRPr="00C85BE4" w:rsidRDefault="00157110" w:rsidP="00271880">
      <w:pPr>
        <w:pStyle w:val="Resumen"/>
        <w:spacing w:line="360" w:lineRule="auto"/>
        <w:rPr>
          <w:rFonts w:ascii="Arial" w:hAnsi="Arial" w:cs="Arial"/>
          <w:lang w:val="es-PE"/>
        </w:rPr>
      </w:pPr>
      <w:r w:rsidRPr="00C85BE4">
        <w:rPr>
          <w:rFonts w:ascii="Arial" w:hAnsi="Arial" w:cs="Arial"/>
          <w:lang w:val="es-PE"/>
        </w:rPr>
        <w:t>Las pruebas experimentales de Work Índex, molienda y análisis granulométrico se desarrollaron en los laboratorios de procesamiento de minerales de TECSUP, siguiendo los protocolos planteados por si en la ecuación respectiva.</w:t>
      </w:r>
      <w:bookmarkStart w:id="0" w:name="_GoBack"/>
      <w:bookmarkEnd w:id="0"/>
    </w:p>
    <w:sectPr w:rsidR="00BF37E8" w:rsidRPr="00C85BE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110"/>
    <w:rsid w:val="00157110"/>
    <w:rsid w:val="00271880"/>
    <w:rsid w:val="00965453"/>
    <w:rsid w:val="00C652B2"/>
    <w:rsid w:val="00C85BE4"/>
    <w:rsid w:val="00F4636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99F2E3-D10C-4C4F-B370-1E1CAE2C2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57110"/>
    <w:pPr>
      <w:spacing w:after="0" w:line="276" w:lineRule="auto"/>
    </w:pPr>
    <w:rPr>
      <w:rFonts w:ascii="Arial" w:eastAsia="Arial" w:hAnsi="Arial" w:cs="Arial"/>
      <w:lang w:val="es"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Resumen">
    <w:name w:val="Resumen"/>
    <w:basedOn w:val="Normal"/>
    <w:uiPriority w:val="99"/>
    <w:rsid w:val="00157110"/>
    <w:pPr>
      <w:autoSpaceDE w:val="0"/>
      <w:autoSpaceDN w:val="0"/>
      <w:spacing w:line="260" w:lineRule="exact"/>
      <w:jc w:val="both"/>
    </w:pPr>
    <w:rPr>
      <w:rFonts w:ascii="Times New Roman" w:eastAsia="Times New Roman" w:hAnsi="Times New Roman" w:cs="Times New Roman"/>
      <w:i/>
      <w:iCs/>
      <w:lang w:val="en-GB" w:eastAsia="es-ES"/>
    </w:rPr>
  </w:style>
  <w:style w:type="character" w:styleId="Hipervnculo">
    <w:name w:val="Hyperlink"/>
    <w:basedOn w:val="Fuentedeprrafopredeter"/>
    <w:uiPriority w:val="99"/>
    <w:unhideWhenUsed/>
    <w:rsid w:val="00C85BE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lhuere@tecsup.edu.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466</Words>
  <Characters>2563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Clemente Huere Anaya</dc:creator>
  <cp:keywords/>
  <dc:description/>
  <cp:lastModifiedBy>Luis Clemente Huere Anaya</cp:lastModifiedBy>
  <cp:revision>3</cp:revision>
  <dcterms:created xsi:type="dcterms:W3CDTF">2025-04-21T21:03:00Z</dcterms:created>
  <dcterms:modified xsi:type="dcterms:W3CDTF">2025-04-21T21:41:00Z</dcterms:modified>
</cp:coreProperties>
</file>