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302BA888" w:rsidR="007373B8" w:rsidRPr="000270E6" w:rsidRDefault="00977B12" w:rsidP="00A201D7">
      <w:pPr>
        <w:jc w:val="center"/>
        <w:rPr>
          <w:rFonts w:ascii="Arial" w:hAnsi="Arial" w:cs="Arial"/>
          <w:sz w:val="22"/>
          <w:szCs w:val="22"/>
          <w:lang w:val="es-PE"/>
        </w:rPr>
      </w:pPr>
      <w:r w:rsidRPr="007D0CBA">
        <w:rPr>
          <w:rFonts w:ascii="Arial" w:hAnsi="Arial" w:cs="Arial"/>
          <w:bCs/>
          <w:sz w:val="22"/>
          <w:szCs w:val="22"/>
          <w:lang w:val="es-PE"/>
        </w:rPr>
        <w:t xml:space="preserve">Innovación social en la gestión comunitaria de un proyecto de energía solar </w:t>
      </w:r>
      <w:r w:rsidRPr="007D0CBA">
        <w:rPr>
          <w:rFonts w:ascii="Arial" w:hAnsi="Arial" w:cs="Arial"/>
          <w:bCs/>
          <w:sz w:val="22"/>
          <w:szCs w:val="22"/>
          <w:lang w:val="es-PE"/>
        </w:rPr>
        <w:br/>
        <w:t>con impacto en el sector minero</w:t>
      </w:r>
      <w:r>
        <w:rPr>
          <w:rFonts w:ascii="Arial" w:hAnsi="Arial" w:cs="Arial"/>
          <w:bCs/>
          <w:sz w:val="22"/>
          <w:szCs w:val="22"/>
          <w:lang w:val="es-PE"/>
        </w:rPr>
        <w:br/>
      </w:r>
      <w:r w:rsidR="007D0CBA">
        <w:rPr>
          <w:rFonts w:ascii="Arial" w:hAnsi="Arial" w:cs="Arial"/>
          <w:sz w:val="22"/>
          <w:szCs w:val="22"/>
          <w:lang w:val="es-PE"/>
        </w:rPr>
        <w:t>(</w:t>
      </w:r>
      <w:r w:rsidRPr="00977B12">
        <w:rPr>
          <w:rFonts w:ascii="Arial" w:hAnsi="Arial" w:cs="Arial"/>
          <w:sz w:val="22"/>
          <w:szCs w:val="22"/>
          <w:lang w:val="es-PE"/>
        </w:rPr>
        <w:t xml:space="preserve">ESG </w:t>
      </w:r>
      <w:proofErr w:type="spellStart"/>
      <w:r w:rsidRPr="00977B12">
        <w:rPr>
          <w:rFonts w:ascii="Arial" w:hAnsi="Arial" w:cs="Arial"/>
          <w:sz w:val="22"/>
          <w:szCs w:val="22"/>
          <w:lang w:val="es-PE"/>
        </w:rPr>
        <w:t>Environmental</w:t>
      </w:r>
      <w:proofErr w:type="spellEnd"/>
      <w:r w:rsidRPr="00977B12">
        <w:rPr>
          <w:rFonts w:ascii="Arial" w:hAnsi="Arial" w:cs="Arial"/>
          <w:sz w:val="22"/>
          <w:szCs w:val="22"/>
          <w:lang w:val="es-PE"/>
        </w:rPr>
        <w:t xml:space="preserve">, Social, </w:t>
      </w:r>
      <w:proofErr w:type="spellStart"/>
      <w:r w:rsidRPr="00977B12">
        <w:rPr>
          <w:rFonts w:ascii="Arial" w:hAnsi="Arial" w:cs="Arial"/>
          <w:sz w:val="22"/>
          <w:szCs w:val="22"/>
          <w:lang w:val="es-PE"/>
        </w:rPr>
        <w:t>Governance</w:t>
      </w:r>
      <w:proofErr w:type="spellEnd"/>
      <w:r w:rsidR="00493C85" w:rsidRPr="000270E6">
        <w:rPr>
          <w:rFonts w:ascii="Arial" w:hAnsi="Arial" w:cs="Arial"/>
          <w:sz w:val="22"/>
          <w:szCs w:val="22"/>
          <w:lang w:val="es-PE"/>
        </w:rPr>
        <w:t xml:space="preserve"> - </w:t>
      </w:r>
      <w:proofErr w:type="spellStart"/>
      <w:r w:rsidRPr="007F1DEF">
        <w:rPr>
          <w:rFonts w:ascii="Arial" w:hAnsi="Arial" w:cs="Arial"/>
          <w:sz w:val="22"/>
          <w:szCs w:val="22"/>
        </w:rPr>
        <w:t>Nuevos</w:t>
      </w:r>
      <w:proofErr w:type="spellEnd"/>
      <w:r w:rsidRPr="007F1DEF">
        <w:rPr>
          <w:rFonts w:ascii="Arial" w:hAnsi="Arial" w:cs="Arial"/>
          <w:sz w:val="22"/>
          <w:szCs w:val="22"/>
        </w:rPr>
        <w:t xml:space="preserve"> </w:t>
      </w:r>
      <w:proofErr w:type="spellStart"/>
      <w:r w:rsidRPr="007F1DEF">
        <w:rPr>
          <w:rFonts w:ascii="Arial" w:hAnsi="Arial" w:cs="Arial"/>
          <w:sz w:val="22"/>
          <w:szCs w:val="22"/>
        </w:rPr>
        <w:t>enfoques</w:t>
      </w:r>
      <w:proofErr w:type="spellEnd"/>
      <w:r w:rsidRPr="007F1DEF">
        <w:rPr>
          <w:rFonts w:ascii="Arial" w:hAnsi="Arial" w:cs="Arial"/>
          <w:sz w:val="22"/>
          <w:szCs w:val="22"/>
        </w:rPr>
        <w:t xml:space="preserve"> en </w:t>
      </w:r>
      <w:proofErr w:type="spellStart"/>
      <w:r w:rsidRPr="007F1DEF">
        <w:rPr>
          <w:rFonts w:ascii="Arial" w:hAnsi="Arial" w:cs="Arial"/>
          <w:sz w:val="22"/>
          <w:szCs w:val="22"/>
        </w:rPr>
        <w:t>relacionamiento</w:t>
      </w:r>
      <w:proofErr w:type="spellEnd"/>
      <w:r w:rsidRPr="007F1DEF">
        <w:rPr>
          <w:rFonts w:ascii="Arial" w:hAnsi="Arial" w:cs="Arial"/>
          <w:sz w:val="22"/>
          <w:szCs w:val="22"/>
        </w:rPr>
        <w:t xml:space="preserve"> </w:t>
      </w:r>
      <w:proofErr w:type="spellStart"/>
      <w:r w:rsidRPr="007F1DEF">
        <w:rPr>
          <w:rFonts w:ascii="Arial" w:hAnsi="Arial" w:cs="Arial"/>
          <w:sz w:val="22"/>
          <w:szCs w:val="22"/>
        </w:rPr>
        <w:t>comunitario</w:t>
      </w:r>
      <w:proofErr w:type="spellEnd"/>
      <w:r w:rsidR="007D0CBA">
        <w:rPr>
          <w:rFonts w:ascii="Arial" w:hAnsi="Arial" w:cs="Arial"/>
          <w:sz w:val="22"/>
          <w:szCs w:val="22"/>
        </w:rPr>
        <w:t>)</w:t>
      </w:r>
    </w:p>
    <w:p w14:paraId="03D0F56A" w14:textId="77777777" w:rsidR="00A05DB9" w:rsidRPr="000270E6" w:rsidRDefault="00A05DB9" w:rsidP="007373B8">
      <w:pPr>
        <w:rPr>
          <w:rFonts w:ascii="Arial" w:hAnsi="Arial" w:cs="Arial"/>
          <w:sz w:val="22"/>
          <w:szCs w:val="22"/>
        </w:rPr>
      </w:pPr>
    </w:p>
    <w:p w14:paraId="02638C59" w14:textId="0ADDDDBC" w:rsidR="0087565A" w:rsidRPr="000270E6" w:rsidRDefault="00977B12" w:rsidP="0087565A">
      <w:pPr>
        <w:jc w:val="center"/>
        <w:rPr>
          <w:rFonts w:ascii="Arial" w:hAnsi="Arial" w:cs="Arial"/>
          <w:b/>
          <w:bCs/>
          <w:sz w:val="22"/>
          <w:szCs w:val="22"/>
          <w:lang w:val="es-PE"/>
        </w:rPr>
      </w:pPr>
      <w:r>
        <w:rPr>
          <w:rFonts w:ascii="Arial" w:hAnsi="Arial" w:cs="Arial"/>
          <w:b/>
          <w:bCs/>
          <w:sz w:val="22"/>
          <w:szCs w:val="22"/>
          <w:lang w:val="es-PE"/>
        </w:rPr>
        <w:t>Gianfranco Vigo</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398996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proofErr w:type="spellStart"/>
      <w:r w:rsidR="00977B12">
        <w:rPr>
          <w:rFonts w:ascii="Arial" w:hAnsi="Arial" w:cs="Arial"/>
          <w:sz w:val="22"/>
          <w:szCs w:val="22"/>
          <w:lang w:val="es-PE"/>
        </w:rPr>
        <w:t>Kallpa</w:t>
      </w:r>
      <w:proofErr w:type="spellEnd"/>
      <w:r w:rsidR="00977B12">
        <w:rPr>
          <w:rFonts w:ascii="Arial" w:hAnsi="Arial" w:cs="Arial"/>
          <w:sz w:val="22"/>
          <w:szCs w:val="22"/>
          <w:lang w:val="es-PE"/>
        </w:rPr>
        <w:t xml:space="preserve"> Generación S. A.</w:t>
      </w:r>
      <w:r w:rsidR="00047A63" w:rsidRPr="000270E6">
        <w:rPr>
          <w:rFonts w:ascii="Arial" w:hAnsi="Arial" w:cs="Arial"/>
          <w:sz w:val="22"/>
          <w:szCs w:val="22"/>
          <w:lang w:val="es-PE"/>
        </w:rPr>
        <w:t xml:space="preserve">, </w:t>
      </w:r>
      <w:r w:rsidR="00977B12">
        <w:rPr>
          <w:rFonts w:ascii="Arial" w:hAnsi="Arial" w:cs="Arial"/>
          <w:sz w:val="22"/>
          <w:szCs w:val="22"/>
          <w:lang w:val="es-PE"/>
        </w:rPr>
        <w:t>Cajamarca</w:t>
      </w:r>
      <w:r w:rsidR="00047A63" w:rsidRPr="000270E6">
        <w:rPr>
          <w:rFonts w:ascii="Arial" w:hAnsi="Arial" w:cs="Arial"/>
          <w:sz w:val="22"/>
          <w:szCs w:val="22"/>
          <w:lang w:val="es-PE"/>
        </w:rPr>
        <w:t>,</w:t>
      </w:r>
      <w:r w:rsidR="00977B12">
        <w:rPr>
          <w:rFonts w:ascii="Arial" w:hAnsi="Arial" w:cs="Arial"/>
          <w:sz w:val="22"/>
          <w:szCs w:val="22"/>
          <w:lang w:val="es-PE"/>
        </w:rPr>
        <w:t xml:space="preserve"> 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977B12" w:rsidRPr="00977B12">
        <w:rPr>
          <w:rFonts w:ascii="Arial" w:hAnsi="Arial" w:cs="Arial"/>
          <w:sz w:val="22"/>
          <w:szCs w:val="22"/>
          <w:lang w:val="es-PE"/>
        </w:rPr>
        <w:t>gianfranco.vigo@kg.com.pe</w:t>
      </w:r>
      <w:r w:rsidR="00977B12">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977B12">
        <w:rPr>
          <w:rFonts w:ascii="Arial" w:hAnsi="Arial" w:cs="Arial"/>
          <w:sz w:val="22"/>
          <w:szCs w:val="22"/>
          <w:lang w:val="es-PE"/>
        </w:rPr>
        <w:t>994947026</w:t>
      </w:r>
      <w:r w:rsidR="003C6D44" w:rsidRPr="000270E6">
        <w:rPr>
          <w:rFonts w:ascii="Arial" w:hAnsi="Arial" w:cs="Arial"/>
          <w:sz w:val="22"/>
          <w:szCs w:val="22"/>
          <w:lang w:val="es-PE"/>
        </w:rPr>
        <w:t>)</w:t>
      </w:r>
    </w:p>
    <w:p w14:paraId="42271F3F" w14:textId="2F285782"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footerReference w:type="even" r:id="rId8"/>
          <w:headerReference w:type="first" r:id="rId9"/>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0412D88A" w14:textId="101134A8" w:rsidR="00AA4DC5" w:rsidRPr="00AA4DC5" w:rsidRDefault="00AA4DC5" w:rsidP="00AA4DC5">
      <w:pPr>
        <w:jc w:val="both"/>
        <w:rPr>
          <w:rFonts w:ascii="Arial" w:hAnsi="Arial" w:cs="Arial"/>
          <w:bCs/>
          <w:sz w:val="22"/>
          <w:szCs w:val="22"/>
          <w:lang w:val="es-PE"/>
        </w:rPr>
      </w:pPr>
      <w:r w:rsidRPr="00AA4DC5">
        <w:rPr>
          <w:rFonts w:ascii="Arial" w:hAnsi="Arial" w:cs="Arial"/>
          <w:bCs/>
          <w:sz w:val="22"/>
          <w:szCs w:val="22"/>
          <w:lang w:val="es-PE"/>
        </w:rPr>
        <w:t xml:space="preserve">Este trabajo analiza la implementación del Plan de Relaciones Comunitarias durante la construcción de la Central Solar Fotovoltaica San Martín (La Joya, Arequipa), desarrollada por </w:t>
      </w:r>
      <w:proofErr w:type="spellStart"/>
      <w:r w:rsidRPr="00AA4DC5">
        <w:rPr>
          <w:rFonts w:ascii="Arial" w:hAnsi="Arial" w:cs="Arial"/>
          <w:bCs/>
          <w:sz w:val="22"/>
          <w:szCs w:val="22"/>
          <w:lang w:val="es-PE"/>
        </w:rPr>
        <w:t>Zelestra</w:t>
      </w:r>
      <w:proofErr w:type="spellEnd"/>
      <w:r>
        <w:rPr>
          <w:rFonts w:ascii="Arial" w:hAnsi="Arial" w:cs="Arial"/>
          <w:bCs/>
          <w:sz w:val="22"/>
          <w:szCs w:val="22"/>
          <w:lang w:val="es-PE"/>
        </w:rPr>
        <w:t>, y que abastecerá</w:t>
      </w:r>
      <w:r w:rsidRPr="00AA4DC5">
        <w:rPr>
          <w:rFonts w:ascii="Arial" w:hAnsi="Arial" w:cs="Arial"/>
          <w:bCs/>
          <w:sz w:val="22"/>
          <w:szCs w:val="22"/>
          <w:lang w:val="es-PE"/>
        </w:rPr>
        <w:t xml:space="preserve"> con energía limpia a</w:t>
      </w:r>
      <w:r>
        <w:rPr>
          <w:rFonts w:ascii="Arial" w:hAnsi="Arial" w:cs="Arial"/>
          <w:bCs/>
          <w:sz w:val="22"/>
          <w:szCs w:val="22"/>
          <w:lang w:val="es-PE"/>
        </w:rPr>
        <w:t xml:space="preserve"> varias empresas del</w:t>
      </w:r>
      <w:r w:rsidRPr="00AA4DC5">
        <w:rPr>
          <w:rFonts w:ascii="Arial" w:hAnsi="Arial" w:cs="Arial"/>
          <w:bCs/>
          <w:sz w:val="22"/>
          <w:szCs w:val="22"/>
          <w:lang w:val="es-PE"/>
        </w:rPr>
        <w:t xml:space="preserve"> sector minero peruano</w:t>
      </w:r>
      <w:r>
        <w:rPr>
          <w:rFonts w:ascii="Arial" w:hAnsi="Arial" w:cs="Arial"/>
          <w:bCs/>
          <w:sz w:val="22"/>
          <w:szCs w:val="22"/>
          <w:lang w:val="es-PE"/>
        </w:rPr>
        <w:t xml:space="preserve"> a través de </w:t>
      </w:r>
      <w:proofErr w:type="spellStart"/>
      <w:r>
        <w:rPr>
          <w:rFonts w:ascii="Arial" w:hAnsi="Arial" w:cs="Arial"/>
          <w:bCs/>
          <w:sz w:val="22"/>
          <w:szCs w:val="22"/>
          <w:lang w:val="es-PE"/>
        </w:rPr>
        <w:t>Kallpa</w:t>
      </w:r>
      <w:proofErr w:type="spellEnd"/>
      <w:r>
        <w:rPr>
          <w:rFonts w:ascii="Arial" w:hAnsi="Arial" w:cs="Arial"/>
          <w:bCs/>
          <w:sz w:val="22"/>
          <w:szCs w:val="22"/>
          <w:lang w:val="es-PE"/>
        </w:rPr>
        <w:t xml:space="preserve"> Generación</w:t>
      </w:r>
      <w:r w:rsidRPr="00AA4DC5">
        <w:rPr>
          <w:rFonts w:ascii="Arial" w:hAnsi="Arial" w:cs="Arial"/>
          <w:bCs/>
          <w:sz w:val="22"/>
          <w:szCs w:val="22"/>
          <w:lang w:val="es-PE"/>
        </w:rPr>
        <w:t>. Frente a una comunidad con escasa información y sobre</w:t>
      </w:r>
      <w:r>
        <w:rPr>
          <w:rFonts w:ascii="Arial" w:hAnsi="Arial" w:cs="Arial"/>
          <w:bCs/>
          <w:sz w:val="22"/>
          <w:szCs w:val="22"/>
          <w:lang w:val="es-PE"/>
        </w:rPr>
        <w:t xml:space="preserve"> </w:t>
      </w:r>
      <w:r w:rsidRPr="00AA4DC5">
        <w:rPr>
          <w:rFonts w:ascii="Arial" w:hAnsi="Arial" w:cs="Arial"/>
          <w:bCs/>
          <w:sz w:val="22"/>
          <w:szCs w:val="22"/>
          <w:lang w:val="es-PE"/>
        </w:rPr>
        <w:t>expectativas, se diseñó una estrategia de gestión social que combinó enfoques de comunicación para el desarrollo y valor compartido, logrando transformar un escenario de desconfianza inicial en aceptación social legítima.</w:t>
      </w:r>
    </w:p>
    <w:p w14:paraId="6209D99B" w14:textId="77777777" w:rsidR="00AA4DC5" w:rsidRPr="00AA4DC5" w:rsidRDefault="00AA4DC5" w:rsidP="00AA4DC5">
      <w:pPr>
        <w:jc w:val="both"/>
        <w:rPr>
          <w:rFonts w:ascii="Arial" w:hAnsi="Arial" w:cs="Arial"/>
          <w:bCs/>
          <w:sz w:val="22"/>
          <w:szCs w:val="22"/>
          <w:lang w:val="es-PE"/>
        </w:rPr>
      </w:pPr>
    </w:p>
    <w:p w14:paraId="2EEE0758" w14:textId="605199AD" w:rsidR="00AA4DC5" w:rsidRPr="00AA4DC5" w:rsidRDefault="00AA4DC5" w:rsidP="00AA4DC5">
      <w:pPr>
        <w:jc w:val="both"/>
        <w:rPr>
          <w:rFonts w:ascii="Arial" w:hAnsi="Arial" w:cs="Arial"/>
          <w:bCs/>
          <w:sz w:val="22"/>
          <w:szCs w:val="22"/>
          <w:lang w:val="es-PE"/>
        </w:rPr>
      </w:pPr>
      <w:r w:rsidRPr="00AA4DC5">
        <w:rPr>
          <w:rFonts w:ascii="Arial" w:hAnsi="Arial" w:cs="Arial"/>
          <w:bCs/>
          <w:sz w:val="22"/>
          <w:szCs w:val="22"/>
          <w:lang w:val="es-PE"/>
        </w:rPr>
        <w:t>Entre los principales resultados destacan</w:t>
      </w:r>
      <w:r>
        <w:rPr>
          <w:rFonts w:ascii="Arial" w:hAnsi="Arial" w:cs="Arial"/>
          <w:bCs/>
          <w:sz w:val="22"/>
          <w:szCs w:val="22"/>
          <w:lang w:val="es-PE"/>
        </w:rPr>
        <w:t xml:space="preserve"> </w:t>
      </w:r>
      <w:r w:rsidRPr="00AA4DC5">
        <w:rPr>
          <w:rFonts w:ascii="Arial" w:hAnsi="Arial" w:cs="Arial"/>
          <w:bCs/>
          <w:sz w:val="22"/>
          <w:szCs w:val="22"/>
          <w:lang w:val="es-PE"/>
        </w:rPr>
        <w:t xml:space="preserve">la contratación de más de </w:t>
      </w:r>
      <w:r w:rsidR="00722E56">
        <w:rPr>
          <w:rFonts w:ascii="Arial" w:hAnsi="Arial" w:cs="Arial"/>
          <w:bCs/>
          <w:sz w:val="22"/>
          <w:szCs w:val="22"/>
          <w:lang w:val="es-PE"/>
        </w:rPr>
        <w:t>180</w:t>
      </w:r>
      <w:r w:rsidRPr="00AA4DC5">
        <w:rPr>
          <w:rFonts w:ascii="Arial" w:hAnsi="Arial" w:cs="Arial"/>
          <w:bCs/>
          <w:sz w:val="22"/>
          <w:szCs w:val="22"/>
          <w:lang w:val="es-PE"/>
        </w:rPr>
        <w:t xml:space="preserve"> </w:t>
      </w:r>
      <w:r>
        <w:rPr>
          <w:rFonts w:ascii="Arial" w:hAnsi="Arial" w:cs="Arial"/>
          <w:bCs/>
          <w:sz w:val="22"/>
          <w:szCs w:val="22"/>
          <w:lang w:val="es-PE"/>
        </w:rPr>
        <w:t>personas</w:t>
      </w:r>
      <w:r w:rsidRPr="00AA4DC5">
        <w:rPr>
          <w:rFonts w:ascii="Arial" w:hAnsi="Arial" w:cs="Arial"/>
          <w:bCs/>
          <w:sz w:val="22"/>
          <w:szCs w:val="22"/>
          <w:lang w:val="es-PE"/>
        </w:rPr>
        <w:t xml:space="preserve"> </w:t>
      </w:r>
      <w:r>
        <w:rPr>
          <w:rFonts w:ascii="Arial" w:hAnsi="Arial" w:cs="Arial"/>
          <w:bCs/>
          <w:sz w:val="22"/>
          <w:szCs w:val="22"/>
          <w:lang w:val="es-PE"/>
        </w:rPr>
        <w:t>locales del área de influencia directa</w:t>
      </w:r>
      <w:r w:rsidRPr="00AA4DC5">
        <w:rPr>
          <w:rFonts w:ascii="Arial" w:hAnsi="Arial" w:cs="Arial"/>
          <w:bCs/>
          <w:sz w:val="22"/>
          <w:szCs w:val="22"/>
          <w:lang w:val="es-PE"/>
        </w:rPr>
        <w:t xml:space="preserve">, la reducción de conflictos pese a la presión </w:t>
      </w:r>
      <w:r>
        <w:rPr>
          <w:rFonts w:ascii="Arial" w:hAnsi="Arial" w:cs="Arial"/>
          <w:bCs/>
          <w:sz w:val="22"/>
          <w:szCs w:val="22"/>
          <w:lang w:val="es-PE"/>
        </w:rPr>
        <w:t>de sindicatos de construcción civil</w:t>
      </w:r>
      <w:r w:rsidRPr="00AA4DC5">
        <w:rPr>
          <w:rFonts w:ascii="Arial" w:hAnsi="Arial" w:cs="Arial"/>
          <w:bCs/>
          <w:sz w:val="22"/>
          <w:szCs w:val="22"/>
          <w:lang w:val="es-PE"/>
        </w:rPr>
        <w:t xml:space="preserve">, la realización de 12 jornadas informativas, y la ejecución de programas educativos, productivos y ambientales con más de </w:t>
      </w:r>
      <w:r w:rsidR="00EF36BD">
        <w:rPr>
          <w:rFonts w:ascii="Arial" w:hAnsi="Arial" w:cs="Arial"/>
          <w:bCs/>
          <w:sz w:val="22"/>
          <w:szCs w:val="22"/>
          <w:lang w:val="es-PE"/>
        </w:rPr>
        <w:t>850</w:t>
      </w:r>
      <w:r w:rsidRPr="00AA4DC5">
        <w:rPr>
          <w:rFonts w:ascii="Arial" w:hAnsi="Arial" w:cs="Arial"/>
          <w:bCs/>
          <w:sz w:val="22"/>
          <w:szCs w:val="22"/>
          <w:lang w:val="es-PE"/>
        </w:rPr>
        <w:t xml:space="preserve"> beneficiarios directos</w:t>
      </w:r>
      <w:r w:rsidR="00EF36BD">
        <w:rPr>
          <w:rFonts w:ascii="Arial" w:hAnsi="Arial" w:cs="Arial"/>
          <w:bCs/>
          <w:sz w:val="22"/>
          <w:szCs w:val="22"/>
          <w:lang w:val="es-PE"/>
        </w:rPr>
        <w:t>, incluido un programa de confección de mobiliario escolar con la madera recuperada del proceso de construcción del proyecto.</w:t>
      </w:r>
      <w:r w:rsidRPr="00AA4DC5">
        <w:rPr>
          <w:rFonts w:ascii="Arial" w:hAnsi="Arial" w:cs="Arial"/>
          <w:bCs/>
          <w:sz w:val="22"/>
          <w:szCs w:val="22"/>
          <w:lang w:val="es-PE"/>
        </w:rPr>
        <w:t xml:space="preserve"> La comunidad pasó de ver el proyecto con recelo a expresar orgullo por participar en su construcción, reflejado en testimonios y mayor cohesión social.</w:t>
      </w:r>
    </w:p>
    <w:p w14:paraId="7C9C945B" w14:textId="77777777" w:rsidR="00AA4DC5" w:rsidRPr="00AA4DC5" w:rsidRDefault="00AA4DC5" w:rsidP="00AA4DC5">
      <w:pPr>
        <w:jc w:val="both"/>
        <w:rPr>
          <w:rFonts w:ascii="Arial" w:hAnsi="Arial" w:cs="Arial"/>
          <w:bCs/>
          <w:sz w:val="22"/>
          <w:szCs w:val="22"/>
          <w:lang w:val="es-PE"/>
        </w:rPr>
      </w:pPr>
    </w:p>
    <w:p w14:paraId="2CA34DE7" w14:textId="2772A259" w:rsidR="00AA4DC5" w:rsidRDefault="00AA4DC5" w:rsidP="00AA4DC5">
      <w:pPr>
        <w:jc w:val="both"/>
        <w:rPr>
          <w:rFonts w:ascii="Arial" w:hAnsi="Arial" w:cs="Arial"/>
          <w:bCs/>
          <w:sz w:val="22"/>
          <w:szCs w:val="22"/>
          <w:lang w:val="es-PE"/>
        </w:rPr>
      </w:pPr>
      <w:r w:rsidRPr="00AA4DC5">
        <w:rPr>
          <w:rFonts w:ascii="Arial" w:hAnsi="Arial" w:cs="Arial"/>
          <w:bCs/>
          <w:sz w:val="22"/>
          <w:szCs w:val="22"/>
          <w:lang w:val="es-PE"/>
        </w:rPr>
        <w:t>San Martín no replicó modelos asistencialistas, sino que promovió una gestión desde la escucha, el diálogo y la generación de valor mutuo. El caso evidencia que los proyectos de energía renovable pueden impulsar innovación social cuando articulan sostenibilidad operativa con desarrollo local.</w:t>
      </w:r>
    </w:p>
    <w:p w14:paraId="126DFED4" w14:textId="77777777" w:rsidR="00AA4DC5" w:rsidRDefault="00AA4DC5" w:rsidP="00AA4DC5">
      <w:pPr>
        <w:jc w:val="both"/>
        <w:rPr>
          <w:rFonts w:ascii="Arial" w:hAnsi="Arial" w:cs="Arial"/>
          <w:bCs/>
          <w:sz w:val="22"/>
          <w:szCs w:val="22"/>
          <w:lang w:val="es-PE"/>
        </w:rPr>
      </w:pPr>
    </w:p>
    <w:p w14:paraId="113109B4" w14:textId="0FF05809" w:rsidR="00441B34" w:rsidRPr="000270E6" w:rsidRDefault="00F7409F" w:rsidP="00AA4DC5">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4C6B66DD"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 xml:space="preserve">Era mayo de 2024 cuando el árido desierto de La Joya, en la región Arequipa, de pronto empezó a brillar. Se trataba de la instalación de miles de paneles solares del proyecto Central Solar Fotovoltaica San Martín, construido por </w:t>
      </w:r>
      <w:proofErr w:type="spellStart"/>
      <w:r w:rsidRPr="00977B12">
        <w:rPr>
          <w:rFonts w:ascii="Arial" w:hAnsi="Arial" w:cs="Arial"/>
          <w:sz w:val="22"/>
          <w:szCs w:val="22"/>
          <w:lang w:val="es-PE"/>
        </w:rPr>
        <w:t>Zelestra</w:t>
      </w:r>
      <w:proofErr w:type="spellEnd"/>
      <w:r w:rsidRPr="00977B12">
        <w:rPr>
          <w:rFonts w:ascii="Arial" w:hAnsi="Arial" w:cs="Arial"/>
          <w:sz w:val="22"/>
          <w:szCs w:val="22"/>
          <w:lang w:val="es-PE"/>
        </w:rPr>
        <w:t xml:space="preserve"> y que, a la fecha, representa el proyecto más grande de su tipo en el Perú para generar energía limpia. Para la población de comunidades vecinas, era la primera vez que escuchaban hablar de energía solar a gran escala. Para nuestro país, representaba un paso más hacia la tan ansiada </w:t>
      </w:r>
      <w:r w:rsidRPr="00977B12">
        <w:rPr>
          <w:rFonts w:ascii="Arial" w:hAnsi="Arial" w:cs="Arial"/>
          <w:sz w:val="22"/>
          <w:szCs w:val="22"/>
          <w:lang w:val="es-PE"/>
        </w:rPr>
        <w:t>transición energética. Para el sector minero, es una oportunidad de transformarse.</w:t>
      </w:r>
    </w:p>
    <w:p w14:paraId="6915C7E6" w14:textId="77777777" w:rsidR="00977B12" w:rsidRPr="00977B12" w:rsidRDefault="00977B12" w:rsidP="00977B12">
      <w:pPr>
        <w:jc w:val="both"/>
        <w:rPr>
          <w:rFonts w:ascii="Arial" w:hAnsi="Arial" w:cs="Arial"/>
          <w:sz w:val="22"/>
          <w:szCs w:val="22"/>
          <w:lang w:val="es-PE"/>
        </w:rPr>
      </w:pPr>
    </w:p>
    <w:p w14:paraId="4F55F93C"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 xml:space="preserve">La minería en el Perú ha representado en la última década por lo menos el 10% del PBI nacional y más del 60% de sus exportaciones (IPE 2021; </w:t>
      </w:r>
      <w:proofErr w:type="spellStart"/>
      <w:r w:rsidRPr="00977B12">
        <w:rPr>
          <w:rFonts w:ascii="Arial" w:hAnsi="Arial" w:cs="Arial"/>
          <w:sz w:val="22"/>
          <w:szCs w:val="22"/>
          <w:lang w:val="es-PE"/>
        </w:rPr>
        <w:t>CooperAcción</w:t>
      </w:r>
      <w:proofErr w:type="spellEnd"/>
      <w:r w:rsidRPr="00977B12">
        <w:rPr>
          <w:rFonts w:ascii="Arial" w:hAnsi="Arial" w:cs="Arial"/>
          <w:sz w:val="22"/>
          <w:szCs w:val="22"/>
          <w:lang w:val="es-PE"/>
        </w:rPr>
        <w:t xml:space="preserve"> 2025). Sin embargo, impulsar la competitividad del sector en nuestro país enfrenta retos que ya no se limitan a variables como la cantidad de recursos disponibles o el marco regulatorio, sino que involucra cada vez más la necesidad de reducir su impacto ambiental mediante estrategias de descarbonización para reducir emisiones y mejorar el desempeño financiero y competitivo de las empresas, alineándolos con metas de sostenibilidad (</w:t>
      </w:r>
      <w:proofErr w:type="spellStart"/>
      <w:r w:rsidRPr="00977B12">
        <w:rPr>
          <w:rFonts w:ascii="Arial" w:hAnsi="Arial" w:cs="Arial"/>
          <w:sz w:val="22"/>
          <w:szCs w:val="22"/>
          <w:lang w:val="es-PE"/>
        </w:rPr>
        <w:t>Adomako</w:t>
      </w:r>
      <w:proofErr w:type="spellEnd"/>
      <w:r w:rsidRPr="00977B12">
        <w:rPr>
          <w:rFonts w:ascii="Arial" w:hAnsi="Arial" w:cs="Arial"/>
          <w:sz w:val="22"/>
          <w:szCs w:val="22"/>
          <w:lang w:val="es-PE"/>
        </w:rPr>
        <w:t xml:space="preserve"> 2022). </w:t>
      </w:r>
    </w:p>
    <w:p w14:paraId="11733390" w14:textId="77777777" w:rsidR="00977B12" w:rsidRPr="00977B12" w:rsidRDefault="00977B12" w:rsidP="00977B12">
      <w:pPr>
        <w:jc w:val="both"/>
        <w:rPr>
          <w:rFonts w:ascii="Arial" w:hAnsi="Arial" w:cs="Arial"/>
          <w:sz w:val="22"/>
          <w:szCs w:val="22"/>
          <w:lang w:val="es-PE"/>
        </w:rPr>
      </w:pPr>
    </w:p>
    <w:p w14:paraId="3047618B"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En tal sentido, la transición energética hacia fuentes renovables ya no es un ideal a largo plazo, sino que organismos como el Consejo Internacional de Minería y Metales (ICMM) la reconocen como una exigencia inmediata asumiendo el compromiso de alcanzar emisiones netas cero de gases de efecto invernadero para 2050 o antes, en línea con los objetivos del Acuerdo de París. Ello incluye las emisiones de alcance 2 (</w:t>
      </w:r>
      <w:proofErr w:type="spellStart"/>
      <w:r w:rsidRPr="00977B12">
        <w:rPr>
          <w:rFonts w:ascii="Arial" w:hAnsi="Arial" w:cs="Arial"/>
          <w:sz w:val="22"/>
          <w:szCs w:val="22"/>
          <w:lang w:val="es-PE"/>
        </w:rPr>
        <w:t>Scope</w:t>
      </w:r>
      <w:proofErr w:type="spellEnd"/>
      <w:r w:rsidRPr="00977B12">
        <w:rPr>
          <w:rFonts w:ascii="Arial" w:hAnsi="Arial" w:cs="Arial"/>
          <w:sz w:val="22"/>
          <w:szCs w:val="22"/>
          <w:lang w:val="es-PE"/>
        </w:rPr>
        <w:t xml:space="preserve"> 2 </w:t>
      </w:r>
      <w:proofErr w:type="spellStart"/>
      <w:r w:rsidRPr="00977B12">
        <w:rPr>
          <w:rFonts w:ascii="Arial" w:hAnsi="Arial" w:cs="Arial"/>
          <w:sz w:val="22"/>
          <w:szCs w:val="22"/>
          <w:lang w:val="es-PE"/>
        </w:rPr>
        <w:t>emissions</w:t>
      </w:r>
      <w:proofErr w:type="spellEnd"/>
      <w:r w:rsidRPr="00977B12">
        <w:rPr>
          <w:rFonts w:ascii="Arial" w:hAnsi="Arial" w:cs="Arial"/>
          <w:sz w:val="22"/>
          <w:szCs w:val="22"/>
          <w:lang w:val="es-PE"/>
        </w:rPr>
        <w:t xml:space="preserve">) que provienen del consumo de electricidad, reemplazando su fuente por alternativas renovables (ICMM 2021). </w:t>
      </w:r>
    </w:p>
    <w:p w14:paraId="5C4B35A5" w14:textId="77777777" w:rsidR="00977B12" w:rsidRPr="00977B12" w:rsidRDefault="00977B12" w:rsidP="00977B12">
      <w:pPr>
        <w:jc w:val="both"/>
        <w:rPr>
          <w:rFonts w:ascii="Arial" w:hAnsi="Arial" w:cs="Arial"/>
          <w:sz w:val="22"/>
          <w:szCs w:val="22"/>
          <w:lang w:val="es-PE"/>
        </w:rPr>
      </w:pPr>
    </w:p>
    <w:p w14:paraId="3D75D6CE"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 xml:space="preserve">Asimismo, la Corporación Financiera Internacional (IFC) también impulsa modelos de abastecimiento energético sostenible como parte de sus estándares de desempeño ambiental y social (2012). En la misma línea, el mercado financiero global en general ya exige compromisos con la descarbonización para acceder a capital y mantenerse en índices como el Dow Jones </w:t>
      </w:r>
      <w:proofErr w:type="spellStart"/>
      <w:r w:rsidRPr="00977B12">
        <w:rPr>
          <w:rFonts w:ascii="Arial" w:hAnsi="Arial" w:cs="Arial"/>
          <w:sz w:val="22"/>
          <w:szCs w:val="22"/>
          <w:lang w:val="es-PE"/>
        </w:rPr>
        <w:t>Sustainability</w:t>
      </w:r>
      <w:proofErr w:type="spellEnd"/>
      <w:r w:rsidRPr="00977B12">
        <w:rPr>
          <w:rFonts w:ascii="Arial" w:hAnsi="Arial" w:cs="Arial"/>
          <w:sz w:val="22"/>
          <w:szCs w:val="22"/>
          <w:lang w:val="es-PE"/>
        </w:rPr>
        <w:t xml:space="preserve"> </w:t>
      </w:r>
      <w:proofErr w:type="spellStart"/>
      <w:r w:rsidRPr="00977B12">
        <w:rPr>
          <w:rFonts w:ascii="Arial" w:hAnsi="Arial" w:cs="Arial"/>
          <w:sz w:val="22"/>
          <w:szCs w:val="22"/>
          <w:lang w:val="es-PE"/>
        </w:rPr>
        <w:t>Index</w:t>
      </w:r>
      <w:proofErr w:type="spellEnd"/>
      <w:r w:rsidRPr="00977B12">
        <w:rPr>
          <w:rFonts w:ascii="Arial" w:hAnsi="Arial" w:cs="Arial"/>
          <w:sz w:val="22"/>
          <w:szCs w:val="22"/>
          <w:lang w:val="es-PE"/>
        </w:rPr>
        <w:t xml:space="preserve"> o bolsas como la NYSE, LSE o Frankfurt. Adoptar energías limpias fortalece el perfil ESG de las empresas mineras, mejorando su reputación, acceso a financiamiento e interés de los inversionistas (Zhou 2022).</w:t>
      </w:r>
    </w:p>
    <w:p w14:paraId="16F2CA40" w14:textId="77777777" w:rsidR="00977B12" w:rsidRPr="00977B12" w:rsidRDefault="00977B12" w:rsidP="00977B12">
      <w:pPr>
        <w:jc w:val="both"/>
        <w:rPr>
          <w:rFonts w:ascii="Arial" w:hAnsi="Arial" w:cs="Arial"/>
          <w:sz w:val="22"/>
          <w:szCs w:val="22"/>
          <w:lang w:val="es-PE"/>
        </w:rPr>
      </w:pPr>
    </w:p>
    <w:p w14:paraId="6CBE7759"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 xml:space="preserve">En el Perú, el sector minero ya ha empezado a mostrar un creciente interés por la transición energética, reconociendo su rol estratégico tanto </w:t>
      </w:r>
      <w:r w:rsidRPr="00977B12">
        <w:rPr>
          <w:rFonts w:ascii="Arial" w:hAnsi="Arial" w:cs="Arial"/>
          <w:sz w:val="22"/>
          <w:szCs w:val="22"/>
          <w:lang w:val="es-PE"/>
        </w:rPr>
        <w:lastRenderedPageBreak/>
        <w:t xml:space="preserve">como proveedor de minerales críticos para tecnologías limpias como agente que debe reducir su propia huella ambiental. Según María Julia Aybar, country manager de Hunt </w:t>
      </w:r>
      <w:proofErr w:type="spellStart"/>
      <w:r w:rsidRPr="00977B12">
        <w:rPr>
          <w:rFonts w:ascii="Arial" w:hAnsi="Arial" w:cs="Arial"/>
          <w:sz w:val="22"/>
          <w:szCs w:val="22"/>
          <w:lang w:val="es-PE"/>
        </w:rPr>
        <w:t>Oil</w:t>
      </w:r>
      <w:proofErr w:type="spellEnd"/>
      <w:r w:rsidRPr="00977B12">
        <w:rPr>
          <w:rFonts w:ascii="Arial" w:hAnsi="Arial" w:cs="Arial"/>
          <w:sz w:val="22"/>
          <w:szCs w:val="22"/>
          <w:lang w:val="es-PE"/>
        </w:rPr>
        <w:t>, “muchas empresas ya vienen trabajando con suministro de energía renovable para la operación de sus sistemas”, aunque aún persisten retos en áreas como el transporte de materiales (SNMPE 2024). La minería puede ser clave en la lucha contra el cambio climático, pero debe asegurar que su modelo de extracción sea ambiental y socialmente responsable, empezando por un cambio de matriz energética hacia fuentes renovables, considerando que el sector es el mayor consumidor de energía eléctrica en nuestro país, representando cerca del 34% del consumo nacional (ENGIE 2025).</w:t>
      </w:r>
    </w:p>
    <w:p w14:paraId="3B1A0C14" w14:textId="77777777" w:rsidR="00977B12" w:rsidRPr="00977B12" w:rsidRDefault="00977B12" w:rsidP="00977B12">
      <w:pPr>
        <w:jc w:val="both"/>
        <w:rPr>
          <w:rFonts w:ascii="Arial" w:hAnsi="Arial" w:cs="Arial"/>
          <w:sz w:val="22"/>
          <w:szCs w:val="22"/>
          <w:lang w:val="es-PE"/>
        </w:rPr>
      </w:pPr>
    </w:p>
    <w:p w14:paraId="61F57B5B"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 xml:space="preserve">En este contexto, </w:t>
      </w:r>
      <w:proofErr w:type="spellStart"/>
      <w:r w:rsidRPr="00977B12">
        <w:rPr>
          <w:rFonts w:ascii="Arial" w:hAnsi="Arial" w:cs="Arial"/>
          <w:sz w:val="22"/>
          <w:szCs w:val="22"/>
          <w:lang w:val="es-PE"/>
        </w:rPr>
        <w:t>Kallpa</w:t>
      </w:r>
      <w:proofErr w:type="spellEnd"/>
      <w:r w:rsidRPr="00977B12">
        <w:rPr>
          <w:rFonts w:ascii="Arial" w:hAnsi="Arial" w:cs="Arial"/>
          <w:sz w:val="22"/>
          <w:szCs w:val="22"/>
          <w:lang w:val="es-PE"/>
        </w:rPr>
        <w:t xml:space="preserve"> Generación S.A., una de las principales empresas eléctricas del país, se ha posicionado como un socio clave del sector minero al facilitar su descarbonización. A través de la entrega de certificados I-REC, ha acreditado que más de 3.6 millones de </w:t>
      </w:r>
      <w:proofErr w:type="spellStart"/>
      <w:r w:rsidRPr="00977B12">
        <w:rPr>
          <w:rFonts w:ascii="Arial" w:hAnsi="Arial" w:cs="Arial"/>
          <w:sz w:val="22"/>
          <w:szCs w:val="22"/>
          <w:lang w:val="es-PE"/>
        </w:rPr>
        <w:t>MWh</w:t>
      </w:r>
      <w:proofErr w:type="spellEnd"/>
      <w:r w:rsidRPr="00977B12">
        <w:rPr>
          <w:rFonts w:ascii="Arial" w:hAnsi="Arial" w:cs="Arial"/>
          <w:sz w:val="22"/>
          <w:szCs w:val="22"/>
          <w:lang w:val="es-PE"/>
        </w:rPr>
        <w:t xml:space="preserve"> suministrados al sector provienen de fuentes renovables (2025). Como parte de este compromiso, </w:t>
      </w:r>
      <w:proofErr w:type="spellStart"/>
      <w:r w:rsidRPr="00977B12">
        <w:rPr>
          <w:rFonts w:ascii="Arial" w:hAnsi="Arial" w:cs="Arial"/>
          <w:sz w:val="22"/>
          <w:szCs w:val="22"/>
          <w:lang w:val="es-PE"/>
        </w:rPr>
        <w:t>Kallpa</w:t>
      </w:r>
      <w:proofErr w:type="spellEnd"/>
      <w:r w:rsidRPr="00977B12">
        <w:rPr>
          <w:rFonts w:ascii="Arial" w:hAnsi="Arial" w:cs="Arial"/>
          <w:sz w:val="22"/>
          <w:szCs w:val="22"/>
          <w:lang w:val="es-PE"/>
        </w:rPr>
        <w:t xml:space="preserve"> ha firmado un contrato a largo plazo (PPA) con la empresa </w:t>
      </w:r>
      <w:proofErr w:type="spellStart"/>
      <w:r w:rsidRPr="00977B12">
        <w:rPr>
          <w:rFonts w:ascii="Arial" w:hAnsi="Arial" w:cs="Arial"/>
          <w:sz w:val="22"/>
          <w:szCs w:val="22"/>
          <w:lang w:val="es-PE"/>
        </w:rPr>
        <w:t>Zelestra</w:t>
      </w:r>
      <w:proofErr w:type="spellEnd"/>
      <w:r w:rsidRPr="00977B12">
        <w:rPr>
          <w:rFonts w:ascii="Arial" w:hAnsi="Arial" w:cs="Arial"/>
          <w:sz w:val="22"/>
          <w:szCs w:val="22"/>
          <w:lang w:val="es-PE"/>
        </w:rPr>
        <w:t xml:space="preserve"> para comercializar la energía generada por la Central Solar Fotovoltaica San Martín, ubicada en La Joya, Arequipa. Gracias a este acuerdo, </w:t>
      </w:r>
      <w:proofErr w:type="spellStart"/>
      <w:r w:rsidRPr="00977B12">
        <w:rPr>
          <w:rFonts w:ascii="Arial" w:hAnsi="Arial" w:cs="Arial"/>
          <w:sz w:val="22"/>
          <w:szCs w:val="22"/>
          <w:lang w:val="es-PE"/>
        </w:rPr>
        <w:t>Kallpa</w:t>
      </w:r>
      <w:proofErr w:type="spellEnd"/>
      <w:r w:rsidRPr="00977B12">
        <w:rPr>
          <w:rFonts w:ascii="Arial" w:hAnsi="Arial" w:cs="Arial"/>
          <w:sz w:val="22"/>
          <w:szCs w:val="22"/>
          <w:lang w:val="es-PE"/>
        </w:rPr>
        <w:t xml:space="preserve"> incorporará 300 MW de energía solar y más de 830 GWh anuales a su portafolio, consolidando su rol como puente entre nuevos proyectos renovables y clientes mineros que buscan energía sostenible (SNMPE 2025).</w:t>
      </w:r>
    </w:p>
    <w:p w14:paraId="607A9CED" w14:textId="77777777" w:rsidR="00977B12" w:rsidRPr="00977B12" w:rsidRDefault="00977B12" w:rsidP="00977B12">
      <w:pPr>
        <w:jc w:val="both"/>
        <w:rPr>
          <w:rFonts w:ascii="Arial" w:hAnsi="Arial" w:cs="Arial"/>
          <w:sz w:val="22"/>
          <w:szCs w:val="22"/>
          <w:lang w:val="es-PE"/>
        </w:rPr>
      </w:pPr>
    </w:p>
    <w:p w14:paraId="218A2CCD"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Sin embargo, detrás de esta operación energética se desarrolló un proceso complejo más allá de lo técnico. La construcción del proyecto San Martín también representó un reto en términos de gestión social, pues debió enfrentarse a una implementación tardía, a la aparición de actores inesperados como el sindicato de construcción civil, y a la necesidad de generar aceptación social en un entorno con amplio desconocimiento del tema. Sabemos que el impulso de este tipo proyectos en Perú aún es incipiente, por lo que no son muchas las experiencias sistematizadas sobre cómo relacionarse socialmente con las comunidades y actores locales vecinos de plantas solares. Esto ha generado vacíos metodológicos y enfoques poco contextualizados, heredados de proyectos tradicionales con dinámicas muy distintas. En ese marco, la implementación del Plan de Relaciones Comunitarias del proyecto San Martín ofrece identificar elementos replicables y aspectos a perfeccionar en contextos similares.</w:t>
      </w:r>
    </w:p>
    <w:p w14:paraId="570BDF4D" w14:textId="77777777" w:rsidR="00977B12" w:rsidRPr="00977B12" w:rsidRDefault="00977B12" w:rsidP="00977B12">
      <w:pPr>
        <w:jc w:val="both"/>
        <w:rPr>
          <w:rFonts w:ascii="Arial" w:hAnsi="Arial" w:cs="Arial"/>
          <w:sz w:val="22"/>
          <w:szCs w:val="22"/>
          <w:lang w:val="es-PE"/>
        </w:rPr>
      </w:pPr>
    </w:p>
    <w:p w14:paraId="4CE566AD" w14:textId="77777777" w:rsidR="00977B12" w:rsidRDefault="00977B12" w:rsidP="00977B12">
      <w:pPr>
        <w:jc w:val="both"/>
        <w:rPr>
          <w:rFonts w:ascii="Arial" w:hAnsi="Arial" w:cs="Arial"/>
          <w:sz w:val="22"/>
          <w:szCs w:val="22"/>
          <w:lang w:val="es-PE"/>
        </w:rPr>
      </w:pPr>
      <w:r w:rsidRPr="00977B12">
        <w:rPr>
          <w:rFonts w:ascii="Arial" w:hAnsi="Arial" w:cs="Arial"/>
          <w:sz w:val="22"/>
          <w:szCs w:val="22"/>
          <w:lang w:val="es-PE"/>
        </w:rPr>
        <w:t>El objetivo de este trabajo técnico es sistematizar esta experiencia analizando sus desafíos, enfoques de intervención, estrategias de comunicación y de valor compartido, así como los resultados y lecciones aprendidas. Su propósito es doble: por un lado, contribuir al cuerpo de conocimiento sobre gestión social en energías renovables en el Perú, y por otro, proponer un modelo estratégico replicable para futuros proyectos vinculados al sector minero y energético. El trabajo presentará, en primer lugar, un análisis crítico sobre la gestión social en el Perú y su vínculo con la comunicación para el desarrollo. Luego, expone el estudio de caso del proyecto Central Solar Fotovoltaica San Martín, abordando su contexto, desafíos, enfoque de intervención y resultados alcanzados. Finalmente, se plantean lecciones aprendidas y conclusiones orientadas a la replicabilidad y mejora del enfoque social en el desarrollo de infraestructuras energéticas sostenibles que pueden ser impulsadas por la minería en el Perú.</w:t>
      </w:r>
    </w:p>
    <w:p w14:paraId="1080B649" w14:textId="77777777" w:rsidR="00977B12" w:rsidRPr="00977B12" w:rsidRDefault="00977B12" w:rsidP="00977B12">
      <w:pPr>
        <w:jc w:val="both"/>
        <w:rPr>
          <w:rFonts w:ascii="Arial" w:hAnsi="Arial" w:cs="Arial"/>
          <w:sz w:val="22"/>
          <w:szCs w:val="22"/>
          <w:lang w:val="es-PE"/>
        </w:rPr>
      </w:pPr>
    </w:p>
    <w:p w14:paraId="52BDBDF2" w14:textId="02F0384B" w:rsidR="000270E6" w:rsidRPr="000270E6" w:rsidRDefault="00977B12" w:rsidP="00977B12">
      <w:pPr>
        <w:jc w:val="both"/>
        <w:rPr>
          <w:rFonts w:ascii="Arial" w:hAnsi="Arial" w:cs="Arial"/>
          <w:sz w:val="22"/>
          <w:szCs w:val="22"/>
          <w:lang w:val="es-PE"/>
        </w:rPr>
      </w:pPr>
      <w:r w:rsidRPr="00977B12">
        <w:rPr>
          <w:rFonts w:ascii="Arial" w:hAnsi="Arial" w:cs="Arial"/>
          <w:sz w:val="22"/>
          <w:szCs w:val="22"/>
          <w:lang w:val="es-PE"/>
        </w:rPr>
        <w:t>Nuestra experiencia nos viene demostrando que el sol del sur peruano no solo puede generar electricidad, sino también nuevas formas de relación entre empresa, territorio y comunidad. Este trabajo invita a descubrir cómo, desde una gestión social con estrategia y conocimiento del territorio, es posible construir puentes sostenibles en un nuevo escenario energético que recién empieza a iluminar el país.</w:t>
      </w:r>
      <w:r w:rsidR="00460D0B" w:rsidRPr="000270E6">
        <w:rPr>
          <w:rFonts w:ascii="Arial" w:hAnsi="Arial" w:cs="Arial"/>
          <w:sz w:val="22"/>
          <w:szCs w:val="22"/>
          <w:lang w:val="es-PE"/>
        </w:rPr>
        <w:t xml:space="preserve"> </w:t>
      </w:r>
    </w:p>
    <w:p w14:paraId="56A91693" w14:textId="77777777" w:rsidR="00441B34" w:rsidRPr="000270E6" w:rsidRDefault="00441B34" w:rsidP="00650F70">
      <w:pPr>
        <w:jc w:val="both"/>
        <w:rPr>
          <w:rFonts w:ascii="Arial" w:hAnsi="Arial" w:cs="Arial"/>
          <w:sz w:val="22"/>
          <w:szCs w:val="22"/>
          <w:lang w:val="es-PE"/>
        </w:rPr>
      </w:pPr>
    </w:p>
    <w:p w14:paraId="2FD3ED7B" w14:textId="49556F06" w:rsidR="00441B34" w:rsidRPr="00977B12" w:rsidRDefault="00F7409F" w:rsidP="00650F70">
      <w:pPr>
        <w:jc w:val="both"/>
        <w:rPr>
          <w:rFonts w:ascii="Arial" w:hAnsi="Arial" w:cs="Arial"/>
          <w:b/>
          <w:sz w:val="22"/>
          <w:szCs w:val="22"/>
          <w:lang w:val="es-PE"/>
        </w:rPr>
      </w:pPr>
      <w:r w:rsidRPr="00977B12">
        <w:rPr>
          <w:rFonts w:ascii="Arial" w:hAnsi="Arial" w:cs="Arial"/>
          <w:b/>
          <w:sz w:val="22"/>
          <w:szCs w:val="22"/>
          <w:lang w:val="es-PE"/>
        </w:rPr>
        <w:t>2.</w:t>
      </w:r>
      <w:r w:rsidR="007D0CBA">
        <w:rPr>
          <w:rFonts w:ascii="Arial" w:hAnsi="Arial" w:cs="Arial"/>
          <w:b/>
          <w:sz w:val="22"/>
          <w:szCs w:val="22"/>
          <w:lang w:val="es-PE"/>
        </w:rPr>
        <w:t xml:space="preserve"> </w:t>
      </w:r>
      <w:r w:rsidR="00977B12" w:rsidRPr="00977B12">
        <w:rPr>
          <w:rFonts w:ascii="Arial" w:hAnsi="Arial" w:cs="Arial"/>
          <w:b/>
          <w:sz w:val="22"/>
          <w:szCs w:val="22"/>
          <w:lang w:val="es-PE"/>
        </w:rPr>
        <w:t>La gestión social en el Perú: entre el cumplimiento y la oportunidad estratégica</w:t>
      </w:r>
      <w:r w:rsidR="005A352B" w:rsidRPr="00977B12">
        <w:rPr>
          <w:rFonts w:ascii="Arial" w:hAnsi="Arial" w:cs="Arial"/>
          <w:b/>
          <w:sz w:val="22"/>
          <w:szCs w:val="22"/>
          <w:lang w:val="es-PE"/>
        </w:rPr>
        <w:t xml:space="preserve"> </w:t>
      </w:r>
    </w:p>
    <w:p w14:paraId="12190594" w14:textId="5B40B12B" w:rsidR="00977B12" w:rsidRPr="00977B12" w:rsidRDefault="00977B12" w:rsidP="00977B12">
      <w:pPr>
        <w:jc w:val="both"/>
        <w:rPr>
          <w:rFonts w:ascii="Arial" w:hAnsi="Arial" w:cs="Arial"/>
          <w:b/>
          <w:sz w:val="22"/>
          <w:szCs w:val="22"/>
          <w:lang w:val="es-PE"/>
        </w:rPr>
      </w:pPr>
      <w:r w:rsidRPr="00977B12">
        <w:rPr>
          <w:rFonts w:ascii="Arial" w:hAnsi="Arial" w:cs="Arial"/>
          <w:b/>
          <w:sz w:val="22"/>
          <w:szCs w:val="22"/>
          <w:lang w:val="es-PE"/>
        </w:rPr>
        <w:t>2.1.</w:t>
      </w:r>
      <w:r w:rsidR="007D0CBA">
        <w:rPr>
          <w:rFonts w:ascii="Arial" w:hAnsi="Arial" w:cs="Arial"/>
          <w:b/>
          <w:sz w:val="22"/>
          <w:szCs w:val="22"/>
          <w:lang w:val="es-PE"/>
        </w:rPr>
        <w:t xml:space="preserve"> </w:t>
      </w:r>
      <w:r w:rsidRPr="00977B12">
        <w:rPr>
          <w:rFonts w:ascii="Arial" w:hAnsi="Arial" w:cs="Arial"/>
          <w:b/>
          <w:sz w:val="22"/>
          <w:szCs w:val="22"/>
          <w:lang w:val="es-PE"/>
        </w:rPr>
        <w:t>El modelo del “</w:t>
      </w:r>
      <w:proofErr w:type="spellStart"/>
      <w:r w:rsidRPr="00977B12">
        <w:rPr>
          <w:rFonts w:ascii="Arial" w:hAnsi="Arial" w:cs="Arial"/>
          <w:b/>
          <w:sz w:val="22"/>
          <w:szCs w:val="22"/>
          <w:lang w:val="es-PE"/>
        </w:rPr>
        <w:t>checklist</w:t>
      </w:r>
      <w:proofErr w:type="spellEnd"/>
      <w:r w:rsidRPr="00977B12">
        <w:rPr>
          <w:rFonts w:ascii="Arial" w:hAnsi="Arial" w:cs="Arial"/>
          <w:b/>
          <w:sz w:val="22"/>
          <w:szCs w:val="22"/>
          <w:lang w:val="es-PE"/>
        </w:rPr>
        <w:t>”</w:t>
      </w:r>
    </w:p>
    <w:p w14:paraId="199721CA" w14:textId="77777777" w:rsidR="00977B12" w:rsidRDefault="00977B12" w:rsidP="00977B12">
      <w:pPr>
        <w:jc w:val="both"/>
        <w:rPr>
          <w:rFonts w:ascii="Arial" w:hAnsi="Arial" w:cs="Arial"/>
          <w:bCs/>
          <w:sz w:val="22"/>
          <w:szCs w:val="22"/>
          <w:lang w:val="es-PE"/>
        </w:rPr>
      </w:pPr>
    </w:p>
    <w:p w14:paraId="64F7AC65" w14:textId="4516DFDE"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En el Perú, la gestión social es una obligación para proyectos del sector minero energético. Para el caso específico de las actividades eléctricas, el Decreto Supremo </w:t>
      </w:r>
      <w:proofErr w:type="spellStart"/>
      <w:r w:rsidRPr="00977B12">
        <w:rPr>
          <w:rFonts w:ascii="Arial" w:hAnsi="Arial" w:cs="Arial"/>
          <w:bCs/>
          <w:sz w:val="22"/>
          <w:szCs w:val="22"/>
          <w:lang w:val="es-PE"/>
        </w:rPr>
        <w:t>N°</w:t>
      </w:r>
      <w:proofErr w:type="spellEnd"/>
      <w:r w:rsidRPr="00977B12">
        <w:rPr>
          <w:rFonts w:ascii="Arial" w:hAnsi="Arial" w:cs="Arial"/>
          <w:bCs/>
          <w:sz w:val="22"/>
          <w:szCs w:val="22"/>
          <w:lang w:val="es-PE"/>
        </w:rPr>
        <w:t xml:space="preserve"> 014-2019-EM norma que todo proyecto en sus distintas fases ya sea construcción, operación, mantenimiento, cierre o abandono, debe presentar un instrumento de gestión ambiental que debe ser aprobado por la autoridad competente previo a su viabilidad. Este documento debe incluir un Plan de Relaciones Comunitarias (PRC) que identifica claramente a los grupos de interés a los que está dirigido, y establece los procedimientos, el presupuesto y el cronograma de ejecución para cada uno de los programas que lo conforman, entre ellos, el Programa de Monitoreo y Vigilancia Ciudadana, el Programa de Comunicación e Información Ciudadana, el Código de Conducta, el Programa de Compensaciones e Indemnizaciones, el Programa de Empleo Local y el Programa de Aporte al Desarrollo Local (El Peruano 2019). </w:t>
      </w:r>
    </w:p>
    <w:p w14:paraId="2793C895" w14:textId="77777777" w:rsidR="00977B12" w:rsidRPr="00977B12" w:rsidRDefault="00977B12" w:rsidP="00977B12">
      <w:pPr>
        <w:jc w:val="both"/>
        <w:rPr>
          <w:rFonts w:ascii="Arial" w:hAnsi="Arial" w:cs="Arial"/>
          <w:bCs/>
          <w:sz w:val="22"/>
          <w:szCs w:val="22"/>
          <w:lang w:val="es-PE"/>
        </w:rPr>
      </w:pPr>
    </w:p>
    <w:p w14:paraId="0C9D9049" w14:textId="77777777"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lastRenderedPageBreak/>
        <w:t>La elaboración de estos instrumentos de gestión ambiental es encargada a consultoras especializadas, que suelen estar orientados a la lógica del cumplimiento, especialmente cuando se aborda la gestión social. Un estudio reciente de OEFA (2023), detectó que el trabajo realizado por estas consultoras mostraba algunos vacíos en el uso de fuentes y en la sustentación técnica, así como una aparente débil participación de un equipo técnico real en la elaboración de los estudios ambientales. Esto sugiere que algunos instrumentos de gestión ambiental podrían estar siendo preparados de forma estandarizada o desde gabinete, sin un trabajo de campo riguroso ni una adaptación real al contexto específico, lo que en la práctica se confirma en la revisión de varios Planes de Relaciones Comunitarias de proyectos distintos.</w:t>
      </w:r>
    </w:p>
    <w:p w14:paraId="13D34E3A" w14:textId="77777777" w:rsidR="00977B12" w:rsidRDefault="00977B12" w:rsidP="00977B12">
      <w:pPr>
        <w:jc w:val="both"/>
        <w:rPr>
          <w:rFonts w:ascii="Arial" w:hAnsi="Arial" w:cs="Arial"/>
          <w:bCs/>
          <w:sz w:val="22"/>
          <w:szCs w:val="22"/>
          <w:lang w:val="es-PE"/>
        </w:rPr>
      </w:pPr>
    </w:p>
    <w:p w14:paraId="13B50216" w14:textId="6B82CBDA"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Esto se condice con el hecho de que en el sector aún persiste una visión instrumental de la gestión social, entendida más como un requisito formal que como un componente estratégico del negocio. Son varias las empresas que continúan tratándola como un simple </w:t>
      </w:r>
      <w:proofErr w:type="spellStart"/>
      <w:r w:rsidRPr="00977B12">
        <w:rPr>
          <w:rFonts w:ascii="Arial" w:hAnsi="Arial" w:cs="Arial"/>
          <w:bCs/>
          <w:sz w:val="22"/>
          <w:szCs w:val="22"/>
          <w:lang w:val="es-PE"/>
        </w:rPr>
        <w:t>checklist</w:t>
      </w:r>
      <w:proofErr w:type="spellEnd"/>
      <w:r w:rsidRPr="00977B12">
        <w:rPr>
          <w:rFonts w:ascii="Arial" w:hAnsi="Arial" w:cs="Arial"/>
          <w:bCs/>
          <w:sz w:val="22"/>
          <w:szCs w:val="22"/>
          <w:lang w:val="es-PE"/>
        </w:rPr>
        <w:t xml:space="preserve"> de cumplimiento normativo para viabilizar sus operaciones, subordinando su valor a la lógica operativa y no a una visión integral de sostenibilidad. Como advierte Espinoza, “en el Perú aún no se está dando la debida importancia a la gestión social de la empresa minera como parte del valor monetario de la misma. El sector empresarial minero peruano en su mayoría continúa pensando que la gestión social de la empresa minera es solo para facilitar el aspecto operativo o en todo caso, para evitar conflictos sociales que generen pérdidas a las unidades operativas” (2017).</w:t>
      </w:r>
    </w:p>
    <w:p w14:paraId="6511BDF0" w14:textId="77777777" w:rsidR="00977B12" w:rsidRDefault="00977B12" w:rsidP="00977B12">
      <w:pPr>
        <w:jc w:val="both"/>
        <w:rPr>
          <w:rFonts w:ascii="Arial" w:hAnsi="Arial" w:cs="Arial"/>
          <w:bCs/>
          <w:sz w:val="22"/>
          <w:szCs w:val="22"/>
          <w:lang w:val="es-PE"/>
        </w:rPr>
      </w:pPr>
    </w:p>
    <w:p w14:paraId="221DB6FF" w14:textId="2C6CCD6E"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En la misma línea, César Sáenz señala que muchas compañías optan por un “enfoque de cumplimiento”, en el que la rentabilidad financiera se mantiene como eje central y la inversión social se diseña, prioriza e implementa sin participación real de las comunidades. Esta estrategia, además de ser poco efectiva, resulta riesgosa, ya que las comunidades perciben exclusión en la toma de decisiones y una relación vertical que debilita la confianza. Así, la gestión social se convierte en un ejercicio tecnocrático y externo, más orientado al control que a la construcción de valor compartido (2022).</w:t>
      </w:r>
    </w:p>
    <w:p w14:paraId="368D336F" w14:textId="77777777" w:rsidR="00977B12" w:rsidRDefault="00977B12" w:rsidP="00977B12">
      <w:pPr>
        <w:jc w:val="both"/>
        <w:rPr>
          <w:rFonts w:ascii="Arial" w:hAnsi="Arial" w:cs="Arial"/>
          <w:bCs/>
          <w:sz w:val="22"/>
          <w:szCs w:val="22"/>
          <w:lang w:val="es-PE"/>
        </w:rPr>
      </w:pPr>
    </w:p>
    <w:p w14:paraId="69022688" w14:textId="74B09D3D"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La lógica del cumplimiento no solo se restringe a la normativa local, sino que incluso permea la aplicación de estándares internacionales diseñados justamente para promover una gestión social más aterrizada, dinámica y participativa. Tal es el caso de los Performance </w:t>
      </w:r>
      <w:proofErr w:type="spellStart"/>
      <w:r w:rsidRPr="00977B12">
        <w:rPr>
          <w:rFonts w:ascii="Arial" w:hAnsi="Arial" w:cs="Arial"/>
          <w:bCs/>
          <w:sz w:val="22"/>
          <w:szCs w:val="22"/>
          <w:lang w:val="es-PE"/>
        </w:rPr>
        <w:t>Standards</w:t>
      </w:r>
      <w:proofErr w:type="spellEnd"/>
      <w:r w:rsidRPr="00977B12">
        <w:rPr>
          <w:rFonts w:ascii="Arial" w:hAnsi="Arial" w:cs="Arial"/>
          <w:bCs/>
          <w:sz w:val="22"/>
          <w:szCs w:val="22"/>
          <w:lang w:val="es-PE"/>
        </w:rPr>
        <w:t xml:space="preserve"> de la Corporación Financiera Internacional (IFC), especialmente los estándares 1 (Evaluación y gestión de riesgos e </w:t>
      </w:r>
      <w:r w:rsidRPr="00977B12">
        <w:rPr>
          <w:rFonts w:ascii="Arial" w:hAnsi="Arial" w:cs="Arial"/>
          <w:bCs/>
          <w:sz w:val="22"/>
          <w:szCs w:val="22"/>
          <w:lang w:val="es-PE"/>
        </w:rPr>
        <w:t xml:space="preserve">impactos ambientales y sociales) y 4 (Salud, seguridad y seguridad de la comunidad), que exigen planes de relacionamiento con </w:t>
      </w:r>
      <w:proofErr w:type="spellStart"/>
      <w:r w:rsidRPr="00977B12">
        <w:rPr>
          <w:rFonts w:ascii="Arial" w:hAnsi="Arial" w:cs="Arial"/>
          <w:bCs/>
          <w:sz w:val="22"/>
          <w:szCs w:val="22"/>
          <w:lang w:val="es-PE"/>
        </w:rPr>
        <w:t>stakeholders</w:t>
      </w:r>
      <w:proofErr w:type="spellEnd"/>
      <w:r w:rsidRPr="00977B12">
        <w:rPr>
          <w:rFonts w:ascii="Arial" w:hAnsi="Arial" w:cs="Arial"/>
          <w:bCs/>
          <w:sz w:val="22"/>
          <w:szCs w:val="22"/>
          <w:lang w:val="es-PE"/>
        </w:rPr>
        <w:t xml:space="preserve">, mecanismos de participación informada y procesos de mejora continua de la percepción social (2012). De manera similar, marcos como los Principios del Ecuador o las guías del Consejo Internacional de Minería y Metales (ICMM) promueven relaciones comunitarias sólidas, inclusivas y sostenibles como parte de una gobernanza ambiental y social efectiva (ICMM, 2022; EP </w:t>
      </w:r>
      <w:proofErr w:type="spellStart"/>
      <w:r w:rsidRPr="00977B12">
        <w:rPr>
          <w:rFonts w:ascii="Arial" w:hAnsi="Arial" w:cs="Arial"/>
          <w:bCs/>
          <w:sz w:val="22"/>
          <w:szCs w:val="22"/>
          <w:lang w:val="es-PE"/>
        </w:rPr>
        <w:t>Association</w:t>
      </w:r>
      <w:proofErr w:type="spellEnd"/>
      <w:r w:rsidRPr="00977B12">
        <w:rPr>
          <w:rFonts w:ascii="Arial" w:hAnsi="Arial" w:cs="Arial"/>
          <w:bCs/>
          <w:sz w:val="22"/>
          <w:szCs w:val="22"/>
          <w:lang w:val="es-PE"/>
        </w:rPr>
        <w:t>, 2020).</w:t>
      </w:r>
    </w:p>
    <w:p w14:paraId="72D55509" w14:textId="77777777" w:rsidR="00977B12" w:rsidRDefault="00977B12" w:rsidP="00977B12">
      <w:pPr>
        <w:jc w:val="both"/>
        <w:rPr>
          <w:rFonts w:ascii="Arial" w:hAnsi="Arial" w:cs="Arial"/>
          <w:bCs/>
          <w:sz w:val="22"/>
          <w:szCs w:val="22"/>
          <w:lang w:val="es-PE"/>
        </w:rPr>
      </w:pPr>
    </w:p>
    <w:p w14:paraId="128D1DB4" w14:textId="61FAEFFB"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Pero en la práctica peruana, estas exigencias suelen reducirse a ejercicios mínimos de cumplimiento documental, sin análisis serio de los riesgos sociales, de los liderazgos informales o de los patrones culturales del contexto local. El resultado es la creación de zonas ciegas (</w:t>
      </w:r>
      <w:proofErr w:type="spellStart"/>
      <w:r w:rsidRPr="00977B12">
        <w:rPr>
          <w:rFonts w:ascii="Arial" w:hAnsi="Arial" w:cs="Arial"/>
          <w:bCs/>
          <w:sz w:val="22"/>
          <w:szCs w:val="22"/>
          <w:lang w:val="es-PE"/>
        </w:rPr>
        <w:t>blind</w:t>
      </w:r>
      <w:proofErr w:type="spellEnd"/>
      <w:r w:rsidRPr="00977B12">
        <w:rPr>
          <w:rFonts w:ascii="Arial" w:hAnsi="Arial" w:cs="Arial"/>
          <w:bCs/>
          <w:sz w:val="22"/>
          <w:szCs w:val="22"/>
          <w:lang w:val="es-PE"/>
        </w:rPr>
        <w:t xml:space="preserve"> spots) que escapan al monitoreo convencional, pero que incuban desconfianza, rumores y resentimientos que, con frecuencia, emergen como conflictos sociales abiertos, afectando el cronograma, los costos y la legitimidad de los proyectos (</w:t>
      </w:r>
      <w:proofErr w:type="spellStart"/>
      <w:r w:rsidRPr="00977B12">
        <w:rPr>
          <w:rFonts w:ascii="Arial" w:hAnsi="Arial" w:cs="Arial"/>
          <w:bCs/>
          <w:sz w:val="22"/>
          <w:szCs w:val="22"/>
          <w:lang w:val="es-PE"/>
        </w:rPr>
        <w:t>Saenz</w:t>
      </w:r>
      <w:proofErr w:type="spellEnd"/>
      <w:r w:rsidRPr="00977B12">
        <w:rPr>
          <w:rFonts w:ascii="Arial" w:hAnsi="Arial" w:cs="Arial"/>
          <w:bCs/>
          <w:sz w:val="22"/>
          <w:szCs w:val="22"/>
          <w:lang w:val="es-PE"/>
        </w:rPr>
        <w:t xml:space="preserve"> 2023; </w:t>
      </w:r>
      <w:proofErr w:type="spellStart"/>
      <w:r w:rsidRPr="00977B12">
        <w:rPr>
          <w:rFonts w:ascii="Arial" w:hAnsi="Arial" w:cs="Arial"/>
          <w:bCs/>
          <w:sz w:val="22"/>
          <w:szCs w:val="22"/>
          <w:lang w:val="es-PE"/>
        </w:rPr>
        <w:t>Gamu</w:t>
      </w:r>
      <w:proofErr w:type="spellEnd"/>
      <w:r w:rsidRPr="00977B12">
        <w:rPr>
          <w:rFonts w:ascii="Arial" w:hAnsi="Arial" w:cs="Arial"/>
          <w:bCs/>
          <w:sz w:val="22"/>
          <w:szCs w:val="22"/>
          <w:lang w:val="es-PE"/>
        </w:rPr>
        <w:t xml:space="preserve"> 2018).</w:t>
      </w:r>
    </w:p>
    <w:p w14:paraId="21DAE797" w14:textId="77777777" w:rsidR="00977B12" w:rsidRDefault="00977B12" w:rsidP="00977B12">
      <w:pPr>
        <w:jc w:val="both"/>
        <w:rPr>
          <w:rFonts w:ascii="Arial" w:hAnsi="Arial" w:cs="Arial"/>
          <w:bCs/>
          <w:sz w:val="22"/>
          <w:szCs w:val="22"/>
          <w:lang w:val="es-PE"/>
        </w:rPr>
      </w:pPr>
    </w:p>
    <w:p w14:paraId="4AB94441" w14:textId="7D2C26D6"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La mirada utilitarista de la gestión social impide reconocer que la generación de desarrollo sostenible en las comunidades no es solo un medio para evitar conflictos ni una línea más en el cumplimiento de lo que la norma exige, sino que olvida el verdadero fin por el que se plantean los Planes de Relaciones Comunitarias y los instrumentos de gestión social: hacer una adecuada gestión de los impactos económicos, ambientales y sociales que determinado proyecto pueda tener en sus grupos de interés (Freeman 1984). Esto no solo es un acto de responsabilidad social o ética empresarial, sino un principio de </w:t>
      </w:r>
      <w:proofErr w:type="spellStart"/>
      <w:r w:rsidRPr="00977B12">
        <w:rPr>
          <w:rFonts w:ascii="Arial" w:hAnsi="Arial" w:cs="Arial"/>
          <w:bCs/>
          <w:sz w:val="22"/>
          <w:szCs w:val="22"/>
          <w:lang w:val="es-PE"/>
        </w:rPr>
        <w:t>due</w:t>
      </w:r>
      <w:proofErr w:type="spellEnd"/>
      <w:r w:rsidRPr="00977B12">
        <w:rPr>
          <w:rFonts w:ascii="Arial" w:hAnsi="Arial" w:cs="Arial"/>
          <w:bCs/>
          <w:sz w:val="22"/>
          <w:szCs w:val="22"/>
          <w:lang w:val="es-PE"/>
        </w:rPr>
        <w:t xml:space="preserve"> </w:t>
      </w:r>
      <w:proofErr w:type="spellStart"/>
      <w:r w:rsidRPr="00977B12">
        <w:rPr>
          <w:rFonts w:ascii="Arial" w:hAnsi="Arial" w:cs="Arial"/>
          <w:bCs/>
          <w:sz w:val="22"/>
          <w:szCs w:val="22"/>
          <w:lang w:val="es-PE"/>
        </w:rPr>
        <w:t>diligence</w:t>
      </w:r>
      <w:proofErr w:type="spellEnd"/>
      <w:r w:rsidRPr="00977B12">
        <w:rPr>
          <w:rFonts w:ascii="Arial" w:hAnsi="Arial" w:cs="Arial"/>
          <w:bCs/>
          <w:sz w:val="22"/>
          <w:szCs w:val="22"/>
          <w:lang w:val="es-PE"/>
        </w:rPr>
        <w:t xml:space="preserve"> o “debida diligencia” que nos invita a anticiparnos a posibles riesgos o perjurios para nuestro proyecto. Aunque el origen de este concepto se vincula a temas de corte legal, el principio de debida diligencia se ha extendido hacia varios factores de la gestión corporativa (OECD 2023; Ling Cheng 2016). </w:t>
      </w:r>
    </w:p>
    <w:p w14:paraId="41A31C9A" w14:textId="77777777" w:rsidR="00977B12" w:rsidRDefault="00977B12" w:rsidP="00977B12">
      <w:pPr>
        <w:jc w:val="both"/>
        <w:rPr>
          <w:rFonts w:ascii="Arial" w:hAnsi="Arial" w:cs="Arial"/>
          <w:bCs/>
          <w:sz w:val="22"/>
          <w:szCs w:val="22"/>
          <w:lang w:val="es-PE"/>
        </w:rPr>
      </w:pPr>
    </w:p>
    <w:p w14:paraId="407C3E7D" w14:textId="65F34B78" w:rsidR="00977B12" w:rsidRP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Lo que nos muestra la casuística es que subestimar la gestión social u optar por el modelo del cumplimiento o “</w:t>
      </w:r>
      <w:proofErr w:type="spellStart"/>
      <w:r w:rsidRPr="00977B12">
        <w:rPr>
          <w:rFonts w:ascii="Arial" w:hAnsi="Arial" w:cs="Arial"/>
          <w:bCs/>
          <w:sz w:val="22"/>
          <w:szCs w:val="22"/>
          <w:lang w:val="es-PE"/>
        </w:rPr>
        <w:t>checklist</w:t>
      </w:r>
      <w:proofErr w:type="spellEnd"/>
      <w:r w:rsidRPr="00977B12">
        <w:rPr>
          <w:rFonts w:ascii="Arial" w:hAnsi="Arial" w:cs="Arial"/>
          <w:bCs/>
          <w:sz w:val="22"/>
          <w:szCs w:val="22"/>
          <w:lang w:val="es-PE"/>
        </w:rPr>
        <w:t xml:space="preserve">” en esta materia puede operar como una bomba de tiempo, en tanto se está obviando la investigación e identificación previa de posibles desencadenantes de un conflicto social capaz de paralizar por completo nuestra inversión. Ya Fitch Ratings advierte que los conflictos sociales, riesgos regulatorios y baja confianza empresarial están restringiendo las inversiones del sector minero energético en el Perú (2022). La </w:t>
      </w:r>
      <w:r w:rsidRPr="00977B12">
        <w:rPr>
          <w:rFonts w:ascii="Arial" w:hAnsi="Arial" w:cs="Arial"/>
          <w:bCs/>
          <w:sz w:val="22"/>
          <w:szCs w:val="22"/>
          <w:lang w:val="es-PE"/>
        </w:rPr>
        <w:lastRenderedPageBreak/>
        <w:t xml:space="preserve">Defensoría del Pueblo reportó a fines del 2024 que había 196 conflictos sociales en el país, la mayoría por razones socioambientales (2024). La tendencia general es que por lo menos la tercera parte de los conflictos en el Perú </w:t>
      </w:r>
      <w:proofErr w:type="spellStart"/>
      <w:r w:rsidRPr="00977B12">
        <w:rPr>
          <w:rFonts w:ascii="Arial" w:hAnsi="Arial" w:cs="Arial"/>
          <w:bCs/>
          <w:sz w:val="22"/>
          <w:szCs w:val="22"/>
          <w:lang w:val="es-PE"/>
        </w:rPr>
        <w:t>esta</w:t>
      </w:r>
      <w:proofErr w:type="spellEnd"/>
      <w:r w:rsidRPr="00977B12">
        <w:rPr>
          <w:rFonts w:ascii="Arial" w:hAnsi="Arial" w:cs="Arial"/>
          <w:bCs/>
          <w:sz w:val="22"/>
          <w:szCs w:val="22"/>
          <w:lang w:val="es-PE"/>
        </w:rPr>
        <w:t xml:space="preserve"> relacionado al sector minero energético (OCMAL 2024).</w:t>
      </w:r>
    </w:p>
    <w:p w14:paraId="22C1A11C" w14:textId="77777777" w:rsidR="00977B12" w:rsidRDefault="00977B12" w:rsidP="00977B12">
      <w:pPr>
        <w:jc w:val="both"/>
        <w:rPr>
          <w:rFonts w:ascii="Arial" w:hAnsi="Arial" w:cs="Arial"/>
          <w:bCs/>
          <w:sz w:val="22"/>
          <w:szCs w:val="22"/>
          <w:lang w:val="es-PE"/>
        </w:rPr>
      </w:pPr>
    </w:p>
    <w:p w14:paraId="391B9688" w14:textId="298D09E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Por supuesto, nada de esto es nuevo. Las cifras, los conflictos y los diagnósticos llevan años repitiéndose en foros empresariales, artículos académicos y agendas de política pública. Todos conocemos las causas y sus consecuencias. Lo que sigue pendiente es el cambio de enfoque. Mientras sigamos abordando la gestión social como un trámite o un costo necesario para operar, en lugar de reconocerla como una herramienta estratégica de sostenibilidad, competitividad y gobernabilidad territorial, seguiremos alimentando el círculo de tensión y desgaste que caracteriza al sector minero energético en el Perú. Es momento de dejar atrás el modelo del cumplimiento y apostar por uno basado en estrategia, percepción y legitimidad social, donde el relacionamiento con las comunidades no sea visto como obstáculo, sino como una inversión clave para la estabilidad de los proyectos. A eso apunta la siguiente sección: repensar la gestión social desde una lógica de sostenibilidad y valor compartido, que no solo cumpla con la norma, sino que construya aceptación social real y duradera.</w:t>
      </w:r>
    </w:p>
    <w:p w14:paraId="454BB52A" w14:textId="77777777" w:rsidR="00977B12" w:rsidRDefault="00977B12" w:rsidP="00977B12">
      <w:pPr>
        <w:jc w:val="both"/>
        <w:rPr>
          <w:rFonts w:ascii="Arial" w:hAnsi="Arial" w:cs="Arial"/>
          <w:bCs/>
          <w:sz w:val="22"/>
          <w:szCs w:val="22"/>
          <w:lang w:val="es-PE"/>
        </w:rPr>
      </w:pPr>
    </w:p>
    <w:p w14:paraId="1D4EB1C4" w14:textId="7421625C" w:rsidR="00977B12" w:rsidRPr="007D0CBA" w:rsidRDefault="00977B12" w:rsidP="00977B12">
      <w:pPr>
        <w:jc w:val="both"/>
        <w:rPr>
          <w:rFonts w:ascii="Arial" w:hAnsi="Arial" w:cs="Arial"/>
          <w:b/>
          <w:sz w:val="22"/>
          <w:szCs w:val="22"/>
          <w:lang w:val="es-PE"/>
        </w:rPr>
      </w:pPr>
      <w:r w:rsidRPr="007D0CBA">
        <w:rPr>
          <w:rFonts w:ascii="Arial" w:hAnsi="Arial" w:cs="Arial"/>
          <w:b/>
          <w:sz w:val="22"/>
          <w:szCs w:val="22"/>
          <w:lang w:val="es-PE"/>
        </w:rPr>
        <w:t>2.2.</w:t>
      </w:r>
      <w:r w:rsidR="007D0CBA">
        <w:rPr>
          <w:rFonts w:ascii="Arial" w:hAnsi="Arial" w:cs="Arial"/>
          <w:b/>
          <w:sz w:val="22"/>
          <w:szCs w:val="22"/>
          <w:lang w:val="es-PE"/>
        </w:rPr>
        <w:t xml:space="preserve"> </w:t>
      </w:r>
      <w:r w:rsidRPr="007D0CBA">
        <w:rPr>
          <w:rFonts w:ascii="Arial" w:hAnsi="Arial" w:cs="Arial"/>
          <w:b/>
          <w:sz w:val="22"/>
          <w:szCs w:val="22"/>
          <w:lang w:val="es-PE"/>
        </w:rPr>
        <w:t>Hacia un modelo con estrategia y sostenibilidad</w:t>
      </w:r>
    </w:p>
    <w:p w14:paraId="200B24F7" w14:textId="77777777" w:rsidR="00977B12" w:rsidRPr="00977B12" w:rsidRDefault="00977B12" w:rsidP="00977B12">
      <w:pPr>
        <w:jc w:val="both"/>
        <w:rPr>
          <w:rFonts w:ascii="Arial" w:hAnsi="Arial" w:cs="Arial"/>
          <w:bCs/>
          <w:sz w:val="22"/>
          <w:szCs w:val="22"/>
          <w:lang w:val="es-PE"/>
        </w:rPr>
      </w:pPr>
    </w:p>
    <w:p w14:paraId="6F0661A0"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Como hemos visto, la gestión social ya no debe concebirse como un mero requisito regulatorio, sino como una estrategia de negocio: una palanca para asegurar la viabilidad social y aumentar la competitividad de proyectos minero energéticos en contextos complejos. Este cambio requiere que todos los niveles de la organización: desde la alta dirección hasta los equipos en campo, incorporen la gestión social en la cultura corporativa, entendiendo que su adecuada implementación previene paralizaciones, sobrecostos y daños reputacionales. Es verdad que los gestores sociales operamos en entornos exigentes y muchas veces con escaso margen para planificar, pero precisamente por ello el propósito debe estar claro: no basta con cumplir, hay que construir.</w:t>
      </w:r>
    </w:p>
    <w:p w14:paraId="1C76385C" w14:textId="77777777" w:rsidR="00977B12" w:rsidRPr="00977B12" w:rsidRDefault="00977B12" w:rsidP="00977B12">
      <w:pPr>
        <w:jc w:val="both"/>
        <w:rPr>
          <w:rFonts w:ascii="Arial" w:hAnsi="Arial" w:cs="Arial"/>
          <w:bCs/>
          <w:sz w:val="22"/>
          <w:szCs w:val="22"/>
          <w:lang w:val="es-PE"/>
        </w:rPr>
      </w:pPr>
    </w:p>
    <w:p w14:paraId="62DC2485"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Y lo que debemos construir es, ante todo, la aceptación social de nuestro proyecto. Como gestores sociales, no debemos perder de vista nuestro rol: si bien el desarrollo social es un objetivo legítimo que compartimos con otros actores de la sociedad, no es ni debe ser nuestro fin último. Somos una empresa, no el Estado ni una ONG. </w:t>
      </w:r>
      <w:r w:rsidRPr="00977B12">
        <w:rPr>
          <w:rFonts w:ascii="Arial" w:hAnsi="Arial" w:cs="Arial"/>
          <w:bCs/>
          <w:sz w:val="22"/>
          <w:szCs w:val="22"/>
          <w:lang w:val="es-PE"/>
        </w:rPr>
        <w:t xml:space="preserve">Hacemos gestión social no por altruismo, filantropía o responsabilidad social, sino porque es estrategia de negocio. Invertimos por debida diligencia, para anticipar conflictos, gestionar impactos y asegurar la viabilidad de nuestras operaciones. Y en esa lógica, la aceptación social se construye desde las percepciones. Nuestro rol no es cambiar realidades estructurales porque no tenemos ni el mandato ni las herramientas para hacerlo, pero sí podemos, y debemos, trabajar en cómo se percibe nuestro proyecto. </w:t>
      </w:r>
    </w:p>
    <w:p w14:paraId="4A99CAA4" w14:textId="77777777" w:rsidR="00977B12" w:rsidRPr="00977B12" w:rsidRDefault="00977B12" w:rsidP="00977B12">
      <w:pPr>
        <w:jc w:val="both"/>
        <w:rPr>
          <w:rFonts w:ascii="Arial" w:hAnsi="Arial" w:cs="Arial"/>
          <w:bCs/>
          <w:sz w:val="22"/>
          <w:szCs w:val="22"/>
          <w:lang w:val="es-PE"/>
        </w:rPr>
      </w:pPr>
    </w:p>
    <w:p w14:paraId="3271E3A6"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De ahí que la comunicación sea inseparable de la gestión social: lo que no se comunica, simplemente no existe. Podemos gastar millones en proyectos productivos, capacitaciones o infraestructura, pero si las comunidades vecinas no asocian esas acciones con el proyecto o la empresa, habrá sido efectivamente solo un gasto, y no una inversión social. Del mismo modo, si no se ha logrado un cambio de percepción respecto de los supuestos impactos negativos del proyecto, cualquier aporte siempre correrá el riesgo de ser percibido como insuficiente, en tanto las valoraciones de reparación o mitigación serán distintas, aumentando las presiones sobre la empresa (BHR 2025). </w:t>
      </w:r>
    </w:p>
    <w:p w14:paraId="57DF17E3" w14:textId="77777777" w:rsidR="00977B12" w:rsidRPr="00977B12" w:rsidRDefault="00977B12" w:rsidP="00977B12">
      <w:pPr>
        <w:jc w:val="both"/>
        <w:rPr>
          <w:rFonts w:ascii="Arial" w:hAnsi="Arial" w:cs="Arial"/>
          <w:bCs/>
          <w:sz w:val="22"/>
          <w:szCs w:val="22"/>
          <w:lang w:val="es-PE"/>
        </w:rPr>
      </w:pPr>
    </w:p>
    <w:p w14:paraId="56372F45"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Al respecto, son múltiples los casos en los que beneficiarios directos de programas impulsados por empresas del sector minero energético han participado luego en protestas o bloqueos. Solo por poner un ejemplo, una reconocida empresa minera en Áncash, galardonada por sus buenas prácticas en gestión social, fue objeto recientemente de un reportaje del diario inglés </w:t>
      </w:r>
      <w:proofErr w:type="spellStart"/>
      <w:r w:rsidRPr="00977B12">
        <w:rPr>
          <w:rFonts w:ascii="Arial" w:hAnsi="Arial" w:cs="Arial"/>
          <w:bCs/>
          <w:sz w:val="22"/>
          <w:szCs w:val="22"/>
          <w:lang w:val="es-PE"/>
        </w:rPr>
        <w:t>The</w:t>
      </w:r>
      <w:proofErr w:type="spellEnd"/>
      <w:r w:rsidRPr="00977B12">
        <w:rPr>
          <w:rFonts w:ascii="Arial" w:hAnsi="Arial" w:cs="Arial"/>
          <w:bCs/>
          <w:sz w:val="22"/>
          <w:szCs w:val="22"/>
          <w:lang w:val="es-PE"/>
        </w:rPr>
        <w:t xml:space="preserve"> Guardian donde pobladores afirmaban que “la empresa nunca aparece” y que “se están envenenando con arsénico, perdiendo el agua y hundiéndose más en la pobreza” (</w:t>
      </w:r>
      <w:proofErr w:type="spellStart"/>
      <w:r w:rsidRPr="00977B12">
        <w:rPr>
          <w:rFonts w:ascii="Arial" w:hAnsi="Arial" w:cs="Arial"/>
          <w:bCs/>
          <w:sz w:val="22"/>
          <w:szCs w:val="22"/>
          <w:lang w:val="es-PE"/>
        </w:rPr>
        <w:t>Heikkinen</w:t>
      </w:r>
      <w:proofErr w:type="spellEnd"/>
      <w:r w:rsidRPr="00977B12">
        <w:rPr>
          <w:rFonts w:ascii="Arial" w:hAnsi="Arial" w:cs="Arial"/>
          <w:bCs/>
          <w:sz w:val="22"/>
          <w:szCs w:val="22"/>
          <w:lang w:val="es-PE"/>
        </w:rPr>
        <w:t xml:space="preserve"> 2025). En el corredor minero del Sur, también se ha documentado que algunos participantes de programas sociales han terminado involucrados en paralizaciones (SNMPE 2021). Esto demuestra que el desarrollo social, por sí solo, no garantiza legitimidad. La clave está en comunicar estratégicamente para cambiar percepciones, porque solo así podremos transformar la inversión social en un activo que fortalezca la aceptación social del proyecto (</w:t>
      </w:r>
      <w:proofErr w:type="spellStart"/>
      <w:r w:rsidRPr="00977B12">
        <w:rPr>
          <w:rFonts w:ascii="Arial" w:hAnsi="Arial" w:cs="Arial"/>
          <w:bCs/>
          <w:sz w:val="22"/>
          <w:szCs w:val="22"/>
          <w:lang w:val="es-PE"/>
        </w:rPr>
        <w:t>Dall-Orsoletta</w:t>
      </w:r>
      <w:proofErr w:type="spellEnd"/>
      <w:r w:rsidRPr="00977B12">
        <w:rPr>
          <w:rFonts w:ascii="Arial" w:hAnsi="Arial" w:cs="Arial"/>
          <w:bCs/>
          <w:sz w:val="22"/>
          <w:szCs w:val="22"/>
          <w:lang w:val="es-PE"/>
        </w:rPr>
        <w:t xml:space="preserve"> 2025; </w:t>
      </w:r>
      <w:proofErr w:type="spellStart"/>
      <w:r w:rsidRPr="00977B12">
        <w:rPr>
          <w:rFonts w:ascii="Arial" w:hAnsi="Arial" w:cs="Arial"/>
          <w:bCs/>
          <w:sz w:val="22"/>
          <w:szCs w:val="22"/>
          <w:lang w:val="es-PE"/>
        </w:rPr>
        <w:t>Ezeh</w:t>
      </w:r>
      <w:proofErr w:type="spellEnd"/>
      <w:r w:rsidRPr="00977B12">
        <w:rPr>
          <w:rFonts w:ascii="Arial" w:hAnsi="Arial" w:cs="Arial"/>
          <w:bCs/>
          <w:sz w:val="22"/>
          <w:szCs w:val="22"/>
          <w:lang w:val="es-PE"/>
        </w:rPr>
        <w:t xml:space="preserve"> 2024). </w:t>
      </w:r>
    </w:p>
    <w:p w14:paraId="4E8FD078" w14:textId="77777777" w:rsidR="00977B12" w:rsidRPr="00977B12" w:rsidRDefault="00977B12" w:rsidP="00977B12">
      <w:pPr>
        <w:jc w:val="both"/>
        <w:rPr>
          <w:rFonts w:ascii="Arial" w:hAnsi="Arial" w:cs="Arial"/>
          <w:bCs/>
          <w:sz w:val="22"/>
          <w:szCs w:val="22"/>
          <w:lang w:val="es-PE"/>
        </w:rPr>
      </w:pPr>
    </w:p>
    <w:p w14:paraId="1E1D4D59"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Cambiar percepciones en entornos de proyectos minero energéticos no es tarea de simples comunicados ni campañas informativas unidireccionales. Más bien requiere estrategias de comunicación para el desarrollo que prioricen la participación, el diálogo y la integración de factores cognitivos y emocionales en la interacción con las comunidades. En este sentido, la teoría de la </w:t>
      </w:r>
      <w:r w:rsidRPr="00977B12">
        <w:rPr>
          <w:rFonts w:ascii="Arial" w:hAnsi="Arial" w:cs="Arial"/>
          <w:bCs/>
          <w:sz w:val="22"/>
          <w:szCs w:val="22"/>
          <w:lang w:val="es-PE"/>
        </w:rPr>
        <w:lastRenderedPageBreak/>
        <w:t xml:space="preserve">difusión de innovaciones de Everett Rogers (1962) constituye un aporte central, al explicar cómo las ideas nuevas, como puede ser una planta de energía solar o un modelo de minería sostenible, se transmiten y adoptan socialmente. Rogers identifica factores clave que afectan esa adopción: la compatibilidad cultural, la simplicidad del mensaje, la prueba social y la percepción de beneficio. Para aplicarlo en el contexto minero energético, es conveniente segmentar a los </w:t>
      </w:r>
      <w:proofErr w:type="spellStart"/>
      <w:r w:rsidRPr="00977B12">
        <w:rPr>
          <w:rFonts w:ascii="Arial" w:hAnsi="Arial" w:cs="Arial"/>
          <w:bCs/>
          <w:sz w:val="22"/>
          <w:szCs w:val="22"/>
          <w:lang w:val="es-PE"/>
        </w:rPr>
        <w:t>stakeholders</w:t>
      </w:r>
      <w:proofErr w:type="spellEnd"/>
      <w:r w:rsidRPr="00977B12">
        <w:rPr>
          <w:rFonts w:ascii="Arial" w:hAnsi="Arial" w:cs="Arial"/>
          <w:bCs/>
          <w:sz w:val="22"/>
          <w:szCs w:val="22"/>
          <w:lang w:val="es-PE"/>
        </w:rPr>
        <w:t xml:space="preserve"> según su disposición al cambio y diseñar mensajes diferenciados, adaptados a cada grupo, para favorecer su apropiación simbólica del proyecto (</w:t>
      </w:r>
      <w:proofErr w:type="spellStart"/>
      <w:r w:rsidRPr="00977B12">
        <w:rPr>
          <w:rFonts w:ascii="Arial" w:hAnsi="Arial" w:cs="Arial"/>
          <w:bCs/>
          <w:sz w:val="22"/>
          <w:szCs w:val="22"/>
          <w:lang w:val="es-PE"/>
        </w:rPr>
        <w:t>Dwivedi</w:t>
      </w:r>
      <w:proofErr w:type="spellEnd"/>
      <w:r w:rsidRPr="00977B12">
        <w:rPr>
          <w:rFonts w:ascii="Arial" w:hAnsi="Arial" w:cs="Arial"/>
          <w:bCs/>
          <w:sz w:val="22"/>
          <w:szCs w:val="22"/>
          <w:lang w:val="es-PE"/>
        </w:rPr>
        <w:t xml:space="preserve"> 2022; </w:t>
      </w:r>
      <w:proofErr w:type="spellStart"/>
      <w:r w:rsidRPr="00977B12">
        <w:rPr>
          <w:rFonts w:ascii="Arial" w:hAnsi="Arial" w:cs="Arial"/>
          <w:bCs/>
          <w:sz w:val="22"/>
          <w:szCs w:val="22"/>
          <w:lang w:val="es-PE"/>
        </w:rPr>
        <w:t>Dearing</w:t>
      </w:r>
      <w:proofErr w:type="spellEnd"/>
      <w:r w:rsidRPr="00977B12">
        <w:rPr>
          <w:rFonts w:ascii="Arial" w:hAnsi="Arial" w:cs="Arial"/>
          <w:bCs/>
          <w:sz w:val="22"/>
          <w:szCs w:val="22"/>
          <w:lang w:val="es-PE"/>
        </w:rPr>
        <w:t xml:space="preserve"> 2009; </w:t>
      </w:r>
      <w:proofErr w:type="spellStart"/>
      <w:r w:rsidRPr="00977B12">
        <w:rPr>
          <w:rFonts w:ascii="Arial" w:hAnsi="Arial" w:cs="Arial"/>
          <w:bCs/>
          <w:sz w:val="22"/>
          <w:szCs w:val="22"/>
          <w:lang w:val="es-PE"/>
        </w:rPr>
        <w:t>Inagaki</w:t>
      </w:r>
      <w:proofErr w:type="spellEnd"/>
      <w:r w:rsidRPr="00977B12">
        <w:rPr>
          <w:rFonts w:ascii="Arial" w:hAnsi="Arial" w:cs="Arial"/>
          <w:bCs/>
          <w:sz w:val="22"/>
          <w:szCs w:val="22"/>
          <w:lang w:val="es-PE"/>
        </w:rPr>
        <w:t xml:space="preserve"> 2007).</w:t>
      </w:r>
    </w:p>
    <w:p w14:paraId="1446A68D" w14:textId="77777777" w:rsidR="00977B12" w:rsidRPr="00977B12" w:rsidRDefault="00977B12" w:rsidP="00977B12">
      <w:pPr>
        <w:jc w:val="both"/>
        <w:rPr>
          <w:rFonts w:ascii="Arial" w:hAnsi="Arial" w:cs="Arial"/>
          <w:bCs/>
          <w:sz w:val="22"/>
          <w:szCs w:val="22"/>
          <w:lang w:val="es-PE"/>
        </w:rPr>
      </w:pPr>
    </w:p>
    <w:p w14:paraId="652D1CA8"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En paralelo, el enfoque de participación introduce herramientas clave para construir confianza y legitimidad desde la horizontalidad. Inspirado en la pedagogía crítica de Paulo Freire (1970), este enfoque concibe la comunicación como un proceso de diálogo entre iguales, donde el saber técnico y el saber local se encuentran para generar consensos. Freire resalta la importancia de los “</w:t>
      </w:r>
      <w:proofErr w:type="spellStart"/>
      <w:r w:rsidRPr="00977B12">
        <w:rPr>
          <w:rFonts w:ascii="Arial" w:hAnsi="Arial" w:cs="Arial"/>
          <w:bCs/>
          <w:sz w:val="22"/>
          <w:szCs w:val="22"/>
          <w:lang w:val="es-PE"/>
        </w:rPr>
        <w:t>Group</w:t>
      </w:r>
      <w:proofErr w:type="spellEnd"/>
      <w:r w:rsidRPr="00977B12">
        <w:rPr>
          <w:rFonts w:ascii="Arial" w:hAnsi="Arial" w:cs="Arial"/>
          <w:bCs/>
          <w:sz w:val="22"/>
          <w:szCs w:val="22"/>
          <w:lang w:val="es-PE"/>
        </w:rPr>
        <w:t xml:space="preserve"> Media”, espacios donde los actores pueden reflexionar, intercambiar ideas y organizarse colectivamente en torno a problemáticas comunes (</w:t>
      </w:r>
      <w:proofErr w:type="spellStart"/>
      <w:r w:rsidRPr="00977B12">
        <w:rPr>
          <w:rFonts w:ascii="Arial" w:hAnsi="Arial" w:cs="Arial"/>
          <w:bCs/>
          <w:sz w:val="22"/>
          <w:szCs w:val="22"/>
          <w:lang w:val="es-PE"/>
        </w:rPr>
        <w:t>Waisbord</w:t>
      </w:r>
      <w:proofErr w:type="spellEnd"/>
      <w:r w:rsidRPr="00977B12">
        <w:rPr>
          <w:rFonts w:ascii="Arial" w:hAnsi="Arial" w:cs="Arial"/>
          <w:bCs/>
          <w:sz w:val="22"/>
          <w:szCs w:val="22"/>
          <w:lang w:val="es-PE"/>
        </w:rPr>
        <w:t xml:space="preserve"> 2001). Esta dimensión dialógica, profundamente pedagógica, se vincula directamente con la generación de capacidades y el fortalecimiento del tejido comunitario (Kliksberg 2000), como sostienen también Sen (1993) y Nussbaum (2011) desde el enfoque de capacidades. Es, por tanto, una comunicación que educa, pero también escucha, reconoce y transforma.</w:t>
      </w:r>
    </w:p>
    <w:p w14:paraId="6B8DEC13" w14:textId="77777777" w:rsidR="00977B12" w:rsidRPr="00977B12" w:rsidRDefault="00977B12" w:rsidP="00977B12">
      <w:pPr>
        <w:jc w:val="both"/>
        <w:rPr>
          <w:rFonts w:ascii="Arial" w:hAnsi="Arial" w:cs="Arial"/>
          <w:bCs/>
          <w:sz w:val="22"/>
          <w:szCs w:val="22"/>
          <w:lang w:val="es-PE"/>
        </w:rPr>
      </w:pPr>
    </w:p>
    <w:p w14:paraId="0EB14442"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A este marco se suma la noción de “</w:t>
      </w:r>
      <w:proofErr w:type="spellStart"/>
      <w:r w:rsidRPr="00977B12">
        <w:rPr>
          <w:rFonts w:ascii="Arial" w:hAnsi="Arial" w:cs="Arial"/>
          <w:bCs/>
          <w:sz w:val="22"/>
          <w:szCs w:val="22"/>
          <w:lang w:val="es-PE"/>
        </w:rPr>
        <w:t>voice</w:t>
      </w:r>
      <w:proofErr w:type="spellEnd"/>
      <w:r w:rsidRPr="00977B12">
        <w:rPr>
          <w:rFonts w:ascii="Arial" w:hAnsi="Arial" w:cs="Arial"/>
          <w:bCs/>
          <w:sz w:val="22"/>
          <w:szCs w:val="22"/>
          <w:lang w:val="es-PE"/>
        </w:rPr>
        <w:t>” propuesta por Tufte (2017), que insiste en que toda intervención comunicativa debe integrar genuinamente las voces comunitarias, no solo para informar, sino para construir con ellas. Esto se traduce en mecanismos concretos de escucha activa, diálogo intercultural y justicia comunicacional. Gumucio (2004) amplía este enfoque desde la Comunicación para el Cambio Social (CCS), que no solo informa ni persuade, sino empodera. Para ello, propone el uso de medios comunitarios, arte popular, narrativas orales y testimonios que logren legitimar el proyecto desde las voces locales. Estos enfoques coinciden en que la legitimidad no se impone desde afuera, sino que se construye con las comunidades desde sus lenguajes, valores y realidades (Altamirano 2020).</w:t>
      </w:r>
    </w:p>
    <w:p w14:paraId="14F59E1D" w14:textId="77777777" w:rsidR="00977B12" w:rsidRPr="00977B12" w:rsidRDefault="00977B12" w:rsidP="00977B12">
      <w:pPr>
        <w:jc w:val="both"/>
        <w:rPr>
          <w:rFonts w:ascii="Arial" w:hAnsi="Arial" w:cs="Arial"/>
          <w:bCs/>
          <w:sz w:val="22"/>
          <w:szCs w:val="22"/>
          <w:lang w:val="es-PE"/>
        </w:rPr>
      </w:pPr>
    </w:p>
    <w:p w14:paraId="419448AE"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La revisión de estas teorías permite generar nuevas estrategias para el relacionamiento con los grupos de interés en el sector. Por un lado, se pueden diseñar mensajes culturalmente relevantes que </w:t>
      </w:r>
      <w:r w:rsidRPr="00977B12">
        <w:rPr>
          <w:rFonts w:ascii="Arial" w:hAnsi="Arial" w:cs="Arial"/>
          <w:bCs/>
          <w:sz w:val="22"/>
          <w:szCs w:val="22"/>
          <w:lang w:val="es-PE"/>
        </w:rPr>
        <w:t>respondan a preocupaciones reales como el acceso al empleo, la preservación de recursos naturales o el uso del territorio. Por otro, se puede mapear percepciones y liderazgos informales que influyen directamente en la aceptación o el rechazo de los proyectos. Además, estos enfoques permiten facilitar una apropiación simbólica del proyecto por parte de la comunidad, mediante testimonios o narrativas locales, y anticipar riesgos sociales antes de que escalen a conflictos abiertos, al comprender mejor las dinámicas de rumor, expectativa y percepción. Sin embargo, creo que este giro hacia una comunicación más horizontal y dialógica (</w:t>
      </w:r>
      <w:proofErr w:type="spellStart"/>
      <w:r w:rsidRPr="00977B12">
        <w:rPr>
          <w:rFonts w:ascii="Arial" w:hAnsi="Arial" w:cs="Arial"/>
          <w:bCs/>
          <w:sz w:val="22"/>
          <w:szCs w:val="22"/>
          <w:lang w:val="es-PE"/>
        </w:rPr>
        <w:t>Mefalopulos</w:t>
      </w:r>
      <w:proofErr w:type="spellEnd"/>
      <w:r w:rsidRPr="00977B12">
        <w:rPr>
          <w:rFonts w:ascii="Arial" w:hAnsi="Arial" w:cs="Arial"/>
          <w:bCs/>
          <w:sz w:val="22"/>
          <w:szCs w:val="22"/>
          <w:lang w:val="es-PE"/>
        </w:rPr>
        <w:t xml:space="preserve"> 2004) sigue siendo una tarea pendiente en buena parte de la gestión social en el sector extractivo peruano.</w:t>
      </w:r>
    </w:p>
    <w:p w14:paraId="26B6358C" w14:textId="77777777" w:rsidR="00977B12" w:rsidRPr="00977B12" w:rsidRDefault="00977B12" w:rsidP="00977B12">
      <w:pPr>
        <w:jc w:val="both"/>
        <w:rPr>
          <w:rFonts w:ascii="Arial" w:hAnsi="Arial" w:cs="Arial"/>
          <w:bCs/>
          <w:sz w:val="22"/>
          <w:szCs w:val="22"/>
          <w:lang w:val="es-PE"/>
        </w:rPr>
      </w:pPr>
    </w:p>
    <w:p w14:paraId="70B51798"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Aproximarse a los enfoques de comunicación para el desarrollo permite también entender cómo construir valor compartido en cada una de las iniciativas que impulsamos desde el sector minero energético. Esto es especialmente relevante en un contexto donde las empresas están cada vez más comprometidas con estándares ambientales, sociales y de gobernanza (ESG), que exigen mejorar su desempeño social de forma medible y sostenible. La comunicación estratégica no solo facilita el diálogo con los </w:t>
      </w:r>
      <w:proofErr w:type="spellStart"/>
      <w:r w:rsidRPr="00977B12">
        <w:rPr>
          <w:rFonts w:ascii="Arial" w:hAnsi="Arial" w:cs="Arial"/>
          <w:bCs/>
          <w:sz w:val="22"/>
          <w:szCs w:val="22"/>
          <w:lang w:val="es-PE"/>
        </w:rPr>
        <w:t>stakeholders</w:t>
      </w:r>
      <w:proofErr w:type="spellEnd"/>
      <w:r w:rsidRPr="00977B12">
        <w:rPr>
          <w:rFonts w:ascii="Arial" w:hAnsi="Arial" w:cs="Arial"/>
          <w:bCs/>
          <w:sz w:val="22"/>
          <w:szCs w:val="22"/>
          <w:lang w:val="es-PE"/>
        </w:rPr>
        <w:t>, sino que también permite construir confianza a través de información transparente y oportuna, integrando así la gestión social al núcleo de las decisiones empresariales (IFC, 2015).</w:t>
      </w:r>
    </w:p>
    <w:p w14:paraId="6B96E532" w14:textId="77777777" w:rsidR="00977B12" w:rsidRPr="00977B12" w:rsidRDefault="00977B12" w:rsidP="00977B12">
      <w:pPr>
        <w:jc w:val="both"/>
        <w:rPr>
          <w:rFonts w:ascii="Arial" w:hAnsi="Arial" w:cs="Arial"/>
          <w:bCs/>
          <w:sz w:val="22"/>
          <w:szCs w:val="22"/>
          <w:lang w:val="es-PE"/>
        </w:rPr>
      </w:pPr>
    </w:p>
    <w:p w14:paraId="6E5720FF"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Desde que Porter y Kramer introdujeran el concepto de valor compartido (2011) en el lenguaje de los negocios, muchas compañías han transitado hacia modelos de gestión más éticos, reconociendo que sus operaciones impactan de forma directa en lo social, económico y ambiental. Esta visión, anclada en los principios de la ética empresarial, establece que ninguna organización es ajena a su entorno y, por tanto, debe gestionar activamente sus impactos. Cuando se aplica correctamente, esta gestión no solo previene conflictos, sino que genera condiciones favorables para una aceptación social legítima, aspecto fundamental para proyectos del sector minero energético (Muñoz-Martín, 2013; García </w:t>
      </w:r>
      <w:proofErr w:type="spellStart"/>
      <w:r w:rsidRPr="00977B12">
        <w:rPr>
          <w:rFonts w:ascii="Arial" w:hAnsi="Arial" w:cs="Arial"/>
          <w:bCs/>
          <w:sz w:val="22"/>
          <w:szCs w:val="22"/>
          <w:lang w:val="es-PE"/>
        </w:rPr>
        <w:t>Marzá</w:t>
      </w:r>
      <w:proofErr w:type="spellEnd"/>
      <w:r w:rsidRPr="00977B12">
        <w:rPr>
          <w:rFonts w:ascii="Arial" w:hAnsi="Arial" w:cs="Arial"/>
          <w:bCs/>
          <w:sz w:val="22"/>
          <w:szCs w:val="22"/>
          <w:lang w:val="es-PE"/>
        </w:rPr>
        <w:t>, 2006; Davis, 1990).</w:t>
      </w:r>
    </w:p>
    <w:p w14:paraId="3641ACB0" w14:textId="77777777" w:rsidR="00977B12" w:rsidRPr="00977B12" w:rsidRDefault="00977B12" w:rsidP="00977B12">
      <w:pPr>
        <w:jc w:val="both"/>
        <w:rPr>
          <w:rFonts w:ascii="Arial" w:hAnsi="Arial" w:cs="Arial"/>
          <w:bCs/>
          <w:sz w:val="22"/>
          <w:szCs w:val="22"/>
          <w:lang w:val="es-PE"/>
        </w:rPr>
      </w:pPr>
    </w:p>
    <w:p w14:paraId="1F99BD5E"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El valor compartido implica crear simultáneamente beneficios económicos para la empresa y ventajas sociales tangibles para el entorno. Lograrlo exige alinear las intervenciones sociales con las prioridades estratégicas del negocio, de manera que cada iniciativa sea sostenible, apropiada por la comunidad y coherente con los objetivos corporativos (</w:t>
      </w:r>
      <w:proofErr w:type="spellStart"/>
      <w:r w:rsidRPr="00977B12">
        <w:rPr>
          <w:rFonts w:ascii="Arial" w:hAnsi="Arial" w:cs="Arial"/>
          <w:bCs/>
          <w:sz w:val="22"/>
          <w:szCs w:val="22"/>
          <w:lang w:val="es-PE"/>
        </w:rPr>
        <w:t>Menghwar</w:t>
      </w:r>
      <w:proofErr w:type="spellEnd"/>
      <w:r w:rsidRPr="00977B12">
        <w:rPr>
          <w:rFonts w:ascii="Arial" w:hAnsi="Arial" w:cs="Arial"/>
          <w:bCs/>
          <w:sz w:val="22"/>
          <w:szCs w:val="22"/>
          <w:lang w:val="es-PE"/>
        </w:rPr>
        <w:t xml:space="preserve"> 2021). Ejemplos exitosos incluyen proyectos que, al adoptar energías </w:t>
      </w:r>
      <w:r w:rsidRPr="00977B12">
        <w:rPr>
          <w:rFonts w:ascii="Arial" w:hAnsi="Arial" w:cs="Arial"/>
          <w:bCs/>
          <w:sz w:val="22"/>
          <w:szCs w:val="22"/>
          <w:lang w:val="es-PE"/>
        </w:rPr>
        <w:lastRenderedPageBreak/>
        <w:t>renovables, no solo reducen emisiones, sino que también fortalecen servicios locales o desarrollan capacidades técnicas en la población. Bajo este enfoque, la inversión social no se percibe como un gasto, sino como una herramienta para moderar expectativas, prevenir conflictos y mejorar la estabilidad operativa.</w:t>
      </w:r>
    </w:p>
    <w:p w14:paraId="34D10070" w14:textId="77777777" w:rsidR="00977B12" w:rsidRPr="00977B12" w:rsidRDefault="00977B12" w:rsidP="00977B12">
      <w:pPr>
        <w:jc w:val="both"/>
        <w:rPr>
          <w:rFonts w:ascii="Arial" w:hAnsi="Arial" w:cs="Arial"/>
          <w:bCs/>
          <w:sz w:val="22"/>
          <w:szCs w:val="22"/>
          <w:lang w:val="es-PE"/>
        </w:rPr>
      </w:pPr>
    </w:p>
    <w:p w14:paraId="680273D2"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Sin embargo, no todas las acciones que se presentan como valor compartido lo son. Con frecuencia, el concepto se banaliza al equipararse con prácticas de filantropía, caridad o responsabilidad social tradicional, desdibujando su verdadera esencia estratégica (</w:t>
      </w:r>
      <w:proofErr w:type="spellStart"/>
      <w:r w:rsidRPr="00977B12">
        <w:rPr>
          <w:rFonts w:ascii="Arial" w:hAnsi="Arial" w:cs="Arial"/>
          <w:bCs/>
          <w:sz w:val="22"/>
          <w:szCs w:val="22"/>
          <w:lang w:val="es-PE"/>
        </w:rPr>
        <w:t>Khurshid</w:t>
      </w:r>
      <w:proofErr w:type="spellEnd"/>
      <w:r w:rsidRPr="00977B12">
        <w:rPr>
          <w:rFonts w:ascii="Arial" w:hAnsi="Arial" w:cs="Arial"/>
          <w:bCs/>
          <w:sz w:val="22"/>
          <w:szCs w:val="22"/>
          <w:lang w:val="es-PE"/>
        </w:rPr>
        <w:t xml:space="preserve"> 2022). El valor compartido exige que las iniciativas generen simultáneamente valor económico para la empresa y valor social tangible para su entorno. Esto significa que, si una intervención no produce un retorno claro y medible para el negocio, como ahorro de costos, mitigación de riesgos operativos o mejora en el entorno institucional, no puede ser considerada una inversión estratégica, sino un gasto con impacto social difuso.</w:t>
      </w:r>
    </w:p>
    <w:p w14:paraId="215A3796" w14:textId="77777777" w:rsidR="00977B12" w:rsidRPr="00977B12" w:rsidRDefault="00977B12" w:rsidP="00977B12">
      <w:pPr>
        <w:jc w:val="both"/>
        <w:rPr>
          <w:rFonts w:ascii="Arial" w:hAnsi="Arial" w:cs="Arial"/>
          <w:bCs/>
          <w:sz w:val="22"/>
          <w:szCs w:val="22"/>
          <w:lang w:val="es-PE"/>
        </w:rPr>
      </w:pPr>
    </w:p>
    <w:p w14:paraId="412233BA"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Para ilustrar esta diferencia, consideremos el siguiente ejemplo: si una empresa decide usar materiales biodegradables en sus empaques y esta decisión reduce costos logísticos, al tiempo que disminuye la huella ambiental del producto, estamos ante una intervención de valor compartido. En cambio, si esa misma decisión implica un incremento significativo en los costos sin que exista un beneficio empresarial tangible, entonces se trataría de una acción ambientalmente responsable, pero más cercana a la filantropía que a una estrategia de negocio. El error común de muchas compañías del sector minero energético radica en asumir que la mejora de la reputación corporativa, por sí sola, constituye evidencia de valor compartido. Pero esta es una interpretación limitada. La reputación, aunque importante, debe ser analizada en términos de su capacidad para reducir riesgos o evitar costos reputacionales y operativos futuros. De lo contrario, se convierte en un argumento abstracto y difícil de vincular a métricas reales de desempeño (Sáenz 2023; Becerra-Vicario 2020).</w:t>
      </w:r>
    </w:p>
    <w:p w14:paraId="058187F7" w14:textId="77777777" w:rsidR="00977B12" w:rsidRPr="00977B12" w:rsidRDefault="00977B12" w:rsidP="00977B12">
      <w:pPr>
        <w:jc w:val="both"/>
        <w:rPr>
          <w:rFonts w:ascii="Arial" w:hAnsi="Arial" w:cs="Arial"/>
          <w:bCs/>
          <w:sz w:val="22"/>
          <w:szCs w:val="22"/>
          <w:lang w:val="es-PE"/>
        </w:rPr>
      </w:pPr>
    </w:p>
    <w:p w14:paraId="58274AC0"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Esta distinción es crucial para diseñar planes de gestión social con enfoque estratégico. El objetivo no debe ser simplemente mejorar las condiciones de vida de las comunidades, sino asegurar la viabilidad de los proyectos a través de la aceptación social, que es el verdadero “retorno” buscado en el contexto de la minería y la energía. Y esa aceptación no depende únicamente de las mejoras materiales generadas, sino de cómo se perciben dichas mejoras. Las personas actúan en función de </w:t>
      </w:r>
      <w:r w:rsidRPr="00977B12">
        <w:rPr>
          <w:rFonts w:ascii="Arial" w:hAnsi="Arial" w:cs="Arial"/>
          <w:bCs/>
          <w:sz w:val="22"/>
          <w:szCs w:val="22"/>
          <w:lang w:val="es-PE"/>
        </w:rPr>
        <w:t>sus percepciones, no necesariamente de los hechos objetivos. Por eso, cada intervención, ya sea en ejes comunes como salud, educación, o desarrollo económico, debe estar orientada a modificar positivamente la percepción sobre el proyecto: comunicar sus beneficios, reducir temores infundados, evitar la creación de expectativas desmesuradas y visibilizar el rol de la empresa como agente responsable (</w:t>
      </w:r>
      <w:proofErr w:type="spellStart"/>
      <w:r w:rsidRPr="00977B12">
        <w:rPr>
          <w:rFonts w:ascii="Arial" w:hAnsi="Arial" w:cs="Arial"/>
          <w:bCs/>
          <w:sz w:val="22"/>
          <w:szCs w:val="22"/>
          <w:lang w:val="es-PE"/>
        </w:rPr>
        <w:t>Khubana</w:t>
      </w:r>
      <w:proofErr w:type="spellEnd"/>
      <w:r w:rsidRPr="00977B12">
        <w:rPr>
          <w:rFonts w:ascii="Arial" w:hAnsi="Arial" w:cs="Arial"/>
          <w:bCs/>
          <w:sz w:val="22"/>
          <w:szCs w:val="22"/>
          <w:lang w:val="es-PE"/>
        </w:rPr>
        <w:t xml:space="preserve"> 2022). Estas acciones, si son bien diseñadas y evaluadas, pueden representar un ahorro económico real, sobre todo si se comparan con los altos costos de una paralización, un conflicto social o una pérdida de legitimidad.</w:t>
      </w:r>
    </w:p>
    <w:p w14:paraId="090E240B" w14:textId="77777777" w:rsidR="00977B12" w:rsidRPr="00977B12" w:rsidRDefault="00977B12" w:rsidP="00977B12">
      <w:pPr>
        <w:jc w:val="both"/>
        <w:rPr>
          <w:rFonts w:ascii="Arial" w:hAnsi="Arial" w:cs="Arial"/>
          <w:bCs/>
          <w:sz w:val="22"/>
          <w:szCs w:val="22"/>
          <w:lang w:val="es-PE"/>
        </w:rPr>
      </w:pPr>
    </w:p>
    <w:p w14:paraId="766B7BF7"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En consecuencia, implementar una estrategia de valor compartido exige planificación inteligente, fundamentada en un enfoque de debida diligencia social desde etapas tempranas. Esto incluye identificar necesidades locales, mapear actores clave, analizar liderazgos informales y comprender las dinámicas socioculturales del entorno. También requiere asegurar que las iniciativas sean sostenibles en el tiempo y apropiadas por las comunidades, de modo que no generen dependencia ni nuevas tensiones sociales. Solo así, el valor compartido deja de ser un concepto decorativo y se convierte en una auténtica palanca de competitividad empresarial, capaz de generar legitimidad, reducir riesgos, facilitar la continuidad operativa y contribuir a un entorno más justo y colaborativo para todos los actores involucrados.</w:t>
      </w:r>
    </w:p>
    <w:p w14:paraId="78A1337B" w14:textId="77777777" w:rsidR="00977B12" w:rsidRPr="00977B12" w:rsidRDefault="00977B12" w:rsidP="00977B12">
      <w:pPr>
        <w:jc w:val="both"/>
        <w:rPr>
          <w:rFonts w:ascii="Arial" w:hAnsi="Arial" w:cs="Arial"/>
          <w:bCs/>
          <w:sz w:val="22"/>
          <w:szCs w:val="22"/>
          <w:lang w:val="es-PE"/>
        </w:rPr>
      </w:pPr>
    </w:p>
    <w:p w14:paraId="147FB93B"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Con lo expuesto, hemos evidenciado que la gestión social estratégica en proyectos minero energéticos no puede limitarse a cumplir con lo mínimo requerido, sino que debe partir de un enfoque más amplio, que entienda la comunicación para el desarrollo como una herramienta clave para cambiar percepciones, generar confianza y construir legitimidad. Las teorías revisadas, desde la difusión de innovaciones hasta la noción de valor compartido, nos permiten comprender que solo cuando la comunicación es horizontal, culturalmente pertinente y sostenida en el tiempo, puede contribuir de forma efectiva a la aceptación social. Y que solo cuando esa aceptación se conecta con los intereses del negocio, la inversión social deja de ser un gasto filantrópico para convertirse en una apuesta estratégica que crea valor económico y social de manera simultánea.</w:t>
      </w:r>
    </w:p>
    <w:p w14:paraId="64542C29" w14:textId="77777777" w:rsidR="00977B12" w:rsidRPr="00977B12" w:rsidRDefault="00977B12" w:rsidP="00977B12">
      <w:pPr>
        <w:jc w:val="both"/>
        <w:rPr>
          <w:rFonts w:ascii="Arial" w:hAnsi="Arial" w:cs="Arial"/>
          <w:bCs/>
          <w:sz w:val="22"/>
          <w:szCs w:val="22"/>
          <w:lang w:val="es-PE"/>
        </w:rPr>
      </w:pPr>
    </w:p>
    <w:p w14:paraId="02F1C1B6" w14:textId="0AAF6873"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No obstante, cuando aterrizamos estos conceptos en el ciclo de vida de un proyecto energético, advertimos que aún existen importantes brechas. Un ejemplo es la etapa de construcción de una planta solar fotovoltaica, donde la gestión social suele ser vista como una función secundaria, </w:t>
      </w:r>
      <w:r w:rsidRPr="00977B12">
        <w:rPr>
          <w:rFonts w:ascii="Arial" w:hAnsi="Arial" w:cs="Arial"/>
          <w:bCs/>
          <w:sz w:val="22"/>
          <w:szCs w:val="22"/>
          <w:lang w:val="es-PE"/>
        </w:rPr>
        <w:lastRenderedPageBreak/>
        <w:t>subordinada a los cronogramas técnicos y a la presión por avanzar en obra. En ese contexto, los gestores sociales enfrentamos una doble tensión: hacia afuera, debemos hacer frente a sobre expectativas, actores emergentes y un bajo nivel de información local sobre el proyecto; mientras hacia adentro, debemos posicionar la dimensión social en un entorno corporativo que muchas veces no valora su potencial estratégico (</w:t>
      </w:r>
      <w:proofErr w:type="spellStart"/>
      <w:r w:rsidRPr="00977B12">
        <w:rPr>
          <w:rFonts w:ascii="Arial" w:hAnsi="Arial" w:cs="Arial"/>
          <w:bCs/>
          <w:sz w:val="22"/>
          <w:szCs w:val="22"/>
          <w:lang w:val="es-PE"/>
        </w:rPr>
        <w:t>Illarionova</w:t>
      </w:r>
      <w:proofErr w:type="spellEnd"/>
      <w:r w:rsidRPr="00977B12">
        <w:rPr>
          <w:rFonts w:ascii="Arial" w:hAnsi="Arial" w:cs="Arial"/>
          <w:bCs/>
          <w:sz w:val="22"/>
          <w:szCs w:val="22"/>
          <w:lang w:val="es-PE"/>
        </w:rPr>
        <w:t xml:space="preserve"> 2019). Los desafíos son mayores cuando no existe un modelo claro de intervención que guíe las acciones, lo que con frecuencia deriva en iniciativas asistencialistas o desarticuladas.</w:t>
      </w:r>
    </w:p>
    <w:p w14:paraId="6527254C" w14:textId="77777777" w:rsidR="00977B12" w:rsidRPr="00977B12" w:rsidRDefault="00977B12" w:rsidP="00977B12">
      <w:pPr>
        <w:jc w:val="both"/>
        <w:rPr>
          <w:rFonts w:ascii="Arial" w:hAnsi="Arial" w:cs="Arial"/>
          <w:bCs/>
          <w:sz w:val="22"/>
          <w:szCs w:val="22"/>
          <w:lang w:val="es-PE"/>
        </w:rPr>
      </w:pPr>
    </w:p>
    <w:p w14:paraId="0FA11C37" w14:textId="3C1BAD4C"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Es en ese marco que el estudio de caso de la Central Solar Fotovoltaica San Martín adquiere relevancia. Lejos de ser una experiencia anecdótica, representa un esfuerzo por traducir este nuevo enfoque en decisiones concretas, con acciones orientadas al cambio de percepciones, la </w:t>
      </w:r>
      <w:proofErr w:type="spellStart"/>
      <w:r w:rsidRPr="00977B12">
        <w:rPr>
          <w:rFonts w:ascii="Arial" w:hAnsi="Arial" w:cs="Arial"/>
          <w:bCs/>
          <w:sz w:val="22"/>
          <w:szCs w:val="22"/>
          <w:lang w:val="es-PE"/>
        </w:rPr>
        <w:t>co</w:t>
      </w:r>
      <w:r>
        <w:rPr>
          <w:rFonts w:ascii="Arial" w:hAnsi="Arial" w:cs="Arial"/>
          <w:bCs/>
          <w:sz w:val="22"/>
          <w:szCs w:val="22"/>
          <w:lang w:val="es-PE"/>
        </w:rPr>
        <w:t>-</w:t>
      </w:r>
      <w:r w:rsidRPr="00977B12">
        <w:rPr>
          <w:rFonts w:ascii="Arial" w:hAnsi="Arial" w:cs="Arial"/>
          <w:bCs/>
          <w:sz w:val="22"/>
          <w:szCs w:val="22"/>
          <w:lang w:val="es-PE"/>
        </w:rPr>
        <w:t>creación</w:t>
      </w:r>
      <w:proofErr w:type="spellEnd"/>
      <w:r w:rsidRPr="00977B12">
        <w:rPr>
          <w:rFonts w:ascii="Arial" w:hAnsi="Arial" w:cs="Arial"/>
          <w:bCs/>
          <w:sz w:val="22"/>
          <w:szCs w:val="22"/>
          <w:lang w:val="es-PE"/>
        </w:rPr>
        <w:t xml:space="preserve"> de valor compartido y la apropiación comunitaria del proyecto. Su sistematización no solo aporta aprendizajes valiosos para futuros desarrollos en contextos similares, sino que también evidencia cómo es posible reposicionar la gestión social como una herramienta de competitividad, sin perder de vista su dimensión ética ni su anclaje territorial. El caso que sigue no ofrece recetas, pero sí pistas claras para repensar cómo, cuándo y para qué se hace gestión social en el Perú de la transición energética.</w:t>
      </w:r>
    </w:p>
    <w:p w14:paraId="7A8E31DC" w14:textId="77777777" w:rsidR="00977B12" w:rsidRPr="00977B12" w:rsidRDefault="00977B12" w:rsidP="00977B12">
      <w:pPr>
        <w:jc w:val="both"/>
        <w:rPr>
          <w:rFonts w:ascii="Arial" w:hAnsi="Arial" w:cs="Arial"/>
          <w:bCs/>
          <w:sz w:val="22"/>
          <w:szCs w:val="22"/>
          <w:lang w:val="es-PE"/>
        </w:rPr>
      </w:pPr>
    </w:p>
    <w:p w14:paraId="32C42D32" w14:textId="4ED8D3AE" w:rsidR="00977B12" w:rsidRPr="007D0CBA" w:rsidRDefault="00977B12" w:rsidP="00977B12">
      <w:pPr>
        <w:jc w:val="both"/>
        <w:rPr>
          <w:rFonts w:ascii="Arial" w:hAnsi="Arial" w:cs="Arial"/>
          <w:b/>
          <w:sz w:val="22"/>
          <w:szCs w:val="22"/>
          <w:lang w:val="es-PE"/>
        </w:rPr>
      </w:pPr>
      <w:r w:rsidRPr="007D0CBA">
        <w:rPr>
          <w:rFonts w:ascii="Arial" w:hAnsi="Arial" w:cs="Arial"/>
          <w:b/>
          <w:sz w:val="22"/>
          <w:szCs w:val="22"/>
          <w:lang w:val="es-PE"/>
        </w:rPr>
        <w:t>3.</w:t>
      </w:r>
      <w:r w:rsidR="007D0CBA">
        <w:rPr>
          <w:rFonts w:ascii="Arial" w:hAnsi="Arial" w:cs="Arial"/>
          <w:b/>
          <w:sz w:val="22"/>
          <w:szCs w:val="22"/>
          <w:lang w:val="es-PE"/>
        </w:rPr>
        <w:t xml:space="preserve"> </w:t>
      </w:r>
      <w:r w:rsidRPr="007D0CBA">
        <w:rPr>
          <w:rFonts w:ascii="Arial" w:hAnsi="Arial" w:cs="Arial"/>
          <w:b/>
          <w:sz w:val="22"/>
          <w:szCs w:val="22"/>
          <w:lang w:val="es-PE"/>
        </w:rPr>
        <w:t>La gestión social en la Central Solar Fotovoltaica San Martín</w:t>
      </w:r>
    </w:p>
    <w:p w14:paraId="2B069F06" w14:textId="29E0F753" w:rsidR="00977B12" w:rsidRPr="007D0CBA" w:rsidRDefault="00977B12" w:rsidP="00977B12">
      <w:pPr>
        <w:jc w:val="both"/>
        <w:rPr>
          <w:rFonts w:ascii="Arial" w:hAnsi="Arial" w:cs="Arial"/>
          <w:b/>
          <w:sz w:val="22"/>
          <w:szCs w:val="22"/>
          <w:lang w:val="es-PE"/>
        </w:rPr>
      </w:pPr>
      <w:r w:rsidRPr="007D0CBA">
        <w:rPr>
          <w:rFonts w:ascii="Arial" w:hAnsi="Arial" w:cs="Arial"/>
          <w:b/>
          <w:sz w:val="22"/>
          <w:szCs w:val="22"/>
          <w:lang w:val="es-PE"/>
        </w:rPr>
        <w:t>3.1.</w:t>
      </w:r>
      <w:r w:rsidR="007D0CBA">
        <w:rPr>
          <w:rFonts w:ascii="Arial" w:hAnsi="Arial" w:cs="Arial"/>
          <w:b/>
          <w:sz w:val="22"/>
          <w:szCs w:val="22"/>
          <w:lang w:val="es-PE"/>
        </w:rPr>
        <w:t xml:space="preserve"> </w:t>
      </w:r>
      <w:r w:rsidRPr="007D0CBA">
        <w:rPr>
          <w:rFonts w:ascii="Arial" w:hAnsi="Arial" w:cs="Arial"/>
          <w:b/>
          <w:sz w:val="22"/>
          <w:szCs w:val="22"/>
          <w:lang w:val="es-PE"/>
        </w:rPr>
        <w:t>La construcción de la CSF San Martín</w:t>
      </w:r>
    </w:p>
    <w:p w14:paraId="6FD4E005" w14:textId="77777777" w:rsidR="00800D1B" w:rsidRPr="00977B12" w:rsidRDefault="00800D1B" w:rsidP="00977B12">
      <w:pPr>
        <w:jc w:val="both"/>
        <w:rPr>
          <w:rFonts w:ascii="Arial" w:hAnsi="Arial" w:cs="Arial"/>
          <w:bCs/>
          <w:sz w:val="22"/>
          <w:szCs w:val="22"/>
          <w:lang w:val="es-PE"/>
        </w:rPr>
      </w:pPr>
    </w:p>
    <w:p w14:paraId="380F6413"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La Central Solar San Martín es actualmente la planta fotovoltaica de mayor capacidad en operación comercial del Perú. Se ubica en el distrito de La Joya, provincia y departamento de Arequipa, y representa un hito para el proceso de transición energética en el país. El proyecto es de titularidad de </w:t>
      </w:r>
      <w:proofErr w:type="spellStart"/>
      <w:r w:rsidRPr="00977B12">
        <w:rPr>
          <w:rFonts w:ascii="Arial" w:hAnsi="Arial" w:cs="Arial"/>
          <w:bCs/>
          <w:sz w:val="22"/>
          <w:szCs w:val="22"/>
          <w:lang w:val="es-PE"/>
        </w:rPr>
        <w:t>Zelestra</w:t>
      </w:r>
      <w:proofErr w:type="spellEnd"/>
      <w:r w:rsidRPr="00977B12">
        <w:rPr>
          <w:rFonts w:ascii="Arial" w:hAnsi="Arial" w:cs="Arial"/>
          <w:bCs/>
          <w:sz w:val="22"/>
          <w:szCs w:val="22"/>
          <w:lang w:val="es-PE"/>
        </w:rPr>
        <w:t xml:space="preserve">, empresa global especializada en energías limpias, con presencia en más de 13 países y una cartera superior a los 29 GW en proyectos de energía renovable. La construcción fue ejecutada por su división interna de ingeniería, procura y construcción (EPC), logrando finalizar el proyecto en menos de 18 meses. </w:t>
      </w:r>
      <w:proofErr w:type="spellStart"/>
      <w:r w:rsidRPr="00977B12">
        <w:rPr>
          <w:rFonts w:ascii="Arial" w:hAnsi="Arial" w:cs="Arial"/>
          <w:bCs/>
          <w:sz w:val="22"/>
          <w:szCs w:val="22"/>
          <w:lang w:val="es-PE"/>
        </w:rPr>
        <w:t>Zelestra</w:t>
      </w:r>
      <w:proofErr w:type="spellEnd"/>
      <w:r w:rsidRPr="00977B12">
        <w:rPr>
          <w:rFonts w:ascii="Arial" w:hAnsi="Arial" w:cs="Arial"/>
          <w:bCs/>
          <w:sz w:val="22"/>
          <w:szCs w:val="22"/>
          <w:lang w:val="es-PE"/>
        </w:rPr>
        <w:t xml:space="preserve"> mantiene la propiedad y operación de la planta, mientras que la totalidad de la energía generada es comercializada a través de un contrato PPA de largo plazo con </w:t>
      </w:r>
      <w:proofErr w:type="spellStart"/>
      <w:r w:rsidRPr="00977B12">
        <w:rPr>
          <w:rFonts w:ascii="Arial" w:hAnsi="Arial" w:cs="Arial"/>
          <w:bCs/>
          <w:sz w:val="22"/>
          <w:szCs w:val="22"/>
          <w:lang w:val="es-PE"/>
        </w:rPr>
        <w:t>Kallpa</w:t>
      </w:r>
      <w:proofErr w:type="spellEnd"/>
      <w:r w:rsidRPr="00977B12">
        <w:rPr>
          <w:rFonts w:ascii="Arial" w:hAnsi="Arial" w:cs="Arial"/>
          <w:bCs/>
          <w:sz w:val="22"/>
          <w:szCs w:val="22"/>
          <w:lang w:val="es-PE"/>
        </w:rPr>
        <w:t xml:space="preserve"> Generación, una de las principales empresas del mercado eléctrico peruano (</w:t>
      </w:r>
      <w:proofErr w:type="spellStart"/>
      <w:r w:rsidRPr="00977B12">
        <w:rPr>
          <w:rFonts w:ascii="Arial" w:hAnsi="Arial" w:cs="Arial"/>
          <w:bCs/>
          <w:sz w:val="22"/>
          <w:szCs w:val="22"/>
          <w:lang w:val="es-PE"/>
        </w:rPr>
        <w:t>Zelestra</w:t>
      </w:r>
      <w:proofErr w:type="spellEnd"/>
      <w:r w:rsidRPr="00977B12">
        <w:rPr>
          <w:rFonts w:ascii="Arial" w:hAnsi="Arial" w:cs="Arial"/>
          <w:bCs/>
          <w:sz w:val="22"/>
          <w:szCs w:val="22"/>
          <w:lang w:val="es-PE"/>
        </w:rPr>
        <w:t xml:space="preserve"> 2025).</w:t>
      </w:r>
    </w:p>
    <w:p w14:paraId="101633D2" w14:textId="77777777" w:rsidR="00800D1B" w:rsidRPr="00977B12" w:rsidRDefault="00800D1B" w:rsidP="00977B12">
      <w:pPr>
        <w:jc w:val="both"/>
        <w:rPr>
          <w:rFonts w:ascii="Arial" w:hAnsi="Arial" w:cs="Arial"/>
          <w:bCs/>
          <w:sz w:val="22"/>
          <w:szCs w:val="22"/>
          <w:lang w:val="es-PE"/>
        </w:rPr>
      </w:pPr>
    </w:p>
    <w:p w14:paraId="417EFDE6"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La central solar cuenta con una potencia instalada de 252,4 MW y opera mediante 936,270 módulos </w:t>
      </w:r>
      <w:r w:rsidRPr="00977B12">
        <w:rPr>
          <w:rFonts w:ascii="Arial" w:hAnsi="Arial" w:cs="Arial"/>
          <w:bCs/>
          <w:sz w:val="22"/>
          <w:szCs w:val="22"/>
          <w:lang w:val="es-PE"/>
        </w:rPr>
        <w:t>fotovoltaicos bifaciales, montados sobre estructuras con sistema de seguimiento solar de un eje, lo que permite optimizar la captación de energía solar a lo largo del día. El proyecto contempla 32 unidades de conversión que integran inversores, transformadores y celdas de media tensión, lo que facilita una operación eficiente y centralizada. La conexión al Sistema Eléctrico Interconectado Nacional (SEIN) se realiza a través de la Línea de Transmisión de 220 kV entre la S.E. San Martín y la S.E. San José, con una extensión de 2,3 km (Osinergmin 2024).</w:t>
      </w:r>
    </w:p>
    <w:p w14:paraId="1C47E862" w14:textId="77777777" w:rsidR="00800D1B" w:rsidRPr="00977B12" w:rsidRDefault="00800D1B" w:rsidP="00977B12">
      <w:pPr>
        <w:jc w:val="both"/>
        <w:rPr>
          <w:rFonts w:ascii="Arial" w:hAnsi="Arial" w:cs="Arial"/>
          <w:bCs/>
          <w:sz w:val="22"/>
          <w:szCs w:val="22"/>
          <w:lang w:val="es-PE"/>
        </w:rPr>
      </w:pPr>
    </w:p>
    <w:p w14:paraId="3FDF47F5"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La inversión total ascendió a aproximadamente 180,6 millones de dólares, sin incluir IGV. Se estima que la planta generará anualmente más de 830 GWh de energía limpia, equivalente al consumo de más de 440,000 hogares peruanos, y permitirá evitar la emisión de más de 166,000 toneladas de CO</w:t>
      </w:r>
      <w:r w:rsidRPr="00977B12">
        <w:rPr>
          <w:rFonts w:ascii="Cambria Math" w:hAnsi="Cambria Math" w:cs="Cambria Math"/>
          <w:bCs/>
          <w:sz w:val="22"/>
          <w:szCs w:val="22"/>
          <w:lang w:val="es-PE"/>
        </w:rPr>
        <w:t>₂</w:t>
      </w:r>
      <w:r w:rsidRPr="00977B12">
        <w:rPr>
          <w:rFonts w:ascii="Arial" w:hAnsi="Arial" w:cs="Arial"/>
          <w:bCs/>
          <w:sz w:val="22"/>
          <w:szCs w:val="22"/>
          <w:lang w:val="es-PE"/>
        </w:rPr>
        <w:t xml:space="preserve"> al año. El proyecto inició su construcción el 5 de febrero de 2024 y logró su puesta en operación comercial (POC) el 7 de junio de 2025. Durante su construcción, generó hasta 900 empleos directos, dinamizando la economía local en La Joya y zonas aledañas (</w:t>
      </w:r>
      <w:proofErr w:type="spellStart"/>
      <w:r w:rsidRPr="00977B12">
        <w:rPr>
          <w:rFonts w:ascii="Arial" w:hAnsi="Arial" w:cs="Arial"/>
          <w:bCs/>
          <w:sz w:val="22"/>
          <w:szCs w:val="22"/>
          <w:lang w:val="es-PE"/>
        </w:rPr>
        <w:t>Zelestra</w:t>
      </w:r>
      <w:proofErr w:type="spellEnd"/>
      <w:r w:rsidRPr="00977B12">
        <w:rPr>
          <w:rFonts w:ascii="Arial" w:hAnsi="Arial" w:cs="Arial"/>
          <w:bCs/>
          <w:sz w:val="22"/>
          <w:szCs w:val="22"/>
          <w:lang w:val="es-PE"/>
        </w:rPr>
        <w:t xml:space="preserve"> 2025; SNMPE 2025; Osinergmin 2024). En términos regulatorios, la viabilidad del proyecto se sustentó en la Declaración de Impacto Ambiental (DIA) aprobada el 30 de noviembre de 2021 (R.D. </w:t>
      </w:r>
      <w:proofErr w:type="spellStart"/>
      <w:r w:rsidRPr="00977B12">
        <w:rPr>
          <w:rFonts w:ascii="Arial" w:hAnsi="Arial" w:cs="Arial"/>
          <w:bCs/>
          <w:sz w:val="22"/>
          <w:szCs w:val="22"/>
          <w:lang w:val="es-PE"/>
        </w:rPr>
        <w:t>N.°</w:t>
      </w:r>
      <w:proofErr w:type="spellEnd"/>
      <w:r w:rsidRPr="00977B12">
        <w:rPr>
          <w:rFonts w:ascii="Arial" w:hAnsi="Arial" w:cs="Arial"/>
          <w:bCs/>
          <w:sz w:val="22"/>
          <w:szCs w:val="22"/>
          <w:lang w:val="es-PE"/>
        </w:rPr>
        <w:t xml:space="preserve"> 0196-2021-MINEM/DGAAE) y su Modificación (MDIA) aprobada el 27 de septiembre de 2024 (R.D. </w:t>
      </w:r>
      <w:proofErr w:type="spellStart"/>
      <w:r w:rsidRPr="00977B12">
        <w:rPr>
          <w:rFonts w:ascii="Arial" w:hAnsi="Arial" w:cs="Arial"/>
          <w:bCs/>
          <w:sz w:val="22"/>
          <w:szCs w:val="22"/>
          <w:lang w:val="es-PE"/>
        </w:rPr>
        <w:t>N.°</w:t>
      </w:r>
      <w:proofErr w:type="spellEnd"/>
      <w:r w:rsidRPr="00977B12">
        <w:rPr>
          <w:rFonts w:ascii="Arial" w:hAnsi="Arial" w:cs="Arial"/>
          <w:bCs/>
          <w:sz w:val="22"/>
          <w:szCs w:val="22"/>
          <w:lang w:val="es-PE"/>
        </w:rPr>
        <w:t xml:space="preserve"> 0172-2024-MINEM/DGAAE).</w:t>
      </w:r>
    </w:p>
    <w:p w14:paraId="6B0CA66C" w14:textId="77777777" w:rsidR="00800D1B" w:rsidRPr="00977B12" w:rsidRDefault="00800D1B" w:rsidP="00977B12">
      <w:pPr>
        <w:jc w:val="both"/>
        <w:rPr>
          <w:rFonts w:ascii="Arial" w:hAnsi="Arial" w:cs="Arial"/>
          <w:bCs/>
          <w:sz w:val="22"/>
          <w:szCs w:val="22"/>
          <w:lang w:val="es-PE"/>
        </w:rPr>
      </w:pPr>
    </w:p>
    <w:p w14:paraId="73D84EF4"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La Central Solar San Martín representa un modelo de infraestructura energética de gran escala que combina innovación tecnológica, sostenibilidad ambiental y compromiso con la descarbonización del sector eléctrico peruano. A su vez, representa una oportunidad para analizar los retos específicos que enfrentan los equipos de gestión social durante la construcción de infraestructuras renovables. En particular, el estudio de caso permitirá comprender cómo se abordó la aparición de nuevos actores, la configuración de expectativas sociales y el abordaje de un contexto local con escaso conocimiento técnico sobre el proyecto. La sección siguiente explora con detalle estos aspectos y cómo se implementó una estrategia de gestión social alineada a los principios del valor compartido y la comunicación para el desarrollo.</w:t>
      </w:r>
    </w:p>
    <w:p w14:paraId="0456C43C" w14:textId="77777777" w:rsidR="00800D1B" w:rsidRPr="00977B12" w:rsidRDefault="00800D1B" w:rsidP="00977B12">
      <w:pPr>
        <w:jc w:val="both"/>
        <w:rPr>
          <w:rFonts w:ascii="Arial" w:hAnsi="Arial" w:cs="Arial"/>
          <w:bCs/>
          <w:sz w:val="22"/>
          <w:szCs w:val="22"/>
          <w:lang w:val="es-PE"/>
        </w:rPr>
      </w:pPr>
    </w:p>
    <w:p w14:paraId="4C59D562" w14:textId="4ED2F6EB" w:rsidR="00977B12" w:rsidRPr="007D0CBA" w:rsidRDefault="00977B12" w:rsidP="00977B12">
      <w:pPr>
        <w:jc w:val="both"/>
        <w:rPr>
          <w:rFonts w:ascii="Arial" w:hAnsi="Arial" w:cs="Arial"/>
          <w:b/>
          <w:sz w:val="22"/>
          <w:szCs w:val="22"/>
          <w:lang w:val="es-PE"/>
        </w:rPr>
      </w:pPr>
      <w:r w:rsidRPr="007D0CBA">
        <w:rPr>
          <w:rFonts w:ascii="Arial" w:hAnsi="Arial" w:cs="Arial"/>
          <w:b/>
          <w:sz w:val="22"/>
          <w:szCs w:val="22"/>
          <w:lang w:val="es-PE"/>
        </w:rPr>
        <w:t>3.2.</w:t>
      </w:r>
      <w:r w:rsidR="007D0CBA">
        <w:rPr>
          <w:rFonts w:ascii="Arial" w:hAnsi="Arial" w:cs="Arial"/>
          <w:b/>
          <w:sz w:val="22"/>
          <w:szCs w:val="22"/>
          <w:lang w:val="es-PE"/>
        </w:rPr>
        <w:t xml:space="preserve"> </w:t>
      </w:r>
      <w:r w:rsidRPr="007D0CBA">
        <w:rPr>
          <w:rFonts w:ascii="Arial" w:hAnsi="Arial" w:cs="Arial"/>
          <w:b/>
          <w:sz w:val="22"/>
          <w:szCs w:val="22"/>
          <w:lang w:val="es-PE"/>
        </w:rPr>
        <w:t>Contexto social y retos para la gestión</w:t>
      </w:r>
    </w:p>
    <w:p w14:paraId="5A5DBF45" w14:textId="77777777" w:rsidR="00800D1B" w:rsidRPr="00977B12" w:rsidRDefault="00800D1B" w:rsidP="00977B12">
      <w:pPr>
        <w:jc w:val="both"/>
        <w:rPr>
          <w:rFonts w:ascii="Arial" w:hAnsi="Arial" w:cs="Arial"/>
          <w:bCs/>
          <w:sz w:val="22"/>
          <w:szCs w:val="22"/>
          <w:lang w:val="es-PE"/>
        </w:rPr>
      </w:pPr>
    </w:p>
    <w:p w14:paraId="2D5BFC6D" w14:textId="1AD460E4"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Uno de los principales desafíos para la gestión social de la Central Solar San Martín fue su implementación tardía. La construcción del proyecto inició el 5 de febrero de 2024, pero las acciones de relacionamiento comunitario </w:t>
      </w:r>
      <w:r w:rsidRPr="00977B12">
        <w:rPr>
          <w:rFonts w:ascii="Arial" w:hAnsi="Arial" w:cs="Arial"/>
          <w:bCs/>
          <w:sz w:val="22"/>
          <w:szCs w:val="22"/>
          <w:lang w:val="es-PE"/>
        </w:rPr>
        <w:lastRenderedPageBreak/>
        <w:t>comenzaron recién a fines de mayo del mismo año. Esta brecha de varios meses, que resulta común en proyectos de construcción donde se prioriza el avance de obras sobre el despliegue temprano del Programa de Relaciones Comunitarias (PRC), generó algunas dificultades que marcaron la etapa inicial de intervención. Entre ellas, destacan el desconocimiento de la población sobre el proyecto, el surgimiento de sobre</w:t>
      </w:r>
      <w:r w:rsidR="002A52B1">
        <w:rPr>
          <w:rFonts w:ascii="Arial" w:hAnsi="Arial" w:cs="Arial"/>
          <w:bCs/>
          <w:sz w:val="22"/>
          <w:szCs w:val="22"/>
          <w:lang w:val="es-PE"/>
        </w:rPr>
        <w:t xml:space="preserve"> </w:t>
      </w:r>
      <w:r w:rsidRPr="00977B12">
        <w:rPr>
          <w:rFonts w:ascii="Arial" w:hAnsi="Arial" w:cs="Arial"/>
          <w:bCs/>
          <w:sz w:val="22"/>
          <w:szCs w:val="22"/>
          <w:lang w:val="es-PE"/>
        </w:rPr>
        <w:t>expectativas, el cuestionamiento sobre los beneficios reales de la inversión y la aparición de actores sociales no contemplados.</w:t>
      </w:r>
    </w:p>
    <w:p w14:paraId="0DA4E51B" w14:textId="77777777" w:rsidR="00800D1B" w:rsidRPr="00977B12" w:rsidRDefault="00800D1B" w:rsidP="00977B12">
      <w:pPr>
        <w:jc w:val="both"/>
        <w:rPr>
          <w:rFonts w:ascii="Arial" w:hAnsi="Arial" w:cs="Arial"/>
          <w:bCs/>
          <w:sz w:val="22"/>
          <w:szCs w:val="22"/>
          <w:lang w:val="es-PE"/>
        </w:rPr>
      </w:pPr>
    </w:p>
    <w:p w14:paraId="3CEFA3AF"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El área de influencia directa (AID) del proyecto, según lo establecido por la Declaración de Impacto Ambiental (DIA), fue definida exclusivamente como una zona desértica y sin presencia poblacional directa. No obstante, para fines de caracterización social, se consideraron como áreas más cercanas los centros poblados de Irrigación San Camilo Asentamiento N.º 6 (distrito de La Joya) e Irrigación San Camilo Asentamiento N.º 7 (distrito de Mollendo), ubicados aproximadamente a 7 </w:t>
      </w:r>
      <w:r w:rsidRPr="00977B12">
        <w:rPr>
          <w:rFonts w:ascii="Arial" w:hAnsi="Arial" w:cs="Arial"/>
          <w:bCs/>
          <w:sz w:val="22"/>
          <w:szCs w:val="22"/>
          <w:lang w:val="es-PE"/>
        </w:rPr>
        <w:t>kilómetros del área de intervención. Creemos que esta delimitación resultaba insuficiente para captar la complejidad del entorno territorial, especialmente en un contexto donde aún hoy persisten disputas políticas y sociales por los límites entre los distritos de La Joya (provincia de Arequipa) e Islay (provincia de Islay).</w:t>
      </w:r>
    </w:p>
    <w:p w14:paraId="39A8A25C" w14:textId="77777777" w:rsidR="00800D1B" w:rsidRPr="00977B12" w:rsidRDefault="00800D1B" w:rsidP="00977B12">
      <w:pPr>
        <w:jc w:val="both"/>
        <w:rPr>
          <w:rFonts w:ascii="Arial" w:hAnsi="Arial" w:cs="Arial"/>
          <w:bCs/>
          <w:sz w:val="22"/>
          <w:szCs w:val="22"/>
          <w:lang w:val="es-PE"/>
        </w:rPr>
      </w:pPr>
    </w:p>
    <w:p w14:paraId="5067525B" w14:textId="77777777"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La ausencia de comunicación oportuna acentuó la incertidumbre en la población. Los vecinos empezaron a notar movimiento de vehículos pesados, maquinaria y presencia de trabajadores externos, sin que existiera información clara sobre el tipo de infraestructura que se estaba construyendo. Este vacío informativo dio pie a rumores y especulaciones, así como a una percepción inicial negativa sobre el proyecto.</w:t>
      </w:r>
    </w:p>
    <w:p w14:paraId="079BCBAF" w14:textId="77777777" w:rsidR="00800D1B" w:rsidRPr="00977B12" w:rsidRDefault="00800D1B" w:rsidP="00977B12">
      <w:pPr>
        <w:jc w:val="both"/>
        <w:rPr>
          <w:rFonts w:ascii="Arial" w:hAnsi="Arial" w:cs="Arial"/>
          <w:bCs/>
          <w:sz w:val="22"/>
          <w:szCs w:val="22"/>
          <w:lang w:val="es-PE"/>
        </w:rPr>
      </w:pPr>
    </w:p>
    <w:p w14:paraId="557E87AE" w14:textId="641980DE" w:rsidR="00977B12" w:rsidRDefault="00977B12" w:rsidP="00977B12">
      <w:pPr>
        <w:jc w:val="both"/>
        <w:rPr>
          <w:rFonts w:ascii="Arial" w:hAnsi="Arial" w:cs="Arial"/>
          <w:bCs/>
          <w:sz w:val="22"/>
          <w:szCs w:val="22"/>
          <w:lang w:val="es-PE"/>
        </w:rPr>
      </w:pPr>
      <w:r w:rsidRPr="00977B12">
        <w:rPr>
          <w:rFonts w:ascii="Arial" w:hAnsi="Arial" w:cs="Arial"/>
          <w:bCs/>
          <w:sz w:val="22"/>
          <w:szCs w:val="22"/>
          <w:lang w:val="es-PE"/>
        </w:rPr>
        <w:t xml:space="preserve">A raíz de un trabajo de campo realizados las primeras semanas de junio, se identificaron preocupaciones en los actores locales que son clasificadas </w:t>
      </w:r>
      <w:r w:rsidR="005754A7">
        <w:rPr>
          <w:rFonts w:ascii="Arial" w:hAnsi="Arial" w:cs="Arial"/>
          <w:bCs/>
          <w:sz w:val="22"/>
          <w:szCs w:val="22"/>
          <w:lang w:val="es-PE"/>
        </w:rPr>
        <w:t>conforme lo describe la Tabla 1.</w:t>
      </w:r>
    </w:p>
    <w:p w14:paraId="538C598A" w14:textId="77777777" w:rsidR="00977B12" w:rsidRDefault="00977B12" w:rsidP="00977B12">
      <w:pPr>
        <w:jc w:val="both"/>
        <w:rPr>
          <w:rFonts w:ascii="Arial" w:hAnsi="Arial" w:cs="Arial"/>
          <w:bCs/>
          <w:sz w:val="22"/>
          <w:szCs w:val="22"/>
          <w:lang w:val="es-PE"/>
        </w:rPr>
      </w:pPr>
    </w:p>
    <w:p w14:paraId="537B579C" w14:textId="77777777" w:rsidR="005754A7" w:rsidRDefault="005754A7" w:rsidP="002D1C36">
      <w:pPr>
        <w:jc w:val="both"/>
        <w:rPr>
          <w:rFonts w:ascii="Arial" w:hAnsi="Arial" w:cs="Arial"/>
          <w:bCs/>
          <w:sz w:val="22"/>
          <w:szCs w:val="22"/>
          <w:highlight w:val="yellow"/>
          <w:lang w:val="es-PE"/>
        </w:rPr>
        <w:sectPr w:rsidR="005754A7" w:rsidSect="00D34811">
          <w:type w:val="continuous"/>
          <w:pgSz w:w="11900" w:h="16840"/>
          <w:pgMar w:top="1134" w:right="680" w:bottom="964" w:left="851" w:header="680" w:footer="567" w:gutter="0"/>
          <w:cols w:num="2" w:space="397"/>
          <w:docGrid w:linePitch="360"/>
        </w:sectPr>
      </w:pPr>
    </w:p>
    <w:p w14:paraId="0A401D36" w14:textId="3D643AF0" w:rsidR="005754A7" w:rsidRDefault="005754A7" w:rsidP="002D1C36">
      <w:pPr>
        <w:jc w:val="both"/>
        <w:rPr>
          <w:rFonts w:ascii="Arial" w:hAnsi="Arial" w:cs="Arial"/>
          <w:bCs/>
          <w:sz w:val="22"/>
          <w:szCs w:val="22"/>
          <w:highlight w:val="yellow"/>
          <w:lang w:val="es-PE"/>
        </w:rPr>
      </w:pPr>
    </w:p>
    <w:p w14:paraId="41695599" w14:textId="06F32CC6" w:rsidR="005754A7" w:rsidRPr="005754A7" w:rsidRDefault="005754A7" w:rsidP="005754A7">
      <w:pPr>
        <w:jc w:val="center"/>
        <w:rPr>
          <w:rFonts w:ascii="Arial" w:hAnsi="Arial" w:cs="Arial"/>
          <w:b/>
          <w:sz w:val="20"/>
          <w:szCs w:val="20"/>
          <w:lang w:val="es-PE"/>
        </w:rPr>
      </w:pPr>
      <w:r w:rsidRPr="005754A7">
        <w:rPr>
          <w:rFonts w:ascii="Arial" w:hAnsi="Arial" w:cs="Arial"/>
          <w:b/>
          <w:sz w:val="20"/>
          <w:szCs w:val="20"/>
          <w:lang w:val="es-PE"/>
        </w:rPr>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1 – Preocupaciones de la población de la CSF San Martín al inicio de la construcción</w:t>
      </w:r>
    </w:p>
    <w:p w14:paraId="0AD3A1AA" w14:textId="77777777" w:rsidR="005754A7" w:rsidRPr="005754A7" w:rsidRDefault="005754A7" w:rsidP="005754A7">
      <w:pPr>
        <w:jc w:val="center"/>
        <w:rPr>
          <w:rFonts w:ascii="Arial" w:hAnsi="Arial" w:cs="Arial"/>
          <w:b/>
          <w:sz w:val="20"/>
          <w:szCs w:val="20"/>
          <w:lang w:val="es-PE"/>
        </w:rPr>
      </w:pPr>
    </w:p>
    <w:tbl>
      <w:tblPr>
        <w:tblStyle w:val="Tablaconcuadrcula"/>
        <w:tblW w:w="0" w:type="auto"/>
        <w:tblLook w:val="04A0" w:firstRow="1" w:lastRow="0" w:firstColumn="1" w:lastColumn="0" w:noHBand="0" w:noVBand="1"/>
      </w:tblPr>
      <w:tblGrid>
        <w:gridCol w:w="490"/>
        <w:gridCol w:w="1632"/>
        <w:gridCol w:w="2784"/>
        <w:gridCol w:w="5453"/>
      </w:tblGrid>
      <w:tr w:rsidR="005754A7" w:rsidRPr="007D4D19" w14:paraId="69D7031F" w14:textId="77777777" w:rsidTr="005754A7">
        <w:tc>
          <w:tcPr>
            <w:tcW w:w="0" w:type="auto"/>
            <w:shd w:val="clear" w:color="auto" w:fill="auto"/>
            <w:vAlign w:val="center"/>
            <w:hideMark/>
          </w:tcPr>
          <w:p w14:paraId="054345F7"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N.º</w:t>
            </w:r>
          </w:p>
        </w:tc>
        <w:tc>
          <w:tcPr>
            <w:tcW w:w="1632" w:type="dxa"/>
            <w:shd w:val="clear" w:color="auto" w:fill="auto"/>
            <w:vAlign w:val="center"/>
            <w:hideMark/>
          </w:tcPr>
          <w:p w14:paraId="00DFD818"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Categoría</w:t>
            </w:r>
          </w:p>
        </w:tc>
        <w:tc>
          <w:tcPr>
            <w:tcW w:w="2784" w:type="dxa"/>
            <w:shd w:val="clear" w:color="auto" w:fill="auto"/>
            <w:vAlign w:val="center"/>
            <w:hideMark/>
          </w:tcPr>
          <w:p w14:paraId="2671CF83"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Preocupación específica</w:t>
            </w:r>
          </w:p>
        </w:tc>
        <w:tc>
          <w:tcPr>
            <w:tcW w:w="5453" w:type="dxa"/>
            <w:shd w:val="clear" w:color="auto" w:fill="auto"/>
            <w:vAlign w:val="center"/>
            <w:hideMark/>
          </w:tcPr>
          <w:p w14:paraId="7732904E"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Observación</w:t>
            </w:r>
          </w:p>
        </w:tc>
      </w:tr>
      <w:tr w:rsidR="005754A7" w:rsidRPr="007D4D19" w14:paraId="473E1080" w14:textId="77777777" w:rsidTr="005754A7">
        <w:tc>
          <w:tcPr>
            <w:tcW w:w="0" w:type="auto"/>
            <w:vAlign w:val="center"/>
            <w:hideMark/>
          </w:tcPr>
          <w:p w14:paraId="789FAB61"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1</w:t>
            </w:r>
          </w:p>
        </w:tc>
        <w:tc>
          <w:tcPr>
            <w:tcW w:w="1632" w:type="dxa"/>
            <w:vAlign w:val="center"/>
            <w:hideMark/>
          </w:tcPr>
          <w:p w14:paraId="207E9064"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Información y comunicación</w:t>
            </w:r>
          </w:p>
        </w:tc>
        <w:tc>
          <w:tcPr>
            <w:tcW w:w="2784" w:type="dxa"/>
            <w:vAlign w:val="center"/>
            <w:hideMark/>
          </w:tcPr>
          <w:p w14:paraId="32761263"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Desconocimiento sobre el inicio de obras</w:t>
            </w:r>
          </w:p>
        </w:tc>
        <w:tc>
          <w:tcPr>
            <w:tcW w:w="5453" w:type="dxa"/>
            <w:vAlign w:val="center"/>
            <w:hideMark/>
          </w:tcPr>
          <w:p w14:paraId="76AC336F"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 xml:space="preserve">La población notaba movimiento de vehículos y personas, pero no sabía que se trataba de la construcción de una planta solar. Tampoco conocían la naturaleza de este tipo de proyectos. </w:t>
            </w:r>
          </w:p>
        </w:tc>
      </w:tr>
      <w:tr w:rsidR="005754A7" w:rsidRPr="007D4D19" w14:paraId="0A5F17C2" w14:textId="77777777" w:rsidTr="005754A7">
        <w:tc>
          <w:tcPr>
            <w:tcW w:w="0" w:type="auto"/>
            <w:vAlign w:val="center"/>
            <w:hideMark/>
          </w:tcPr>
          <w:p w14:paraId="330BDCFC"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2</w:t>
            </w:r>
          </w:p>
        </w:tc>
        <w:tc>
          <w:tcPr>
            <w:tcW w:w="1632" w:type="dxa"/>
            <w:vAlign w:val="center"/>
            <w:hideMark/>
          </w:tcPr>
          <w:p w14:paraId="69298B42"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Percepción ambiental</w:t>
            </w:r>
          </w:p>
        </w:tc>
        <w:tc>
          <w:tcPr>
            <w:tcW w:w="2784" w:type="dxa"/>
            <w:vAlign w:val="center"/>
            <w:hideMark/>
          </w:tcPr>
          <w:p w14:paraId="79D04966"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Temor a impactos negativos sobre el medio ambiente</w:t>
            </w:r>
          </w:p>
        </w:tc>
        <w:tc>
          <w:tcPr>
            <w:tcW w:w="5453" w:type="dxa"/>
            <w:vAlign w:val="center"/>
            <w:hideMark/>
          </w:tcPr>
          <w:p w14:paraId="469CD9DF"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Sospechas de contaminación o daños en el entorno por la maquinaria y actividades de construcción.</w:t>
            </w:r>
          </w:p>
        </w:tc>
      </w:tr>
      <w:tr w:rsidR="005754A7" w:rsidRPr="007D4D19" w14:paraId="3DA61456" w14:textId="77777777" w:rsidTr="005754A7">
        <w:tc>
          <w:tcPr>
            <w:tcW w:w="0" w:type="auto"/>
            <w:vAlign w:val="center"/>
            <w:hideMark/>
          </w:tcPr>
          <w:p w14:paraId="7D1F157C"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3</w:t>
            </w:r>
          </w:p>
        </w:tc>
        <w:tc>
          <w:tcPr>
            <w:tcW w:w="1632" w:type="dxa"/>
            <w:vAlign w:val="center"/>
            <w:hideMark/>
          </w:tcPr>
          <w:p w14:paraId="2C88361A"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Expectativas económicas</w:t>
            </w:r>
          </w:p>
        </w:tc>
        <w:tc>
          <w:tcPr>
            <w:tcW w:w="2784" w:type="dxa"/>
            <w:vAlign w:val="center"/>
            <w:hideMark/>
          </w:tcPr>
          <w:p w14:paraId="00904742"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Empleo local masivo y permanente</w:t>
            </w:r>
          </w:p>
        </w:tc>
        <w:tc>
          <w:tcPr>
            <w:tcW w:w="5453" w:type="dxa"/>
            <w:vAlign w:val="center"/>
            <w:hideMark/>
          </w:tcPr>
          <w:p w14:paraId="3A0A7137"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Creencia de que habría contratación masiva de mano de obra local y que los puestos serían permanentes.</w:t>
            </w:r>
          </w:p>
        </w:tc>
      </w:tr>
      <w:tr w:rsidR="005754A7" w:rsidRPr="007D4D19" w14:paraId="0A317B76" w14:textId="77777777" w:rsidTr="005754A7">
        <w:tc>
          <w:tcPr>
            <w:tcW w:w="0" w:type="auto"/>
            <w:vAlign w:val="center"/>
            <w:hideMark/>
          </w:tcPr>
          <w:p w14:paraId="276705E1"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4</w:t>
            </w:r>
          </w:p>
        </w:tc>
        <w:tc>
          <w:tcPr>
            <w:tcW w:w="1632" w:type="dxa"/>
            <w:vAlign w:val="center"/>
            <w:hideMark/>
          </w:tcPr>
          <w:p w14:paraId="36594C06"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Expectativas económicas</w:t>
            </w:r>
          </w:p>
        </w:tc>
        <w:tc>
          <w:tcPr>
            <w:tcW w:w="2784" w:type="dxa"/>
            <w:vAlign w:val="center"/>
            <w:hideMark/>
          </w:tcPr>
          <w:p w14:paraId="1AC6605E"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Reducción de tarifas eléctricas</w:t>
            </w:r>
          </w:p>
        </w:tc>
        <w:tc>
          <w:tcPr>
            <w:tcW w:w="5453" w:type="dxa"/>
            <w:vAlign w:val="center"/>
            <w:hideMark/>
          </w:tcPr>
          <w:p w14:paraId="476BB5FD"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Idea errónea de que el proyecto reduciría directamente el costo de la electricidad en sus domicilios.</w:t>
            </w:r>
          </w:p>
        </w:tc>
      </w:tr>
      <w:tr w:rsidR="005754A7" w:rsidRPr="007D4D19" w14:paraId="13A8725C" w14:textId="77777777" w:rsidTr="005754A7">
        <w:tc>
          <w:tcPr>
            <w:tcW w:w="0" w:type="auto"/>
            <w:vAlign w:val="center"/>
            <w:hideMark/>
          </w:tcPr>
          <w:p w14:paraId="275A1B76"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5</w:t>
            </w:r>
          </w:p>
        </w:tc>
        <w:tc>
          <w:tcPr>
            <w:tcW w:w="1632" w:type="dxa"/>
            <w:vAlign w:val="center"/>
            <w:hideMark/>
          </w:tcPr>
          <w:p w14:paraId="46DC3D2E"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Expectativas económicas</w:t>
            </w:r>
          </w:p>
        </w:tc>
        <w:tc>
          <w:tcPr>
            <w:tcW w:w="2784" w:type="dxa"/>
            <w:vAlign w:val="center"/>
            <w:hideMark/>
          </w:tcPr>
          <w:p w14:paraId="0A23FA36"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Mejora del servicio eléctrico local</w:t>
            </w:r>
          </w:p>
        </w:tc>
        <w:tc>
          <w:tcPr>
            <w:tcW w:w="5453" w:type="dxa"/>
            <w:vAlign w:val="center"/>
            <w:hideMark/>
          </w:tcPr>
          <w:p w14:paraId="21429DB2"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Expectativa de que el proyecto incluya infraestructura o facilidades para ampliar o mejorar el suministro eléctrico en la zona.</w:t>
            </w:r>
          </w:p>
        </w:tc>
      </w:tr>
      <w:tr w:rsidR="005754A7" w:rsidRPr="007D4D19" w14:paraId="2115E0D4" w14:textId="77777777" w:rsidTr="005754A7">
        <w:tc>
          <w:tcPr>
            <w:tcW w:w="0" w:type="auto"/>
            <w:vAlign w:val="center"/>
            <w:hideMark/>
          </w:tcPr>
          <w:p w14:paraId="4037EBD8"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6</w:t>
            </w:r>
          </w:p>
        </w:tc>
        <w:tc>
          <w:tcPr>
            <w:tcW w:w="1632" w:type="dxa"/>
            <w:vAlign w:val="center"/>
            <w:hideMark/>
          </w:tcPr>
          <w:p w14:paraId="3C5F8EB1"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Gestión de actores sociales</w:t>
            </w:r>
          </w:p>
        </w:tc>
        <w:tc>
          <w:tcPr>
            <w:tcW w:w="2784" w:type="dxa"/>
            <w:vAlign w:val="center"/>
            <w:hideMark/>
          </w:tcPr>
          <w:p w14:paraId="38F1F23F"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Presión de sindicatos ajenos al territorio</w:t>
            </w:r>
          </w:p>
        </w:tc>
        <w:tc>
          <w:tcPr>
            <w:tcW w:w="5453" w:type="dxa"/>
            <w:vAlign w:val="center"/>
            <w:hideMark/>
          </w:tcPr>
          <w:p w14:paraId="34E71B7A"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Gremios de construcción civil exigían cuotas de empleo pese a no formar parte del área de influencia directa.</w:t>
            </w:r>
          </w:p>
        </w:tc>
      </w:tr>
      <w:tr w:rsidR="005754A7" w:rsidRPr="007D4D19" w14:paraId="478F5A5C" w14:textId="77777777" w:rsidTr="005754A7">
        <w:tc>
          <w:tcPr>
            <w:tcW w:w="0" w:type="auto"/>
            <w:vAlign w:val="center"/>
            <w:hideMark/>
          </w:tcPr>
          <w:p w14:paraId="5F5EDFC2"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7</w:t>
            </w:r>
          </w:p>
        </w:tc>
        <w:tc>
          <w:tcPr>
            <w:tcW w:w="1632" w:type="dxa"/>
            <w:vAlign w:val="center"/>
            <w:hideMark/>
          </w:tcPr>
          <w:p w14:paraId="55BAFEE6"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Área de influencia del proyecto</w:t>
            </w:r>
          </w:p>
        </w:tc>
        <w:tc>
          <w:tcPr>
            <w:tcW w:w="2784" w:type="dxa"/>
            <w:vAlign w:val="center"/>
            <w:hideMark/>
          </w:tcPr>
          <w:p w14:paraId="01D1AD34"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Percepción de exclusión de comunidades vecinas</w:t>
            </w:r>
          </w:p>
        </w:tc>
        <w:tc>
          <w:tcPr>
            <w:tcW w:w="5453" w:type="dxa"/>
            <w:vAlign w:val="center"/>
            <w:hideMark/>
          </w:tcPr>
          <w:p w14:paraId="63EE49BA"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La DIA solo contempló como AID a dos asentamientos a 7 km del proyecto, en un contexto de disputas territoriales entre La Joya e Islay.</w:t>
            </w:r>
          </w:p>
        </w:tc>
      </w:tr>
      <w:tr w:rsidR="005754A7" w:rsidRPr="007D4D19" w14:paraId="530D9A98" w14:textId="77777777" w:rsidTr="005754A7">
        <w:tc>
          <w:tcPr>
            <w:tcW w:w="0" w:type="auto"/>
            <w:vAlign w:val="center"/>
            <w:hideMark/>
          </w:tcPr>
          <w:p w14:paraId="618A5A94" w14:textId="77777777" w:rsidR="005754A7" w:rsidRPr="005754A7" w:rsidRDefault="005754A7" w:rsidP="005754A7">
            <w:pPr>
              <w:jc w:val="cente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8</w:t>
            </w:r>
          </w:p>
        </w:tc>
        <w:tc>
          <w:tcPr>
            <w:tcW w:w="1632" w:type="dxa"/>
            <w:vAlign w:val="center"/>
            <w:hideMark/>
          </w:tcPr>
          <w:p w14:paraId="13C1D3D5"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Diseño del Programa Social</w:t>
            </w:r>
          </w:p>
        </w:tc>
        <w:tc>
          <w:tcPr>
            <w:tcW w:w="2784" w:type="dxa"/>
            <w:vAlign w:val="center"/>
            <w:hideMark/>
          </w:tcPr>
          <w:p w14:paraId="0DE853B8"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Expectativas respecto a la inversión social</w:t>
            </w:r>
          </w:p>
        </w:tc>
        <w:tc>
          <w:tcPr>
            <w:tcW w:w="5453" w:type="dxa"/>
            <w:vAlign w:val="center"/>
            <w:hideMark/>
          </w:tcPr>
          <w:p w14:paraId="24E07C4F"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Los programas contemplados (educación y salud) no respondían a las necesidades ni expectativas reales de la población local, mayormente migrante y dedicada a la agricultura.</w:t>
            </w:r>
          </w:p>
        </w:tc>
      </w:tr>
    </w:tbl>
    <w:p w14:paraId="7F9FF1DA" w14:textId="77777777" w:rsidR="005754A7" w:rsidRDefault="005754A7" w:rsidP="002D1C36">
      <w:pPr>
        <w:jc w:val="both"/>
        <w:rPr>
          <w:rFonts w:ascii="Arial" w:hAnsi="Arial" w:cs="Arial"/>
          <w:bCs/>
          <w:sz w:val="22"/>
          <w:szCs w:val="22"/>
          <w:highlight w:val="yellow"/>
          <w:lang w:val="es-PE"/>
        </w:rPr>
      </w:pPr>
    </w:p>
    <w:p w14:paraId="3DDCE4F2" w14:textId="77777777" w:rsidR="005754A7" w:rsidRDefault="005754A7" w:rsidP="002D1C36">
      <w:pPr>
        <w:jc w:val="both"/>
        <w:rPr>
          <w:rFonts w:ascii="Arial" w:hAnsi="Arial" w:cs="Arial"/>
          <w:bCs/>
          <w:sz w:val="22"/>
          <w:szCs w:val="22"/>
          <w:lang w:val="es-PE"/>
        </w:rPr>
        <w:sectPr w:rsidR="005754A7" w:rsidSect="005754A7">
          <w:type w:val="continuous"/>
          <w:pgSz w:w="11900" w:h="16840"/>
          <w:pgMar w:top="1134" w:right="680" w:bottom="964" w:left="851" w:header="680" w:footer="567" w:gutter="0"/>
          <w:cols w:space="397"/>
          <w:docGrid w:linePitch="360"/>
        </w:sectPr>
      </w:pPr>
    </w:p>
    <w:p w14:paraId="1F58C929"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Estos factores condicionaron negativamente la percepción del proyecto durante su etapa inicial y evidenciaban la necesidad de revisar los enfoques tradicionales de delimitación del área de influencia y diseño de programas sociales en proyectos de energía renovable. En ese contexto, el área de gestión social identificó una ventana estratégica: la pendiente aprobación de una Modificación de la Declaración de Impacto Ambiental (MDIA) debido a </w:t>
      </w:r>
      <w:r w:rsidRPr="00800D1B">
        <w:rPr>
          <w:rFonts w:ascii="Arial" w:hAnsi="Arial" w:cs="Arial"/>
          <w:bCs/>
          <w:sz w:val="22"/>
          <w:szCs w:val="22"/>
          <w:lang w:val="es-PE"/>
        </w:rPr>
        <w:t xml:space="preserve">las mejoras tecnológicas y otros que se iban a incorporar al proyecto. </w:t>
      </w:r>
    </w:p>
    <w:p w14:paraId="6F501E5D" w14:textId="77777777" w:rsidR="002A52B1" w:rsidRPr="00800D1B" w:rsidRDefault="002A52B1" w:rsidP="00800D1B">
      <w:pPr>
        <w:jc w:val="both"/>
        <w:rPr>
          <w:rFonts w:ascii="Arial" w:hAnsi="Arial" w:cs="Arial"/>
          <w:bCs/>
          <w:sz w:val="22"/>
          <w:szCs w:val="22"/>
          <w:lang w:val="es-PE"/>
        </w:rPr>
      </w:pPr>
    </w:p>
    <w:p w14:paraId="40D68155" w14:textId="03C316BF" w:rsidR="00E77D13"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La MDIA no fue visto como un instrumento de mera formalidad administrativa, sino que representó una oportunidad para repensar el relacionamiento social del proyecto, dando respuesta a los vacíos identificados en el instrumento original y adaptando el enfoque a la realidad del territorio. Sus cambios </w:t>
      </w:r>
      <w:r w:rsidRPr="00800D1B">
        <w:rPr>
          <w:rFonts w:ascii="Arial" w:hAnsi="Arial" w:cs="Arial"/>
          <w:bCs/>
          <w:sz w:val="22"/>
          <w:szCs w:val="22"/>
          <w:lang w:val="es-PE"/>
        </w:rPr>
        <w:lastRenderedPageBreak/>
        <w:t>obedecieron a las preocupaciones ya identificadas. Por un lado, se amplió el Área de Influencia Directa (AID), reconociendo los territorios donde realmente se manifestaban los impactos percibidos y simbólicos del proyecto. Por otro, se ajustó el enfoque comunicacional, aumentando la frecuencia de reuniones informativas y de distribución de material informativo. Finalmente, el Programa de Desarrollo Social se enriqueció con dos líneas de intervención clave, previamente ausentes: la capacitación en producción agrícola, en respuesta a la principal actividad económica local, y el fortalecimiento de capacidades en municipalidades, atendiendo una demanda específica de las autoridades de la zona.</w:t>
      </w:r>
    </w:p>
    <w:p w14:paraId="031A0531" w14:textId="77777777" w:rsidR="00800D1B" w:rsidRDefault="00800D1B" w:rsidP="00800D1B">
      <w:pPr>
        <w:jc w:val="both"/>
        <w:rPr>
          <w:rFonts w:ascii="Arial" w:hAnsi="Arial" w:cs="Arial"/>
          <w:bCs/>
          <w:sz w:val="22"/>
          <w:szCs w:val="22"/>
          <w:lang w:val="es-PE"/>
        </w:rPr>
      </w:pPr>
    </w:p>
    <w:p w14:paraId="6BF813BA" w14:textId="07105AF3" w:rsidR="005754A7" w:rsidRPr="005754A7" w:rsidRDefault="005754A7" w:rsidP="005754A7">
      <w:pPr>
        <w:jc w:val="center"/>
        <w:rPr>
          <w:rFonts w:ascii="Arial" w:hAnsi="Arial" w:cs="Arial"/>
          <w:b/>
          <w:sz w:val="20"/>
          <w:szCs w:val="20"/>
          <w:lang w:val="es-PE"/>
        </w:rPr>
      </w:pPr>
      <w:r w:rsidRPr="005754A7">
        <w:rPr>
          <w:rFonts w:ascii="Arial" w:hAnsi="Arial" w:cs="Arial"/>
          <w:b/>
          <w:sz w:val="20"/>
          <w:szCs w:val="20"/>
          <w:lang w:val="es-PE"/>
        </w:rPr>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2 – Justificación de cambios introducidos en el PRC de la MDIA de la CSF San Martín</w:t>
      </w:r>
    </w:p>
    <w:p w14:paraId="48CC9835" w14:textId="77777777" w:rsidR="005754A7" w:rsidRPr="005754A7" w:rsidRDefault="005754A7" w:rsidP="00800D1B">
      <w:pPr>
        <w:jc w:val="both"/>
        <w:rPr>
          <w:rFonts w:ascii="Arial" w:hAnsi="Arial" w:cs="Arial"/>
          <w:bCs/>
          <w:sz w:val="20"/>
          <w:szCs w:val="20"/>
          <w:lang w:val="es-PE"/>
        </w:rPr>
      </w:pPr>
    </w:p>
    <w:tbl>
      <w:tblPr>
        <w:tblStyle w:val="Tablaconcuadrcula"/>
        <w:tblW w:w="0" w:type="auto"/>
        <w:tblLook w:val="04A0" w:firstRow="1" w:lastRow="0" w:firstColumn="1" w:lastColumn="0" w:noHBand="0" w:noVBand="1"/>
      </w:tblPr>
      <w:tblGrid>
        <w:gridCol w:w="1751"/>
        <w:gridCol w:w="3225"/>
      </w:tblGrid>
      <w:tr w:rsidR="005754A7" w:rsidRPr="00290F58" w14:paraId="1DB2250E" w14:textId="77777777" w:rsidTr="005754A7">
        <w:tc>
          <w:tcPr>
            <w:tcW w:w="0" w:type="auto"/>
            <w:shd w:val="clear" w:color="auto" w:fill="auto"/>
            <w:vAlign w:val="center"/>
            <w:hideMark/>
          </w:tcPr>
          <w:p w14:paraId="3D0BF087" w14:textId="0F1E5909"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Cambios introducidos</w:t>
            </w:r>
          </w:p>
          <w:p w14:paraId="0E174303"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en la MDIA</w:t>
            </w:r>
          </w:p>
        </w:tc>
        <w:tc>
          <w:tcPr>
            <w:tcW w:w="0" w:type="auto"/>
            <w:shd w:val="clear" w:color="auto" w:fill="auto"/>
            <w:vAlign w:val="center"/>
            <w:hideMark/>
          </w:tcPr>
          <w:p w14:paraId="2D728702" w14:textId="77777777" w:rsidR="005754A7" w:rsidRPr="005754A7" w:rsidRDefault="005754A7" w:rsidP="005754A7">
            <w:pPr>
              <w:jc w:val="center"/>
              <w:rPr>
                <w:rFonts w:ascii="Arial" w:eastAsia="MS Mincho" w:hAnsi="Arial" w:cs="Arial"/>
                <w:b/>
                <w:kern w:val="0"/>
                <w:sz w:val="20"/>
                <w:szCs w:val="20"/>
                <w:lang w:eastAsia="fr-FR"/>
                <w14:ligatures w14:val="none"/>
              </w:rPr>
            </w:pPr>
            <w:r w:rsidRPr="005754A7">
              <w:rPr>
                <w:rFonts w:ascii="Arial" w:eastAsia="MS Mincho" w:hAnsi="Arial" w:cs="Arial"/>
                <w:b/>
                <w:kern w:val="0"/>
                <w:sz w:val="20"/>
                <w:szCs w:val="20"/>
                <w:lang w:eastAsia="fr-FR"/>
                <w14:ligatures w14:val="none"/>
              </w:rPr>
              <w:t>Razonamiento estratégico</w:t>
            </w:r>
          </w:p>
        </w:tc>
      </w:tr>
      <w:tr w:rsidR="005754A7" w:rsidRPr="00290F58" w14:paraId="211C2993" w14:textId="77777777" w:rsidTr="008146C8">
        <w:tc>
          <w:tcPr>
            <w:tcW w:w="0" w:type="auto"/>
            <w:vAlign w:val="center"/>
            <w:hideMark/>
          </w:tcPr>
          <w:p w14:paraId="56444EF2"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Ampliación del Área de Influencia Directa (AID)</w:t>
            </w:r>
          </w:p>
        </w:tc>
        <w:tc>
          <w:tcPr>
            <w:tcW w:w="0" w:type="auto"/>
            <w:vAlign w:val="center"/>
            <w:hideMark/>
          </w:tcPr>
          <w:p w14:paraId="159570FC"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 xml:space="preserve">Reconocer zonas con impactos percibidos y con mayor presencia de actores sociales relevantes. Se incluyeron 5 zonas en total: Irrigación San Camilo 6, Irrigación San Camilo 7, Asociación de Viviendas Nuevas Esperanza, Asociación Santa Rosa y Asociación Alas del Sur. </w:t>
            </w:r>
          </w:p>
        </w:tc>
      </w:tr>
      <w:tr w:rsidR="005754A7" w:rsidRPr="00290F58" w14:paraId="5C4B559C" w14:textId="77777777" w:rsidTr="008146C8">
        <w:tc>
          <w:tcPr>
            <w:tcW w:w="0" w:type="auto"/>
            <w:vAlign w:val="center"/>
            <w:hideMark/>
          </w:tcPr>
          <w:p w14:paraId="50739E74"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Aumento de frecuencia y calidad de reuniones informativas</w:t>
            </w:r>
          </w:p>
        </w:tc>
        <w:tc>
          <w:tcPr>
            <w:tcW w:w="0" w:type="auto"/>
            <w:vAlign w:val="center"/>
            <w:hideMark/>
          </w:tcPr>
          <w:p w14:paraId="7E92AEDD"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 xml:space="preserve">Fortalecer el canal de comunicación con la población, mejorar comprensión del proyecto y contrarrestar rumores. Se aumentó la frecuencia de reuniones informativas, de realizar una en la fase de construcción, a ser bimensuales. La distribución de material informativo pasó de ser única en la fase de construcción, a ser trimestral. </w:t>
            </w:r>
          </w:p>
        </w:tc>
      </w:tr>
      <w:tr w:rsidR="005754A7" w:rsidRPr="00290F58" w14:paraId="0AB410DE" w14:textId="77777777" w:rsidTr="008146C8">
        <w:tc>
          <w:tcPr>
            <w:tcW w:w="0" w:type="auto"/>
            <w:vAlign w:val="center"/>
            <w:hideMark/>
          </w:tcPr>
          <w:p w14:paraId="51202F4B" w14:textId="77777777" w:rsidR="005754A7" w:rsidRPr="005754A7" w:rsidRDefault="005754A7" w:rsidP="008146C8">
            <w:pPr>
              <w:rPr>
                <w:rFonts w:ascii="Arial" w:eastAsia="MS Mincho" w:hAnsi="Arial" w:cs="Arial"/>
                <w:bCs/>
                <w:i/>
                <w:iCs/>
                <w:kern w:val="0"/>
                <w:sz w:val="20"/>
                <w:szCs w:val="20"/>
                <w:lang w:eastAsia="fr-FR"/>
                <w14:ligatures w14:val="none"/>
              </w:rPr>
            </w:pPr>
            <w:r w:rsidRPr="005754A7">
              <w:rPr>
                <w:rFonts w:ascii="Arial" w:eastAsia="MS Mincho" w:hAnsi="Arial" w:cs="Arial"/>
                <w:bCs/>
                <w:i/>
                <w:iCs/>
                <w:kern w:val="0"/>
                <w:sz w:val="20"/>
                <w:szCs w:val="20"/>
                <w:lang w:eastAsia="fr-FR"/>
                <w14:ligatures w14:val="none"/>
              </w:rPr>
              <w:t>Inclusión de programa agrícola y de fortalecimiento municipal</w:t>
            </w:r>
          </w:p>
        </w:tc>
        <w:tc>
          <w:tcPr>
            <w:tcW w:w="0" w:type="auto"/>
            <w:vAlign w:val="center"/>
            <w:hideMark/>
          </w:tcPr>
          <w:p w14:paraId="5AC3201E" w14:textId="77777777" w:rsidR="005754A7" w:rsidRPr="005754A7" w:rsidRDefault="005754A7" w:rsidP="008146C8">
            <w:pPr>
              <w:rPr>
                <w:rFonts w:ascii="Arial" w:eastAsia="MS Mincho" w:hAnsi="Arial" w:cs="Arial"/>
                <w:bCs/>
                <w:kern w:val="0"/>
                <w:sz w:val="20"/>
                <w:szCs w:val="20"/>
                <w:lang w:eastAsia="fr-FR"/>
                <w14:ligatures w14:val="none"/>
              </w:rPr>
            </w:pPr>
            <w:r w:rsidRPr="005754A7">
              <w:rPr>
                <w:rFonts w:ascii="Arial" w:eastAsia="MS Mincho" w:hAnsi="Arial" w:cs="Arial"/>
                <w:bCs/>
                <w:kern w:val="0"/>
                <w:sz w:val="20"/>
                <w:szCs w:val="20"/>
                <w:lang w:eastAsia="fr-FR"/>
                <w14:ligatures w14:val="none"/>
              </w:rPr>
              <w:t xml:space="preserve">Responder a necesidades territoriales reales y construir valor compartido sostenible. La principal actividad económica de la población es la agricultura, mientras que se denotaban crecientes demandas por una mejora en la gestión ambiental de las municipalidades en la zona. </w:t>
            </w:r>
          </w:p>
        </w:tc>
      </w:tr>
    </w:tbl>
    <w:p w14:paraId="4A29B4DA" w14:textId="77777777" w:rsidR="005754A7" w:rsidRDefault="005754A7" w:rsidP="00800D1B">
      <w:pPr>
        <w:jc w:val="both"/>
        <w:rPr>
          <w:rFonts w:ascii="Arial" w:hAnsi="Arial" w:cs="Arial"/>
          <w:bCs/>
          <w:sz w:val="22"/>
          <w:szCs w:val="22"/>
          <w:highlight w:val="yellow"/>
          <w:lang w:val="es-PE"/>
        </w:rPr>
      </w:pPr>
    </w:p>
    <w:p w14:paraId="2428E202"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Esta reformulación demuestra una lectura diferente de los instrumentos de gestión ambiental y social. En lugar de limitarse a cumplir exigencias normativas, se optó por utilizar la MDIA como vehículo de ajuste y alineamiento entre el proyecto y su entorno. La lógica de valor compartido inspiró cada decisión: las intervenciones debían generar beneficios tangibles para la población, pero también </w:t>
      </w:r>
      <w:r w:rsidRPr="00800D1B">
        <w:rPr>
          <w:rFonts w:ascii="Arial" w:hAnsi="Arial" w:cs="Arial"/>
          <w:bCs/>
          <w:sz w:val="22"/>
          <w:szCs w:val="22"/>
          <w:lang w:val="es-PE"/>
        </w:rPr>
        <w:t>reforzar la estabilidad operativa y la percepción positiva del proyecto. Más allá del cumplimiento, esta experiencia plantea un cambio de enfoque: los instrumentos de gestión ambiental no son barreras, sino herramientas estratégicas, si se entienden desde la escucha, la planificación inteligente y la generación de valor conjunto.</w:t>
      </w:r>
    </w:p>
    <w:p w14:paraId="491A267E" w14:textId="77777777" w:rsidR="007D0CBA" w:rsidRPr="00800D1B" w:rsidRDefault="007D0CBA" w:rsidP="00800D1B">
      <w:pPr>
        <w:jc w:val="both"/>
        <w:rPr>
          <w:rFonts w:ascii="Arial" w:hAnsi="Arial" w:cs="Arial"/>
          <w:bCs/>
          <w:sz w:val="22"/>
          <w:szCs w:val="22"/>
          <w:lang w:val="es-PE"/>
        </w:rPr>
      </w:pPr>
    </w:p>
    <w:p w14:paraId="4F732AB0" w14:textId="3A826CD0" w:rsidR="00800D1B" w:rsidRPr="007D0CBA" w:rsidRDefault="00800D1B" w:rsidP="00800D1B">
      <w:pPr>
        <w:jc w:val="both"/>
        <w:rPr>
          <w:rFonts w:ascii="Arial" w:hAnsi="Arial" w:cs="Arial"/>
          <w:b/>
          <w:sz w:val="22"/>
          <w:szCs w:val="22"/>
          <w:lang w:val="es-PE"/>
        </w:rPr>
      </w:pPr>
      <w:r w:rsidRPr="007D0CBA">
        <w:rPr>
          <w:rFonts w:ascii="Arial" w:hAnsi="Arial" w:cs="Arial"/>
          <w:b/>
          <w:sz w:val="22"/>
          <w:szCs w:val="22"/>
          <w:lang w:val="es-PE"/>
        </w:rPr>
        <w:t>3.3.</w:t>
      </w:r>
      <w:r w:rsidR="007D0CBA">
        <w:rPr>
          <w:rFonts w:ascii="Arial" w:hAnsi="Arial" w:cs="Arial"/>
          <w:b/>
          <w:sz w:val="22"/>
          <w:szCs w:val="22"/>
          <w:lang w:val="es-PE"/>
        </w:rPr>
        <w:t xml:space="preserve"> </w:t>
      </w:r>
      <w:r w:rsidRPr="007D0CBA">
        <w:rPr>
          <w:rFonts w:ascii="Arial" w:hAnsi="Arial" w:cs="Arial"/>
          <w:b/>
          <w:sz w:val="22"/>
          <w:szCs w:val="22"/>
          <w:lang w:val="es-PE"/>
        </w:rPr>
        <w:t xml:space="preserve">Una estrategia escalonada y </w:t>
      </w:r>
      <w:proofErr w:type="spellStart"/>
      <w:r w:rsidRPr="007D0CBA">
        <w:rPr>
          <w:rFonts w:ascii="Arial" w:hAnsi="Arial" w:cs="Arial"/>
          <w:b/>
          <w:sz w:val="22"/>
          <w:szCs w:val="22"/>
          <w:lang w:val="es-PE"/>
        </w:rPr>
        <w:t>multiactor</w:t>
      </w:r>
      <w:proofErr w:type="spellEnd"/>
    </w:p>
    <w:p w14:paraId="37766F8E" w14:textId="77777777" w:rsidR="007D0CBA" w:rsidRPr="00800D1B" w:rsidRDefault="007D0CBA" w:rsidP="00800D1B">
      <w:pPr>
        <w:jc w:val="both"/>
        <w:rPr>
          <w:rFonts w:ascii="Arial" w:hAnsi="Arial" w:cs="Arial"/>
          <w:bCs/>
          <w:sz w:val="22"/>
          <w:szCs w:val="22"/>
          <w:lang w:val="es-PE"/>
        </w:rPr>
      </w:pPr>
    </w:p>
    <w:p w14:paraId="1039721D"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Una vez replanteado el marco de intervención social a través de la MDIA, la implementación requirió una estrategia operativa adaptativa, capaz de gestionar la diversidad de actores, riesgos y tiempos propios de la etapa de construcción. Uno de los aprendizajes centrales de la experiencia San Martín fue comprender que los conflictos sociales en proyectos de energía no siempre surgen de quienes están formalmente dentro del área de influencia directa. De hecho, en este caso, el actor más hostil hacia el proyecto fue externo a ella: los sindicatos de construcción civil, que no formaban parte del territorio identificado en la Modificación a la Declaración de Impacto Ambiental (DIA), pero que intentaron posicionarse como interlocutores legítimos mediante amenazas de paralización.</w:t>
      </w:r>
    </w:p>
    <w:p w14:paraId="534557AF" w14:textId="77777777" w:rsidR="007D0CBA" w:rsidRPr="00800D1B" w:rsidRDefault="007D0CBA" w:rsidP="00800D1B">
      <w:pPr>
        <w:jc w:val="both"/>
        <w:rPr>
          <w:rFonts w:ascii="Arial" w:hAnsi="Arial" w:cs="Arial"/>
          <w:bCs/>
          <w:sz w:val="22"/>
          <w:szCs w:val="22"/>
          <w:lang w:val="es-PE"/>
        </w:rPr>
      </w:pPr>
    </w:p>
    <w:p w14:paraId="06DB83A7" w14:textId="740588B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Este comportamiento no es ajeno al contexto nacional. En el Perú, diversos sindicatos de construcción civil han adoptado prácticas coercitivas para asegurar cuotas de empleo en proyectos privados, especialmente en zonas donde las capacidades institucionales son limitadas. Se han documentado casos de chantaje, amenazas e incluso violencia física como mecanismos para presionar a las empresas, buscando satisfacer sus intereses económicos mediante la imposición de listas de trabajadores o la exigencia de pagos informales por paz laboral</w:t>
      </w:r>
      <w:r w:rsidR="006044D7">
        <w:rPr>
          <w:rFonts w:ascii="Arial" w:hAnsi="Arial" w:cs="Arial"/>
          <w:bCs/>
          <w:sz w:val="22"/>
          <w:szCs w:val="22"/>
          <w:lang w:val="es-PE"/>
        </w:rPr>
        <w:t xml:space="preserve"> (HBA 2025; ADI Perú 2014; RPP 2012)</w:t>
      </w:r>
      <w:r w:rsidRPr="00800D1B">
        <w:rPr>
          <w:rFonts w:ascii="Arial" w:hAnsi="Arial" w:cs="Arial"/>
          <w:bCs/>
          <w:sz w:val="22"/>
          <w:szCs w:val="22"/>
          <w:lang w:val="es-PE"/>
        </w:rPr>
        <w:t>.</w:t>
      </w:r>
    </w:p>
    <w:p w14:paraId="42879643" w14:textId="77777777" w:rsidR="007D0CBA" w:rsidRPr="00800D1B" w:rsidRDefault="007D0CBA" w:rsidP="00800D1B">
      <w:pPr>
        <w:jc w:val="both"/>
        <w:rPr>
          <w:rFonts w:ascii="Arial" w:hAnsi="Arial" w:cs="Arial"/>
          <w:bCs/>
          <w:sz w:val="22"/>
          <w:szCs w:val="22"/>
          <w:lang w:val="es-PE"/>
        </w:rPr>
      </w:pPr>
    </w:p>
    <w:p w14:paraId="2E564B3A"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Frente a esta amenaza, el área de gestión social tomó la decisión estratégica de responder desde la legitimidad de los instrumentos de gestión ambiental y social. Se defendió firmemente la DIA y la MDIA, que establecían con claridad la obligación de priorizar la contratación de mano de obra no calificada proveniente del área de influencia directa. Este enfoque no solo protegía al proyecto de prácticas extorsivas, sino que empoderaba a la población local, haciéndola protagonista y beneficiaria legítima del empleo generado durante la obra.</w:t>
      </w:r>
    </w:p>
    <w:p w14:paraId="1AFEB2E6" w14:textId="77777777" w:rsidR="007D0CBA" w:rsidRPr="00800D1B" w:rsidRDefault="007D0CBA" w:rsidP="00800D1B">
      <w:pPr>
        <w:jc w:val="both"/>
        <w:rPr>
          <w:rFonts w:ascii="Arial" w:hAnsi="Arial" w:cs="Arial"/>
          <w:bCs/>
          <w:sz w:val="22"/>
          <w:szCs w:val="22"/>
          <w:lang w:val="es-PE"/>
        </w:rPr>
      </w:pPr>
    </w:p>
    <w:p w14:paraId="3F90B455"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Esta fue la base para el diseño de una estrategia </w:t>
      </w:r>
      <w:proofErr w:type="spellStart"/>
      <w:r w:rsidRPr="00800D1B">
        <w:rPr>
          <w:rFonts w:ascii="Arial" w:hAnsi="Arial" w:cs="Arial"/>
          <w:bCs/>
          <w:sz w:val="22"/>
          <w:szCs w:val="22"/>
          <w:lang w:val="es-PE"/>
        </w:rPr>
        <w:t>multiactor</w:t>
      </w:r>
      <w:proofErr w:type="spellEnd"/>
      <w:r w:rsidRPr="00800D1B">
        <w:rPr>
          <w:rFonts w:ascii="Arial" w:hAnsi="Arial" w:cs="Arial"/>
          <w:bCs/>
          <w:sz w:val="22"/>
          <w:szCs w:val="22"/>
          <w:lang w:val="es-PE"/>
        </w:rPr>
        <w:t xml:space="preserve"> diferenciada, pero coherente, articulada bajo los principios de la comunicación para el desarrollo. Siguiendo los aportes de autores como </w:t>
      </w:r>
      <w:r w:rsidRPr="00800D1B">
        <w:rPr>
          <w:rFonts w:ascii="Arial" w:hAnsi="Arial" w:cs="Arial"/>
          <w:bCs/>
          <w:sz w:val="22"/>
          <w:szCs w:val="22"/>
          <w:lang w:val="es-PE"/>
        </w:rPr>
        <w:lastRenderedPageBreak/>
        <w:t>Freire (1970) y Rogers (1962), que destacan la necesidad de procesos dialógicos, situados y basados en la construcción de relaciones, se optó por desarrollar mensajes y enfoques diferenciados para cada actor, sin perder coherencia narrativa ni integridad institucional:</w:t>
      </w:r>
    </w:p>
    <w:p w14:paraId="5E0DC47D" w14:textId="77777777" w:rsidR="002A52B1" w:rsidRPr="00800D1B" w:rsidRDefault="002A52B1" w:rsidP="00800D1B">
      <w:pPr>
        <w:jc w:val="both"/>
        <w:rPr>
          <w:rFonts w:ascii="Arial" w:hAnsi="Arial" w:cs="Arial"/>
          <w:bCs/>
          <w:sz w:val="22"/>
          <w:szCs w:val="22"/>
          <w:lang w:val="es-PE"/>
        </w:rPr>
      </w:pPr>
    </w:p>
    <w:p w14:paraId="2D62E690" w14:textId="77777777" w:rsidR="00800D1B" w:rsidRP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w:t>
      </w:r>
      <w:r w:rsidRPr="00800D1B">
        <w:rPr>
          <w:rFonts w:ascii="Arial" w:hAnsi="Arial" w:cs="Arial"/>
          <w:bCs/>
          <w:sz w:val="22"/>
          <w:szCs w:val="22"/>
          <w:lang w:val="es-PE"/>
        </w:rPr>
        <w:tab/>
        <w:t>Para los sindicatos, se defendió el cumplimiento normativo y técnico, explicando que el marco legal y ambiental no permitía su inclusión como fuerza laboral prioritaria. Se puso énfasis en la institucionalidad y el respeto a los compromisos con las comunidades locales.</w:t>
      </w:r>
    </w:p>
    <w:p w14:paraId="4633F94E"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w:t>
      </w:r>
      <w:r w:rsidRPr="00800D1B">
        <w:rPr>
          <w:rFonts w:ascii="Arial" w:hAnsi="Arial" w:cs="Arial"/>
          <w:bCs/>
          <w:sz w:val="22"/>
          <w:szCs w:val="22"/>
          <w:lang w:val="es-PE"/>
        </w:rPr>
        <w:tab/>
        <w:t>Para la población local, se comunicó que su derecho al empleo estaba respaldado por el instrumento ambiental, y que el proyecto reconocía su legitimidad como área directamente afectada. Esta narrativa fue clave para fortalecer su identidad como actor social relevante y disminuir su vulnerabilidad ante influencias externas.</w:t>
      </w:r>
    </w:p>
    <w:p w14:paraId="07D084BC" w14:textId="77777777" w:rsidR="007D0CBA" w:rsidRPr="00800D1B" w:rsidRDefault="007D0CBA" w:rsidP="00800D1B">
      <w:pPr>
        <w:jc w:val="both"/>
        <w:rPr>
          <w:rFonts w:ascii="Arial" w:hAnsi="Arial" w:cs="Arial"/>
          <w:bCs/>
          <w:sz w:val="22"/>
          <w:szCs w:val="22"/>
          <w:lang w:val="es-PE"/>
        </w:rPr>
      </w:pPr>
    </w:p>
    <w:p w14:paraId="52EFFAC1"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Además, ambos públicos recibieron un mensaje común de posicionamiento positivo: el proyecto San Martín debía entenderse como símbolo de futuro, progreso y sostenibilidad. “Aquí estamos construyendo futuro”, “San Martín debe ser sinónimo de orgullo” y “Estamos construyendo un mundo mejor, con energía limpia” fueron frases repetidas estratégicamente en materiales, reuniones y charlas, buscando consolidar una narrativa de modernidad compartida, que además apelaba al sentido de identidad regional característico de la idiosincrasia arequipeña.</w:t>
      </w:r>
    </w:p>
    <w:p w14:paraId="18943843" w14:textId="77777777" w:rsidR="007D0CBA" w:rsidRPr="00800D1B" w:rsidRDefault="007D0CBA" w:rsidP="00800D1B">
      <w:pPr>
        <w:jc w:val="both"/>
        <w:rPr>
          <w:rFonts w:ascii="Arial" w:hAnsi="Arial" w:cs="Arial"/>
          <w:bCs/>
          <w:sz w:val="22"/>
          <w:szCs w:val="22"/>
          <w:lang w:val="es-PE"/>
        </w:rPr>
      </w:pPr>
    </w:p>
    <w:p w14:paraId="5B739AA6" w14:textId="6394BA13"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La implementación siguió una lógica escalonada: primero se priorizó la estrategia de empleo local y comunicación (contratación directa, charlas informativas, distribución de material informativo); luego, una vez alcanzado el pico de empleo, se activaron los programas de desarrollo social (educación, salud, capacitación agrícola, fortalecimiento institucional</w:t>
      </w:r>
      <w:r w:rsidR="002A52B1">
        <w:rPr>
          <w:rFonts w:ascii="Arial" w:hAnsi="Arial" w:cs="Arial"/>
          <w:bCs/>
          <w:sz w:val="22"/>
          <w:szCs w:val="22"/>
          <w:lang w:val="es-PE"/>
        </w:rPr>
        <w:t xml:space="preserve"> por medio de la </w:t>
      </w:r>
      <w:r w:rsidR="002A52B1">
        <w:rPr>
          <w:rFonts w:ascii="Arial" w:hAnsi="Arial" w:cs="Arial"/>
          <w:bCs/>
          <w:sz w:val="22"/>
          <w:szCs w:val="22"/>
          <w:lang w:val="es-PE"/>
        </w:rPr>
        <w:t>capacitación de funcionarios municipales</w:t>
      </w:r>
      <w:r w:rsidRPr="00800D1B">
        <w:rPr>
          <w:rFonts w:ascii="Arial" w:hAnsi="Arial" w:cs="Arial"/>
          <w:bCs/>
          <w:sz w:val="22"/>
          <w:szCs w:val="22"/>
          <w:lang w:val="es-PE"/>
        </w:rPr>
        <w:t>). Esta secuencia respondió tanto a la urgencia de contener amenazas sindicales como a la necesidad de generar bases sociales sólidas para la continuidad del proyecto.</w:t>
      </w:r>
    </w:p>
    <w:p w14:paraId="768CFA55" w14:textId="77777777" w:rsidR="007D0CBA" w:rsidRPr="00800D1B" w:rsidRDefault="007D0CBA" w:rsidP="00800D1B">
      <w:pPr>
        <w:jc w:val="both"/>
        <w:rPr>
          <w:rFonts w:ascii="Arial" w:hAnsi="Arial" w:cs="Arial"/>
          <w:bCs/>
          <w:sz w:val="22"/>
          <w:szCs w:val="22"/>
          <w:lang w:val="es-PE"/>
        </w:rPr>
      </w:pPr>
    </w:p>
    <w:p w14:paraId="7D00B8A7"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La estrategia fue también preventiva: al reconocer que el empleo sería temporal (con contratos de 1 o 2 meses, rotación por etapas y una drástica reducción después del pico de obra), se buscó desde el inicio que los trabajadores locales conozcan el proyecto desde dentro, desarrollen capacidades en el campo de las energías renovables y se conviertan en voceros espontáneos ante su comunidad. Así se mejoraba la comprensión del proyecto y se cimentaban relaciones de confianza duraderas. La experiencia directa de trabajar en San Martín les permitió comprender su lógica, sus limitaciones y su aporte a la transición energética, lo que ayudó a desmontar prejuicios y rumores.</w:t>
      </w:r>
    </w:p>
    <w:p w14:paraId="56066FA5" w14:textId="77777777" w:rsidR="007D0CBA" w:rsidRPr="00800D1B" w:rsidRDefault="007D0CBA" w:rsidP="00800D1B">
      <w:pPr>
        <w:jc w:val="both"/>
        <w:rPr>
          <w:rFonts w:ascii="Arial" w:hAnsi="Arial" w:cs="Arial"/>
          <w:bCs/>
          <w:sz w:val="22"/>
          <w:szCs w:val="22"/>
          <w:lang w:val="es-PE"/>
        </w:rPr>
      </w:pPr>
    </w:p>
    <w:p w14:paraId="1FB8E385"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Una vez que el empleo descendiera, los programas sociales cumplirían una doble función: mantener el vínculo activo con la comunidad y desligarse gradualmente del sindicato, que ya no tendría argumentos para intervenir. La idea era que la población local, ahora más informada, empoderada y con vínculos concretos con el proyecto, se convirtiera en el escudo social de la empresa, legitimando su presencia hasta la operación comercial.</w:t>
      </w:r>
    </w:p>
    <w:p w14:paraId="2B01B188" w14:textId="77777777" w:rsidR="007D0CBA" w:rsidRPr="00800D1B" w:rsidRDefault="007D0CBA" w:rsidP="00800D1B">
      <w:pPr>
        <w:jc w:val="both"/>
        <w:rPr>
          <w:rFonts w:ascii="Arial" w:hAnsi="Arial" w:cs="Arial"/>
          <w:bCs/>
          <w:sz w:val="22"/>
          <w:szCs w:val="22"/>
          <w:lang w:val="es-PE"/>
        </w:rPr>
      </w:pPr>
    </w:p>
    <w:p w14:paraId="1F7457E4" w14:textId="7430BF15"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Esta es la lógica que permite pasar de una gestión social asistencial a una gestión estratégica, basada en el valor compartido y orientada al cambio de percepciones. </w:t>
      </w:r>
      <w:r w:rsidR="0004318B">
        <w:rPr>
          <w:rFonts w:ascii="Arial" w:hAnsi="Arial" w:cs="Arial"/>
          <w:bCs/>
          <w:sz w:val="22"/>
          <w:szCs w:val="22"/>
          <w:lang w:val="es-PE"/>
        </w:rPr>
        <w:t xml:space="preserve">La Tabla </w:t>
      </w:r>
      <w:proofErr w:type="spellStart"/>
      <w:r w:rsidR="0004318B">
        <w:rPr>
          <w:rFonts w:ascii="Arial" w:hAnsi="Arial" w:cs="Arial"/>
          <w:bCs/>
          <w:sz w:val="22"/>
          <w:szCs w:val="22"/>
          <w:lang w:val="es-PE"/>
        </w:rPr>
        <w:t>N°</w:t>
      </w:r>
      <w:proofErr w:type="spellEnd"/>
      <w:r w:rsidR="0004318B">
        <w:rPr>
          <w:rFonts w:ascii="Arial" w:hAnsi="Arial" w:cs="Arial"/>
          <w:bCs/>
          <w:sz w:val="22"/>
          <w:szCs w:val="22"/>
          <w:lang w:val="es-PE"/>
        </w:rPr>
        <w:t xml:space="preserve"> 3</w:t>
      </w:r>
      <w:r w:rsidRPr="00800D1B">
        <w:rPr>
          <w:rFonts w:ascii="Arial" w:hAnsi="Arial" w:cs="Arial"/>
          <w:bCs/>
          <w:sz w:val="22"/>
          <w:szCs w:val="22"/>
          <w:lang w:val="es-PE"/>
        </w:rPr>
        <w:t xml:space="preserve"> presenta un cuadro comparativo que resume las principales diferencias y similitudes en la estrategia dirigida a los sindicatos y a la población local</w:t>
      </w:r>
      <w:r w:rsidR="007A3FCB">
        <w:rPr>
          <w:rFonts w:ascii="Arial" w:hAnsi="Arial" w:cs="Arial"/>
          <w:bCs/>
          <w:sz w:val="22"/>
          <w:szCs w:val="22"/>
          <w:lang w:val="es-PE"/>
        </w:rPr>
        <w:t>.</w:t>
      </w:r>
    </w:p>
    <w:p w14:paraId="398E74D6" w14:textId="77777777" w:rsidR="00800D1B" w:rsidRDefault="00800D1B" w:rsidP="00800D1B">
      <w:pPr>
        <w:jc w:val="both"/>
        <w:rPr>
          <w:rFonts w:ascii="Arial" w:hAnsi="Arial" w:cs="Arial"/>
          <w:bCs/>
          <w:sz w:val="22"/>
          <w:szCs w:val="22"/>
          <w:lang w:val="es-PE"/>
        </w:rPr>
      </w:pPr>
    </w:p>
    <w:p w14:paraId="003F4A65" w14:textId="77777777" w:rsidR="007A3FCB" w:rsidRDefault="007A3FCB" w:rsidP="00800D1B">
      <w:pPr>
        <w:jc w:val="both"/>
        <w:rPr>
          <w:rFonts w:ascii="Arial" w:hAnsi="Arial" w:cs="Arial"/>
          <w:bCs/>
          <w:sz w:val="22"/>
          <w:szCs w:val="22"/>
          <w:highlight w:val="yellow"/>
          <w:lang w:val="es-PE"/>
        </w:rPr>
        <w:sectPr w:rsidR="007A3FCB" w:rsidSect="00D34811">
          <w:type w:val="continuous"/>
          <w:pgSz w:w="11900" w:h="16840"/>
          <w:pgMar w:top="1134" w:right="680" w:bottom="964" w:left="851" w:header="680" w:footer="567" w:gutter="0"/>
          <w:cols w:num="2" w:space="397"/>
          <w:docGrid w:linePitch="360"/>
        </w:sectPr>
      </w:pPr>
    </w:p>
    <w:p w14:paraId="3C4EBE80" w14:textId="27ACF498" w:rsidR="007A3FCB" w:rsidRDefault="007A3FCB" w:rsidP="00800D1B">
      <w:pPr>
        <w:jc w:val="both"/>
        <w:rPr>
          <w:rFonts w:ascii="Arial" w:hAnsi="Arial" w:cs="Arial"/>
          <w:bCs/>
          <w:sz w:val="22"/>
          <w:szCs w:val="22"/>
          <w:highlight w:val="yellow"/>
          <w:lang w:val="es-PE"/>
        </w:rPr>
      </w:pPr>
    </w:p>
    <w:p w14:paraId="4B55BC48" w14:textId="6ED925EB" w:rsidR="007A3FCB" w:rsidRPr="007A3FCB" w:rsidRDefault="007A3FCB" w:rsidP="007A3FCB">
      <w:pPr>
        <w:jc w:val="center"/>
        <w:rPr>
          <w:rFonts w:ascii="Arial" w:hAnsi="Arial" w:cs="Arial"/>
          <w:b/>
          <w:sz w:val="20"/>
          <w:szCs w:val="20"/>
          <w:lang w:val="es-PE"/>
        </w:rPr>
      </w:pPr>
      <w:r w:rsidRPr="005754A7">
        <w:rPr>
          <w:rFonts w:ascii="Arial" w:hAnsi="Arial" w:cs="Arial"/>
          <w:b/>
          <w:sz w:val="20"/>
          <w:szCs w:val="20"/>
          <w:lang w:val="es-PE"/>
        </w:rPr>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w:t>
      </w:r>
      <w:r>
        <w:rPr>
          <w:rFonts w:ascii="Arial" w:hAnsi="Arial" w:cs="Arial"/>
          <w:b/>
          <w:sz w:val="20"/>
          <w:szCs w:val="20"/>
          <w:lang w:val="es-PE"/>
        </w:rPr>
        <w:t>3</w:t>
      </w:r>
      <w:r w:rsidRPr="005754A7">
        <w:rPr>
          <w:rFonts w:ascii="Arial" w:hAnsi="Arial" w:cs="Arial"/>
          <w:b/>
          <w:sz w:val="20"/>
          <w:szCs w:val="20"/>
          <w:lang w:val="es-PE"/>
        </w:rPr>
        <w:t xml:space="preserve"> – </w:t>
      </w:r>
      <w:r>
        <w:rPr>
          <w:rFonts w:ascii="Arial" w:hAnsi="Arial" w:cs="Arial"/>
          <w:b/>
          <w:sz w:val="20"/>
          <w:szCs w:val="20"/>
          <w:lang w:val="es-PE"/>
        </w:rPr>
        <w:t xml:space="preserve">Diferencias en la estrategia </w:t>
      </w:r>
      <w:proofErr w:type="spellStart"/>
      <w:r>
        <w:rPr>
          <w:rFonts w:ascii="Arial" w:hAnsi="Arial" w:cs="Arial"/>
          <w:b/>
          <w:i/>
          <w:iCs/>
          <w:sz w:val="20"/>
          <w:szCs w:val="20"/>
          <w:lang w:val="es-PE"/>
        </w:rPr>
        <w:t>multiactor</w:t>
      </w:r>
      <w:proofErr w:type="spellEnd"/>
      <w:r>
        <w:rPr>
          <w:rFonts w:ascii="Arial" w:hAnsi="Arial" w:cs="Arial"/>
          <w:b/>
          <w:i/>
          <w:iCs/>
          <w:sz w:val="20"/>
          <w:szCs w:val="20"/>
          <w:lang w:val="es-PE"/>
        </w:rPr>
        <w:t xml:space="preserve"> </w:t>
      </w:r>
      <w:r>
        <w:rPr>
          <w:rFonts w:ascii="Arial" w:hAnsi="Arial" w:cs="Arial"/>
          <w:b/>
          <w:sz w:val="20"/>
          <w:szCs w:val="20"/>
          <w:lang w:val="es-PE"/>
        </w:rPr>
        <w:t>aplicada</w:t>
      </w:r>
    </w:p>
    <w:p w14:paraId="72233283" w14:textId="77777777" w:rsidR="007A3FCB" w:rsidRDefault="007A3FCB" w:rsidP="00800D1B">
      <w:pPr>
        <w:jc w:val="both"/>
        <w:rPr>
          <w:rFonts w:ascii="Arial" w:hAnsi="Arial" w:cs="Arial"/>
          <w:bCs/>
          <w:sz w:val="22"/>
          <w:szCs w:val="22"/>
          <w:highlight w:val="yellow"/>
          <w:lang w:val="es-PE"/>
        </w:rPr>
      </w:pPr>
    </w:p>
    <w:tbl>
      <w:tblPr>
        <w:tblStyle w:val="Tablaconcuadrcula"/>
        <w:tblW w:w="0" w:type="auto"/>
        <w:tblLook w:val="04A0" w:firstRow="1" w:lastRow="0" w:firstColumn="1" w:lastColumn="0" w:noHBand="0" w:noVBand="1"/>
      </w:tblPr>
      <w:tblGrid>
        <w:gridCol w:w="2122"/>
        <w:gridCol w:w="4110"/>
        <w:gridCol w:w="4127"/>
      </w:tblGrid>
      <w:tr w:rsidR="007A3FCB" w:rsidRPr="007A3FCB" w14:paraId="545CF991" w14:textId="77777777" w:rsidTr="007A3FCB">
        <w:tc>
          <w:tcPr>
            <w:tcW w:w="2122" w:type="dxa"/>
            <w:shd w:val="clear" w:color="auto" w:fill="auto"/>
            <w:vAlign w:val="center"/>
            <w:hideMark/>
          </w:tcPr>
          <w:p w14:paraId="205A9295" w14:textId="77777777" w:rsidR="007A3FCB" w:rsidRPr="007A3FCB" w:rsidRDefault="007A3FCB" w:rsidP="008146C8">
            <w:pPr>
              <w:jc w:val="center"/>
              <w:rPr>
                <w:rFonts w:ascii="Arial" w:eastAsia="MS Mincho" w:hAnsi="Arial" w:cs="Arial"/>
                <w:b/>
                <w:kern w:val="0"/>
                <w:sz w:val="20"/>
                <w:szCs w:val="20"/>
                <w:lang w:eastAsia="fr-FR"/>
                <w14:ligatures w14:val="none"/>
              </w:rPr>
            </w:pPr>
            <w:r w:rsidRPr="007A3FCB">
              <w:rPr>
                <w:rFonts w:ascii="Arial" w:eastAsia="MS Mincho" w:hAnsi="Arial" w:cs="Arial"/>
                <w:b/>
                <w:kern w:val="0"/>
                <w:sz w:val="20"/>
                <w:szCs w:val="20"/>
                <w:lang w:eastAsia="fr-FR"/>
                <w14:ligatures w14:val="none"/>
              </w:rPr>
              <w:t>Elemento</w:t>
            </w:r>
          </w:p>
        </w:tc>
        <w:tc>
          <w:tcPr>
            <w:tcW w:w="4110" w:type="dxa"/>
            <w:shd w:val="clear" w:color="auto" w:fill="auto"/>
            <w:vAlign w:val="center"/>
            <w:hideMark/>
          </w:tcPr>
          <w:p w14:paraId="4DB6241D" w14:textId="77777777" w:rsidR="007A3FCB" w:rsidRPr="007A3FCB" w:rsidRDefault="007A3FCB" w:rsidP="008146C8">
            <w:pPr>
              <w:jc w:val="center"/>
              <w:rPr>
                <w:rFonts w:ascii="Arial" w:eastAsia="MS Mincho" w:hAnsi="Arial" w:cs="Arial"/>
                <w:b/>
                <w:kern w:val="0"/>
                <w:sz w:val="20"/>
                <w:szCs w:val="20"/>
                <w:lang w:eastAsia="fr-FR"/>
                <w14:ligatures w14:val="none"/>
              </w:rPr>
            </w:pPr>
            <w:r w:rsidRPr="007A3FCB">
              <w:rPr>
                <w:rFonts w:ascii="Arial" w:eastAsia="MS Mincho" w:hAnsi="Arial" w:cs="Arial"/>
                <w:b/>
                <w:kern w:val="0"/>
                <w:sz w:val="20"/>
                <w:szCs w:val="20"/>
                <w:lang w:eastAsia="fr-FR"/>
                <w14:ligatures w14:val="none"/>
              </w:rPr>
              <w:t>Sindicatos de Construcción Civil</w:t>
            </w:r>
          </w:p>
        </w:tc>
        <w:tc>
          <w:tcPr>
            <w:tcW w:w="4127" w:type="dxa"/>
            <w:shd w:val="clear" w:color="auto" w:fill="auto"/>
            <w:vAlign w:val="center"/>
            <w:hideMark/>
          </w:tcPr>
          <w:p w14:paraId="5F943909" w14:textId="458F8356" w:rsidR="007A3FCB" w:rsidRPr="007A3FCB" w:rsidRDefault="007A3FCB" w:rsidP="008146C8">
            <w:pPr>
              <w:jc w:val="center"/>
              <w:rPr>
                <w:rFonts w:ascii="Arial" w:eastAsia="MS Mincho" w:hAnsi="Arial" w:cs="Arial"/>
                <w:b/>
                <w:kern w:val="0"/>
                <w:sz w:val="20"/>
                <w:szCs w:val="20"/>
                <w:lang w:eastAsia="fr-FR"/>
                <w14:ligatures w14:val="none"/>
              </w:rPr>
            </w:pPr>
            <w:r w:rsidRPr="007A3FCB">
              <w:rPr>
                <w:rFonts w:ascii="Arial" w:eastAsia="MS Mincho" w:hAnsi="Arial" w:cs="Arial"/>
                <w:b/>
                <w:kern w:val="0"/>
                <w:sz w:val="20"/>
                <w:szCs w:val="20"/>
                <w:lang w:eastAsia="fr-FR"/>
                <w14:ligatures w14:val="none"/>
              </w:rPr>
              <w:t>Población del AID</w:t>
            </w:r>
          </w:p>
        </w:tc>
      </w:tr>
      <w:tr w:rsidR="007A3FCB" w:rsidRPr="007A3FCB" w14:paraId="1B751689" w14:textId="77777777" w:rsidTr="007A3FCB">
        <w:tc>
          <w:tcPr>
            <w:tcW w:w="2122" w:type="dxa"/>
            <w:shd w:val="clear" w:color="auto" w:fill="auto"/>
            <w:vAlign w:val="center"/>
            <w:hideMark/>
          </w:tcPr>
          <w:p w14:paraId="0DDF0DB7"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Condición</w:t>
            </w:r>
          </w:p>
        </w:tc>
        <w:tc>
          <w:tcPr>
            <w:tcW w:w="4110" w:type="dxa"/>
            <w:shd w:val="clear" w:color="auto" w:fill="auto"/>
            <w:vAlign w:val="center"/>
            <w:hideMark/>
          </w:tcPr>
          <w:p w14:paraId="411DD762" w14:textId="75D1ABEE"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Actores externos no contemplados en la DIA/MDIA</w:t>
            </w:r>
          </w:p>
        </w:tc>
        <w:tc>
          <w:tcPr>
            <w:tcW w:w="4127" w:type="dxa"/>
            <w:shd w:val="clear" w:color="auto" w:fill="auto"/>
            <w:vAlign w:val="center"/>
            <w:hideMark/>
          </w:tcPr>
          <w:p w14:paraId="30DCA365" w14:textId="64450D28"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Actores reconocidos por la DIA/MDIA</w:t>
            </w:r>
          </w:p>
        </w:tc>
      </w:tr>
      <w:tr w:rsidR="007A3FCB" w:rsidRPr="007A3FCB" w14:paraId="229F44AC" w14:textId="77777777" w:rsidTr="007A3FCB">
        <w:tc>
          <w:tcPr>
            <w:tcW w:w="2122" w:type="dxa"/>
            <w:shd w:val="clear" w:color="auto" w:fill="auto"/>
            <w:vAlign w:val="center"/>
            <w:hideMark/>
          </w:tcPr>
          <w:p w14:paraId="75EE4C20"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Demanda principal</w:t>
            </w:r>
          </w:p>
        </w:tc>
        <w:tc>
          <w:tcPr>
            <w:tcW w:w="4110" w:type="dxa"/>
            <w:shd w:val="clear" w:color="auto" w:fill="auto"/>
            <w:vAlign w:val="center"/>
            <w:hideMark/>
          </w:tcPr>
          <w:p w14:paraId="51EB56F8"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Cuotas de empleo y participación en obra</w:t>
            </w:r>
          </w:p>
        </w:tc>
        <w:tc>
          <w:tcPr>
            <w:tcW w:w="4127" w:type="dxa"/>
            <w:shd w:val="clear" w:color="auto" w:fill="auto"/>
            <w:vAlign w:val="center"/>
            <w:hideMark/>
          </w:tcPr>
          <w:p w14:paraId="4C743EEF"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Acceso a empleo local no calificado</w:t>
            </w:r>
          </w:p>
        </w:tc>
      </w:tr>
      <w:tr w:rsidR="007A3FCB" w:rsidRPr="007A3FCB" w14:paraId="34E00F02" w14:textId="77777777" w:rsidTr="007A3FCB">
        <w:tc>
          <w:tcPr>
            <w:tcW w:w="2122" w:type="dxa"/>
            <w:shd w:val="clear" w:color="auto" w:fill="auto"/>
            <w:vAlign w:val="center"/>
            <w:hideMark/>
          </w:tcPr>
          <w:p w14:paraId="531A38E6"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Estrategia aplicada</w:t>
            </w:r>
          </w:p>
        </w:tc>
        <w:tc>
          <w:tcPr>
            <w:tcW w:w="4110" w:type="dxa"/>
            <w:shd w:val="clear" w:color="auto" w:fill="auto"/>
            <w:vAlign w:val="center"/>
            <w:hideMark/>
          </w:tcPr>
          <w:p w14:paraId="3005B529"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 xml:space="preserve">Defensa técnica y legal del instrumento de gestión ambiental. </w:t>
            </w:r>
          </w:p>
        </w:tc>
        <w:tc>
          <w:tcPr>
            <w:tcW w:w="4127" w:type="dxa"/>
            <w:shd w:val="clear" w:color="auto" w:fill="auto"/>
            <w:vAlign w:val="center"/>
            <w:hideMark/>
          </w:tcPr>
          <w:p w14:paraId="6603A50F"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Priorización de contratación local</w:t>
            </w:r>
          </w:p>
        </w:tc>
      </w:tr>
      <w:tr w:rsidR="007A3FCB" w:rsidRPr="007A3FCB" w14:paraId="6F357B5B" w14:textId="77777777" w:rsidTr="007A3FCB">
        <w:tc>
          <w:tcPr>
            <w:tcW w:w="2122" w:type="dxa"/>
            <w:shd w:val="clear" w:color="auto" w:fill="auto"/>
            <w:vAlign w:val="center"/>
            <w:hideMark/>
          </w:tcPr>
          <w:p w14:paraId="12ACA269"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Narrativa utilizada</w:t>
            </w:r>
          </w:p>
        </w:tc>
        <w:tc>
          <w:tcPr>
            <w:tcW w:w="4110" w:type="dxa"/>
            <w:shd w:val="clear" w:color="auto" w:fill="auto"/>
            <w:vAlign w:val="center"/>
            <w:hideMark/>
          </w:tcPr>
          <w:p w14:paraId="03DF5217"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Respeto a normas, cumplimiento regulatorio</w:t>
            </w:r>
          </w:p>
        </w:tc>
        <w:tc>
          <w:tcPr>
            <w:tcW w:w="4127" w:type="dxa"/>
            <w:shd w:val="clear" w:color="auto" w:fill="auto"/>
            <w:vAlign w:val="center"/>
            <w:hideMark/>
          </w:tcPr>
          <w:p w14:paraId="295CFBD2"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Derecho legítimo, inclusión, orgullo local</w:t>
            </w:r>
          </w:p>
        </w:tc>
      </w:tr>
      <w:tr w:rsidR="007A3FCB" w:rsidRPr="007A3FCB" w14:paraId="2E7F8410" w14:textId="77777777" w:rsidTr="007A3FCB">
        <w:tc>
          <w:tcPr>
            <w:tcW w:w="2122" w:type="dxa"/>
            <w:shd w:val="clear" w:color="auto" w:fill="auto"/>
            <w:vAlign w:val="center"/>
            <w:hideMark/>
          </w:tcPr>
          <w:p w14:paraId="71CA4A9E"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Riesgo asociado</w:t>
            </w:r>
          </w:p>
        </w:tc>
        <w:tc>
          <w:tcPr>
            <w:tcW w:w="4110" w:type="dxa"/>
            <w:shd w:val="clear" w:color="auto" w:fill="auto"/>
            <w:vAlign w:val="center"/>
            <w:hideMark/>
          </w:tcPr>
          <w:p w14:paraId="789D7346"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Amenazas de paralización, chantaje, violencia</w:t>
            </w:r>
          </w:p>
        </w:tc>
        <w:tc>
          <w:tcPr>
            <w:tcW w:w="4127" w:type="dxa"/>
            <w:shd w:val="clear" w:color="auto" w:fill="auto"/>
            <w:vAlign w:val="center"/>
            <w:hideMark/>
          </w:tcPr>
          <w:p w14:paraId="4B5C4994"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Pérdida de confianza, decepción por expectativas</w:t>
            </w:r>
          </w:p>
        </w:tc>
      </w:tr>
      <w:tr w:rsidR="007A3FCB" w:rsidRPr="007A3FCB" w14:paraId="5D4B6E0B" w14:textId="77777777" w:rsidTr="007A3FCB">
        <w:tc>
          <w:tcPr>
            <w:tcW w:w="2122" w:type="dxa"/>
            <w:shd w:val="clear" w:color="auto" w:fill="auto"/>
            <w:vAlign w:val="center"/>
            <w:hideMark/>
          </w:tcPr>
          <w:p w14:paraId="6CFA36B9"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Respuesta clave</w:t>
            </w:r>
          </w:p>
        </w:tc>
        <w:tc>
          <w:tcPr>
            <w:tcW w:w="4110" w:type="dxa"/>
            <w:shd w:val="clear" w:color="auto" w:fill="auto"/>
            <w:vAlign w:val="center"/>
            <w:hideMark/>
          </w:tcPr>
          <w:p w14:paraId="56123A09"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Negación firme y legal, sin confrontación</w:t>
            </w:r>
          </w:p>
        </w:tc>
        <w:tc>
          <w:tcPr>
            <w:tcW w:w="4127" w:type="dxa"/>
            <w:shd w:val="clear" w:color="auto" w:fill="auto"/>
            <w:vAlign w:val="center"/>
            <w:hideMark/>
          </w:tcPr>
          <w:p w14:paraId="14495B97"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Contratación progresiva y comunicación activa</w:t>
            </w:r>
          </w:p>
        </w:tc>
      </w:tr>
      <w:tr w:rsidR="007A3FCB" w:rsidRPr="007A3FCB" w14:paraId="60CFE7DB" w14:textId="77777777" w:rsidTr="007A3FCB">
        <w:tc>
          <w:tcPr>
            <w:tcW w:w="2122" w:type="dxa"/>
            <w:shd w:val="clear" w:color="auto" w:fill="auto"/>
            <w:vAlign w:val="center"/>
            <w:hideMark/>
          </w:tcPr>
          <w:p w14:paraId="31C9930F"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t>Rol en la fase de desarrollo social</w:t>
            </w:r>
          </w:p>
        </w:tc>
        <w:tc>
          <w:tcPr>
            <w:tcW w:w="4110" w:type="dxa"/>
            <w:shd w:val="clear" w:color="auto" w:fill="auto"/>
            <w:vAlign w:val="center"/>
            <w:hideMark/>
          </w:tcPr>
          <w:p w14:paraId="1D1B71FB"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Excluidos por no ser parte del AID</w:t>
            </w:r>
          </w:p>
        </w:tc>
        <w:tc>
          <w:tcPr>
            <w:tcW w:w="4127" w:type="dxa"/>
            <w:shd w:val="clear" w:color="auto" w:fill="auto"/>
            <w:vAlign w:val="center"/>
            <w:hideMark/>
          </w:tcPr>
          <w:p w14:paraId="40F06142"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Protagonistas de programas educativos, agrícolas, institucionales</w:t>
            </w:r>
          </w:p>
        </w:tc>
      </w:tr>
      <w:tr w:rsidR="007A3FCB" w:rsidRPr="007A3FCB" w14:paraId="25B551F9" w14:textId="77777777" w:rsidTr="007A3FCB">
        <w:tc>
          <w:tcPr>
            <w:tcW w:w="2122" w:type="dxa"/>
            <w:shd w:val="clear" w:color="auto" w:fill="auto"/>
            <w:vAlign w:val="center"/>
            <w:hideMark/>
          </w:tcPr>
          <w:p w14:paraId="22FEB652" w14:textId="77777777" w:rsidR="007A3FCB" w:rsidRPr="007A3FCB" w:rsidRDefault="007A3FCB" w:rsidP="008146C8">
            <w:pPr>
              <w:rPr>
                <w:rFonts w:ascii="Arial" w:eastAsia="MS Mincho" w:hAnsi="Arial" w:cs="Arial"/>
                <w:bCs/>
                <w:i/>
                <w:iCs/>
                <w:kern w:val="0"/>
                <w:sz w:val="20"/>
                <w:szCs w:val="20"/>
                <w:lang w:eastAsia="fr-FR"/>
                <w14:ligatures w14:val="none"/>
              </w:rPr>
            </w:pPr>
            <w:r w:rsidRPr="007A3FCB">
              <w:rPr>
                <w:rFonts w:ascii="Arial" w:eastAsia="MS Mincho" w:hAnsi="Arial" w:cs="Arial"/>
                <w:bCs/>
                <w:i/>
                <w:iCs/>
                <w:kern w:val="0"/>
                <w:sz w:val="20"/>
                <w:szCs w:val="20"/>
                <w:lang w:eastAsia="fr-FR"/>
                <w14:ligatures w14:val="none"/>
              </w:rPr>
              <w:lastRenderedPageBreak/>
              <w:t>Resultado esperado</w:t>
            </w:r>
          </w:p>
        </w:tc>
        <w:tc>
          <w:tcPr>
            <w:tcW w:w="4110" w:type="dxa"/>
            <w:shd w:val="clear" w:color="auto" w:fill="auto"/>
            <w:vAlign w:val="center"/>
            <w:hideMark/>
          </w:tcPr>
          <w:p w14:paraId="20A521A3"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Contención sin validación</w:t>
            </w:r>
          </w:p>
        </w:tc>
        <w:tc>
          <w:tcPr>
            <w:tcW w:w="4127" w:type="dxa"/>
            <w:shd w:val="clear" w:color="auto" w:fill="auto"/>
            <w:vAlign w:val="center"/>
            <w:hideMark/>
          </w:tcPr>
          <w:p w14:paraId="7A082661" w14:textId="77777777" w:rsidR="007A3FCB" w:rsidRPr="007A3FCB" w:rsidRDefault="007A3FCB" w:rsidP="008146C8">
            <w:pPr>
              <w:rPr>
                <w:rFonts w:ascii="Arial" w:eastAsia="MS Mincho" w:hAnsi="Arial" w:cs="Arial"/>
                <w:bCs/>
                <w:kern w:val="0"/>
                <w:sz w:val="20"/>
                <w:szCs w:val="20"/>
                <w:lang w:eastAsia="fr-FR"/>
                <w14:ligatures w14:val="none"/>
              </w:rPr>
            </w:pPr>
            <w:r w:rsidRPr="007A3FCB">
              <w:rPr>
                <w:rFonts w:ascii="Arial" w:eastAsia="MS Mincho" w:hAnsi="Arial" w:cs="Arial"/>
                <w:bCs/>
                <w:kern w:val="0"/>
                <w:sz w:val="20"/>
                <w:szCs w:val="20"/>
                <w:lang w:eastAsia="fr-FR"/>
                <w14:ligatures w14:val="none"/>
              </w:rPr>
              <w:t>Empoderamiento, vocería comunitaria</w:t>
            </w:r>
          </w:p>
        </w:tc>
      </w:tr>
    </w:tbl>
    <w:p w14:paraId="67D37657" w14:textId="77777777" w:rsidR="007A3FCB" w:rsidRDefault="007A3FCB" w:rsidP="00800D1B">
      <w:pPr>
        <w:jc w:val="both"/>
        <w:rPr>
          <w:rFonts w:ascii="Arial" w:hAnsi="Arial" w:cs="Arial"/>
          <w:bCs/>
          <w:sz w:val="22"/>
          <w:szCs w:val="22"/>
          <w:highlight w:val="yellow"/>
          <w:lang w:val="es-PE"/>
        </w:rPr>
      </w:pPr>
    </w:p>
    <w:p w14:paraId="1715A823" w14:textId="77777777" w:rsidR="007A3FCB" w:rsidRDefault="007A3FCB" w:rsidP="00800D1B">
      <w:pPr>
        <w:jc w:val="both"/>
        <w:rPr>
          <w:rFonts w:ascii="Arial" w:hAnsi="Arial" w:cs="Arial"/>
          <w:bCs/>
          <w:sz w:val="22"/>
          <w:szCs w:val="22"/>
          <w:lang w:val="es-PE"/>
        </w:rPr>
        <w:sectPr w:rsidR="007A3FCB" w:rsidSect="007A3FCB">
          <w:type w:val="continuous"/>
          <w:pgSz w:w="11900" w:h="16840"/>
          <w:pgMar w:top="1134" w:right="680" w:bottom="964" w:left="851" w:header="680" w:footer="567" w:gutter="0"/>
          <w:cols w:space="397"/>
          <w:docGrid w:linePitch="360"/>
        </w:sectPr>
      </w:pPr>
    </w:p>
    <w:p w14:paraId="3932773E"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Toda la comunicación se trabajó con enfoque intercultural, evitando tecnicismos, utilizando materiales impresos en formatos atractivos y de larga durabilidad, con ilustraciones que facilitaban la comprensión. Las charlas informativas incluyeron más actores de los que contemplaba la DIA en un principio, y luego la MDIA. Se llevaron a cabo cuando ya había trabajadores locales en obra, lo que aumentó la asistencia y credibilidad. Se implementaron mecanismos adicionales de consulta (buzones de sugerencia físicos, línea de WhatsApp) y se difundieron masivamente las fechas de reuniones y los canales de atención. La estrategia comunicacional no solo brindó información, sino que gestionó percepciones y emociones, reforzando la aceptación social del proyecto desde una lógica dialógica, accesible y confiable.</w:t>
      </w:r>
    </w:p>
    <w:p w14:paraId="7543E42A" w14:textId="77777777" w:rsidR="007D0CBA" w:rsidRPr="00800D1B" w:rsidRDefault="007D0CBA" w:rsidP="00800D1B">
      <w:pPr>
        <w:jc w:val="both"/>
        <w:rPr>
          <w:rFonts w:ascii="Arial" w:hAnsi="Arial" w:cs="Arial"/>
          <w:bCs/>
          <w:sz w:val="22"/>
          <w:szCs w:val="22"/>
          <w:lang w:val="es-PE"/>
        </w:rPr>
      </w:pPr>
    </w:p>
    <w:p w14:paraId="60155C24"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De esta manera, desde una mirada estratégica e inspirada por la teoría de la comunicación para el desarrollo, creemos se convirtieron riesgos en oportunidades, resignificando el rol de actores sociales y garantizando una aceptación social sostenida para proyectos complejos como San Martín.</w:t>
      </w:r>
    </w:p>
    <w:p w14:paraId="1BF8E2C9" w14:textId="77777777" w:rsidR="007D0CBA" w:rsidRPr="00800D1B" w:rsidRDefault="007D0CBA" w:rsidP="00800D1B">
      <w:pPr>
        <w:jc w:val="both"/>
        <w:rPr>
          <w:rFonts w:ascii="Arial" w:hAnsi="Arial" w:cs="Arial"/>
          <w:bCs/>
          <w:sz w:val="22"/>
          <w:szCs w:val="22"/>
          <w:lang w:val="es-PE"/>
        </w:rPr>
      </w:pPr>
    </w:p>
    <w:p w14:paraId="2E7CAA05" w14:textId="6D0F27F3" w:rsidR="00800D1B" w:rsidRPr="007D0CBA" w:rsidRDefault="00800D1B" w:rsidP="00800D1B">
      <w:pPr>
        <w:jc w:val="both"/>
        <w:rPr>
          <w:rFonts w:ascii="Arial" w:hAnsi="Arial" w:cs="Arial"/>
          <w:b/>
          <w:sz w:val="22"/>
          <w:szCs w:val="22"/>
          <w:lang w:val="es-PE"/>
        </w:rPr>
      </w:pPr>
      <w:r w:rsidRPr="007D0CBA">
        <w:rPr>
          <w:rFonts w:ascii="Arial" w:hAnsi="Arial" w:cs="Arial"/>
          <w:b/>
          <w:sz w:val="22"/>
          <w:szCs w:val="22"/>
          <w:lang w:val="es-PE"/>
        </w:rPr>
        <w:t>3.4.</w:t>
      </w:r>
      <w:r w:rsidR="007D0CBA">
        <w:rPr>
          <w:rFonts w:ascii="Arial" w:hAnsi="Arial" w:cs="Arial"/>
          <w:b/>
          <w:sz w:val="22"/>
          <w:szCs w:val="22"/>
          <w:lang w:val="es-PE"/>
        </w:rPr>
        <w:t xml:space="preserve"> </w:t>
      </w:r>
      <w:r w:rsidRPr="007D0CBA">
        <w:rPr>
          <w:rFonts w:ascii="Arial" w:hAnsi="Arial" w:cs="Arial"/>
          <w:b/>
          <w:sz w:val="22"/>
          <w:szCs w:val="22"/>
          <w:lang w:val="es-PE"/>
        </w:rPr>
        <w:t>Gestión social orientada al valor compartido</w:t>
      </w:r>
    </w:p>
    <w:p w14:paraId="2B900E1B" w14:textId="77777777" w:rsidR="007D0CBA" w:rsidRPr="00800D1B" w:rsidRDefault="007D0CBA" w:rsidP="00800D1B">
      <w:pPr>
        <w:jc w:val="both"/>
        <w:rPr>
          <w:rFonts w:ascii="Arial" w:hAnsi="Arial" w:cs="Arial"/>
          <w:bCs/>
          <w:sz w:val="22"/>
          <w:szCs w:val="22"/>
          <w:lang w:val="es-PE"/>
        </w:rPr>
      </w:pPr>
    </w:p>
    <w:p w14:paraId="7F934C97"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 xml:space="preserve">Una vez controlada la amenaza de paralización por parte de los sindicatos y consolidado el vínculo con la población local a través del programa de empleo </w:t>
      </w:r>
      <w:r w:rsidRPr="00800D1B">
        <w:rPr>
          <w:rFonts w:ascii="Arial" w:hAnsi="Arial" w:cs="Arial"/>
          <w:bCs/>
          <w:sz w:val="22"/>
          <w:szCs w:val="22"/>
          <w:lang w:val="es-PE"/>
        </w:rPr>
        <w:t>y la estrategia comunicacional, la intervención social del proyecto San Martín entró en una nueva etapa: la implementación de programas sociales diseñados bajo un enfoque de valor compartido.</w:t>
      </w:r>
    </w:p>
    <w:p w14:paraId="72C64054" w14:textId="77777777" w:rsidR="007D0CBA" w:rsidRPr="00800D1B" w:rsidRDefault="007D0CBA" w:rsidP="00800D1B">
      <w:pPr>
        <w:jc w:val="both"/>
        <w:rPr>
          <w:rFonts w:ascii="Arial" w:hAnsi="Arial" w:cs="Arial"/>
          <w:bCs/>
          <w:sz w:val="22"/>
          <w:szCs w:val="22"/>
          <w:lang w:val="es-PE"/>
        </w:rPr>
      </w:pPr>
    </w:p>
    <w:p w14:paraId="50EE47B2" w14:textId="77777777"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Este enfoque partió del reconocimiento de que la estrategia de gestión social no podía limitarse a cumplir con lo exigido por el instrumento de gestión ambiental aprobado del proyecto, que en principio se mostraba insuficiente: el área de influencia había sido definida como “zona desértica sin actividad humana”, y el Programa de Desarrollo Social se restringía a acciones en salud y educación, sin mayor articulación territorial. Sin embargo, en la práctica, existía una realidad social más compleja, con comunidades agrícolas, autoridades locales interesadas en cooperación, y una creciente demanda por generar capacidades productivas sostenibles.</w:t>
      </w:r>
    </w:p>
    <w:p w14:paraId="77786701" w14:textId="77777777" w:rsidR="007D0CBA" w:rsidRPr="00800D1B" w:rsidRDefault="007D0CBA" w:rsidP="00800D1B">
      <w:pPr>
        <w:jc w:val="both"/>
        <w:rPr>
          <w:rFonts w:ascii="Arial" w:hAnsi="Arial" w:cs="Arial"/>
          <w:bCs/>
          <w:sz w:val="22"/>
          <w:szCs w:val="22"/>
          <w:lang w:val="es-PE"/>
        </w:rPr>
      </w:pPr>
    </w:p>
    <w:p w14:paraId="0F6BAD37" w14:textId="459A34AF" w:rsidR="007A3FCB" w:rsidRPr="007A3FCB" w:rsidRDefault="00800D1B" w:rsidP="00800D1B">
      <w:pPr>
        <w:jc w:val="both"/>
        <w:rPr>
          <w:rFonts w:ascii="Arial" w:hAnsi="Arial" w:cs="Arial"/>
          <w:bCs/>
          <w:sz w:val="22"/>
          <w:szCs w:val="22"/>
          <w:lang w:val="es-PE"/>
        </w:rPr>
        <w:sectPr w:rsidR="007A3FCB" w:rsidRPr="007A3FCB" w:rsidSect="00D34811">
          <w:type w:val="continuous"/>
          <w:pgSz w:w="11900" w:h="16840"/>
          <w:pgMar w:top="1134" w:right="680" w:bottom="964" w:left="851" w:header="680" w:footer="567" w:gutter="0"/>
          <w:cols w:num="2" w:space="397"/>
          <w:docGrid w:linePitch="360"/>
        </w:sectPr>
      </w:pPr>
      <w:r w:rsidRPr="00800D1B">
        <w:rPr>
          <w:rFonts w:ascii="Arial" w:hAnsi="Arial" w:cs="Arial"/>
          <w:bCs/>
          <w:sz w:val="22"/>
          <w:szCs w:val="22"/>
          <w:lang w:val="es-PE"/>
        </w:rPr>
        <w:t xml:space="preserve">La presentación de la Modificación de la Declaración de Impacto Ambiental (MDIA) fue vista por el área de gestión social como una oportunidad para reconducir esta situación. Gracias al trabajo de campo, se identificaron necesidades locales concretas y demandas legítimas, que fueron alineadas con los intereses de sostenibilidad, reputación y eficiencia de la empresa. Así se diseñaron tres nuevos programas sociales, </w:t>
      </w:r>
      <w:r w:rsidR="007A3FCB">
        <w:rPr>
          <w:rFonts w:ascii="Arial" w:hAnsi="Arial" w:cs="Arial"/>
          <w:bCs/>
          <w:sz w:val="22"/>
          <w:szCs w:val="22"/>
          <w:lang w:val="es-PE"/>
        </w:rPr>
        <w:t xml:space="preserve">además de dos intervenciones voluntarias, </w:t>
      </w:r>
      <w:r w:rsidRPr="00800D1B">
        <w:rPr>
          <w:rFonts w:ascii="Arial" w:hAnsi="Arial" w:cs="Arial"/>
          <w:bCs/>
          <w:sz w:val="22"/>
          <w:szCs w:val="22"/>
          <w:lang w:val="es-PE"/>
        </w:rPr>
        <w:t>cada un</w:t>
      </w:r>
      <w:r w:rsidR="007A3FCB">
        <w:rPr>
          <w:rFonts w:ascii="Arial" w:hAnsi="Arial" w:cs="Arial"/>
          <w:bCs/>
          <w:sz w:val="22"/>
          <w:szCs w:val="22"/>
          <w:lang w:val="es-PE"/>
        </w:rPr>
        <w:t>a</w:t>
      </w:r>
      <w:r w:rsidRPr="00800D1B">
        <w:rPr>
          <w:rFonts w:ascii="Arial" w:hAnsi="Arial" w:cs="Arial"/>
          <w:bCs/>
          <w:sz w:val="22"/>
          <w:szCs w:val="22"/>
          <w:lang w:val="es-PE"/>
        </w:rPr>
        <w:t xml:space="preserve"> con un claro componente de valor compartid</w:t>
      </w:r>
      <w:r w:rsidR="007A3FCB">
        <w:rPr>
          <w:rFonts w:ascii="Arial" w:hAnsi="Arial" w:cs="Arial"/>
          <w:bCs/>
          <w:sz w:val="22"/>
          <w:szCs w:val="22"/>
          <w:lang w:val="es-PE"/>
        </w:rPr>
        <w:t>o</w:t>
      </w:r>
      <w:r w:rsidR="002A52B1">
        <w:rPr>
          <w:rFonts w:ascii="Arial" w:hAnsi="Arial" w:cs="Arial"/>
          <w:bCs/>
          <w:sz w:val="22"/>
          <w:szCs w:val="22"/>
          <w:lang w:val="es-PE"/>
        </w:rPr>
        <w:t xml:space="preserve">, según lo muestran la Tabla </w:t>
      </w:r>
      <w:proofErr w:type="spellStart"/>
      <w:r w:rsidR="002A52B1">
        <w:rPr>
          <w:rFonts w:ascii="Arial" w:hAnsi="Arial" w:cs="Arial"/>
          <w:bCs/>
          <w:sz w:val="22"/>
          <w:szCs w:val="22"/>
          <w:lang w:val="es-PE"/>
        </w:rPr>
        <w:t>N°</w:t>
      </w:r>
      <w:proofErr w:type="spellEnd"/>
      <w:r w:rsidR="002A52B1">
        <w:rPr>
          <w:rFonts w:ascii="Arial" w:hAnsi="Arial" w:cs="Arial"/>
          <w:bCs/>
          <w:sz w:val="22"/>
          <w:szCs w:val="22"/>
          <w:lang w:val="es-PE"/>
        </w:rPr>
        <w:t xml:space="preserve"> 4 y la Tabla </w:t>
      </w:r>
      <w:proofErr w:type="spellStart"/>
      <w:r w:rsidR="002A52B1">
        <w:rPr>
          <w:rFonts w:ascii="Arial" w:hAnsi="Arial" w:cs="Arial"/>
          <w:bCs/>
          <w:sz w:val="22"/>
          <w:szCs w:val="22"/>
          <w:lang w:val="es-PE"/>
        </w:rPr>
        <w:t>N°</w:t>
      </w:r>
      <w:proofErr w:type="spellEnd"/>
      <w:r w:rsidR="002A52B1">
        <w:rPr>
          <w:rFonts w:ascii="Arial" w:hAnsi="Arial" w:cs="Arial"/>
          <w:bCs/>
          <w:sz w:val="22"/>
          <w:szCs w:val="22"/>
          <w:lang w:val="es-PE"/>
        </w:rPr>
        <w:t xml:space="preserve"> 5</w:t>
      </w:r>
      <w:r w:rsidR="007A3FCB">
        <w:rPr>
          <w:rFonts w:ascii="Arial" w:hAnsi="Arial" w:cs="Arial"/>
          <w:bCs/>
          <w:sz w:val="22"/>
          <w:szCs w:val="22"/>
          <w:lang w:val="es-PE"/>
        </w:rPr>
        <w:t>.</w:t>
      </w:r>
    </w:p>
    <w:p w14:paraId="75F1BCFC" w14:textId="77777777" w:rsidR="007A3FCB" w:rsidRDefault="007A3FCB" w:rsidP="007A3FCB">
      <w:pPr>
        <w:jc w:val="center"/>
        <w:rPr>
          <w:rFonts w:ascii="Arial" w:hAnsi="Arial" w:cs="Arial"/>
          <w:bCs/>
          <w:sz w:val="22"/>
          <w:szCs w:val="22"/>
          <w:lang w:val="es-PE"/>
        </w:rPr>
      </w:pPr>
    </w:p>
    <w:p w14:paraId="30C8A3E2" w14:textId="30138B46" w:rsidR="007A3FCB" w:rsidRDefault="007A3FCB" w:rsidP="007A3FCB">
      <w:pPr>
        <w:jc w:val="center"/>
        <w:rPr>
          <w:rFonts w:ascii="Arial" w:hAnsi="Arial" w:cs="Arial"/>
          <w:b/>
          <w:sz w:val="20"/>
          <w:szCs w:val="20"/>
          <w:lang w:val="es-PE"/>
        </w:rPr>
      </w:pPr>
      <w:r w:rsidRPr="005754A7">
        <w:rPr>
          <w:rFonts w:ascii="Arial" w:hAnsi="Arial" w:cs="Arial"/>
          <w:b/>
          <w:sz w:val="20"/>
          <w:szCs w:val="20"/>
          <w:lang w:val="es-PE"/>
        </w:rPr>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w:t>
      </w:r>
      <w:r>
        <w:rPr>
          <w:rFonts w:ascii="Arial" w:hAnsi="Arial" w:cs="Arial"/>
          <w:b/>
          <w:sz w:val="20"/>
          <w:szCs w:val="20"/>
          <w:lang w:val="es-PE"/>
        </w:rPr>
        <w:t>4</w:t>
      </w:r>
      <w:r w:rsidRPr="005754A7">
        <w:rPr>
          <w:rFonts w:ascii="Arial" w:hAnsi="Arial" w:cs="Arial"/>
          <w:b/>
          <w:sz w:val="20"/>
          <w:szCs w:val="20"/>
          <w:lang w:val="es-PE"/>
        </w:rPr>
        <w:t xml:space="preserve"> – </w:t>
      </w:r>
      <w:r>
        <w:rPr>
          <w:rFonts w:ascii="Arial" w:hAnsi="Arial" w:cs="Arial"/>
          <w:b/>
          <w:sz w:val="20"/>
          <w:szCs w:val="20"/>
          <w:lang w:val="es-PE"/>
        </w:rPr>
        <w:t>Iniciativas de desarrollo social contempladas en la MDIA</w:t>
      </w:r>
    </w:p>
    <w:p w14:paraId="581D18D9" w14:textId="77777777" w:rsidR="007A3FCB" w:rsidRDefault="007A3FCB" w:rsidP="007A3FCB">
      <w:pPr>
        <w:jc w:val="center"/>
        <w:rPr>
          <w:rFonts w:ascii="Arial" w:hAnsi="Arial" w:cs="Arial"/>
          <w:b/>
          <w:sz w:val="20"/>
          <w:szCs w:val="20"/>
          <w:lang w:val="es-PE"/>
        </w:rPr>
      </w:pPr>
    </w:p>
    <w:tbl>
      <w:tblPr>
        <w:tblStyle w:val="Tablaconcuadrcula"/>
        <w:tblW w:w="0" w:type="auto"/>
        <w:tblLook w:val="04A0" w:firstRow="1" w:lastRow="0" w:firstColumn="1" w:lastColumn="0" w:noHBand="0" w:noVBand="1"/>
      </w:tblPr>
      <w:tblGrid>
        <w:gridCol w:w="1703"/>
        <w:gridCol w:w="2440"/>
        <w:gridCol w:w="2639"/>
        <w:gridCol w:w="3577"/>
      </w:tblGrid>
      <w:tr w:rsidR="007A3FCB" w:rsidRPr="007A3FCB" w14:paraId="25EC05EF" w14:textId="77777777" w:rsidTr="002B6669">
        <w:tc>
          <w:tcPr>
            <w:tcW w:w="0" w:type="auto"/>
            <w:shd w:val="clear" w:color="auto" w:fill="auto"/>
            <w:vAlign w:val="center"/>
            <w:hideMark/>
          </w:tcPr>
          <w:p w14:paraId="14DC8D9A" w14:textId="77777777" w:rsidR="007A3FCB" w:rsidRPr="002B6669" w:rsidRDefault="007A3FCB" w:rsidP="002B6669">
            <w:pPr>
              <w:jc w:val="center"/>
              <w:rPr>
                <w:rFonts w:ascii="Arial" w:hAnsi="Arial" w:cs="Arial"/>
                <w:b/>
                <w:sz w:val="20"/>
                <w:szCs w:val="20"/>
              </w:rPr>
            </w:pPr>
            <w:r w:rsidRPr="002B6669">
              <w:rPr>
                <w:rFonts w:ascii="Arial" w:hAnsi="Arial" w:cs="Arial"/>
                <w:b/>
                <w:sz w:val="20"/>
                <w:szCs w:val="20"/>
              </w:rPr>
              <w:t>Programa</w:t>
            </w:r>
          </w:p>
        </w:tc>
        <w:tc>
          <w:tcPr>
            <w:tcW w:w="0" w:type="auto"/>
            <w:shd w:val="clear" w:color="auto" w:fill="auto"/>
            <w:vAlign w:val="center"/>
            <w:hideMark/>
          </w:tcPr>
          <w:p w14:paraId="6C30F7BA" w14:textId="77777777" w:rsidR="007A3FCB" w:rsidRPr="002B6669" w:rsidRDefault="007A3FCB" w:rsidP="002B6669">
            <w:pPr>
              <w:jc w:val="center"/>
              <w:rPr>
                <w:rFonts w:ascii="Arial" w:hAnsi="Arial" w:cs="Arial"/>
                <w:b/>
                <w:sz w:val="20"/>
                <w:szCs w:val="20"/>
              </w:rPr>
            </w:pPr>
            <w:r w:rsidRPr="002B6669">
              <w:rPr>
                <w:rFonts w:ascii="Arial" w:hAnsi="Arial" w:cs="Arial"/>
                <w:b/>
                <w:sz w:val="20"/>
                <w:szCs w:val="20"/>
              </w:rPr>
              <w:t>Necesidad Local</w:t>
            </w:r>
          </w:p>
        </w:tc>
        <w:tc>
          <w:tcPr>
            <w:tcW w:w="0" w:type="auto"/>
            <w:shd w:val="clear" w:color="auto" w:fill="auto"/>
            <w:vAlign w:val="center"/>
            <w:hideMark/>
          </w:tcPr>
          <w:p w14:paraId="2D9C8FE9" w14:textId="77777777" w:rsidR="007A3FCB" w:rsidRPr="002B6669" w:rsidRDefault="007A3FCB" w:rsidP="002B6669">
            <w:pPr>
              <w:jc w:val="center"/>
              <w:rPr>
                <w:rFonts w:ascii="Arial" w:hAnsi="Arial" w:cs="Arial"/>
                <w:b/>
                <w:sz w:val="20"/>
                <w:szCs w:val="20"/>
              </w:rPr>
            </w:pPr>
            <w:r w:rsidRPr="002B6669">
              <w:rPr>
                <w:rFonts w:ascii="Arial" w:hAnsi="Arial" w:cs="Arial"/>
                <w:b/>
                <w:sz w:val="20"/>
                <w:szCs w:val="20"/>
              </w:rPr>
              <w:t>Interés de la Empresa</w:t>
            </w:r>
          </w:p>
        </w:tc>
        <w:tc>
          <w:tcPr>
            <w:tcW w:w="0" w:type="auto"/>
            <w:shd w:val="clear" w:color="auto" w:fill="auto"/>
            <w:vAlign w:val="center"/>
            <w:hideMark/>
          </w:tcPr>
          <w:p w14:paraId="6A49A280" w14:textId="77777777" w:rsidR="007A3FCB" w:rsidRPr="002B6669" w:rsidRDefault="007A3FCB" w:rsidP="002B6669">
            <w:pPr>
              <w:jc w:val="center"/>
              <w:rPr>
                <w:rFonts w:ascii="Arial" w:hAnsi="Arial" w:cs="Arial"/>
                <w:b/>
                <w:sz w:val="20"/>
                <w:szCs w:val="20"/>
              </w:rPr>
            </w:pPr>
            <w:r w:rsidRPr="002B6669">
              <w:rPr>
                <w:rFonts w:ascii="Arial" w:hAnsi="Arial" w:cs="Arial"/>
                <w:b/>
                <w:sz w:val="20"/>
                <w:szCs w:val="20"/>
              </w:rPr>
              <w:t>Intervención Realizada</w:t>
            </w:r>
          </w:p>
        </w:tc>
      </w:tr>
      <w:tr w:rsidR="007A3FCB" w:rsidRPr="007A3FCB" w14:paraId="76D767F9" w14:textId="77777777" w:rsidTr="008146C8">
        <w:tc>
          <w:tcPr>
            <w:tcW w:w="0" w:type="auto"/>
            <w:vAlign w:val="center"/>
            <w:hideMark/>
          </w:tcPr>
          <w:p w14:paraId="6AAC57D8" w14:textId="77777777" w:rsidR="007A3FCB" w:rsidRPr="002B6669" w:rsidRDefault="007A3FCB" w:rsidP="007A3FCB">
            <w:pPr>
              <w:jc w:val="both"/>
              <w:rPr>
                <w:rFonts w:ascii="Arial" w:hAnsi="Arial" w:cs="Arial"/>
                <w:bCs/>
                <w:i/>
                <w:iCs/>
                <w:sz w:val="20"/>
                <w:szCs w:val="20"/>
              </w:rPr>
            </w:pPr>
            <w:r w:rsidRPr="002B6669">
              <w:rPr>
                <w:rFonts w:ascii="Arial" w:hAnsi="Arial" w:cs="Arial"/>
                <w:bCs/>
                <w:i/>
                <w:iCs/>
                <w:sz w:val="20"/>
                <w:szCs w:val="20"/>
              </w:rPr>
              <w:t>Capacitación agrícola</w:t>
            </w:r>
          </w:p>
        </w:tc>
        <w:tc>
          <w:tcPr>
            <w:tcW w:w="0" w:type="auto"/>
            <w:vAlign w:val="center"/>
            <w:hideMark/>
          </w:tcPr>
          <w:p w14:paraId="70B2F83F"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Agricultores y juntas de regantes necesitaban mejorar su productividad y acceder a tecnologías sostenibles.</w:t>
            </w:r>
          </w:p>
        </w:tc>
        <w:tc>
          <w:tcPr>
            <w:tcW w:w="0" w:type="auto"/>
            <w:vAlign w:val="center"/>
            <w:hideMark/>
          </w:tcPr>
          <w:p w14:paraId="1CEA6F9E"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Difundir los beneficios del proyecto, generar buena percepción, posicionar la energía solar como motor de desarrollo.</w:t>
            </w:r>
          </w:p>
        </w:tc>
        <w:tc>
          <w:tcPr>
            <w:tcW w:w="0" w:type="auto"/>
            <w:vAlign w:val="center"/>
            <w:hideMark/>
          </w:tcPr>
          <w:p w14:paraId="68C8B512"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Programa de asistencia técnica y capacitación agrícola: manejo eficiente de agua y suelo, uso de riego solar, compostaje, prácticas sostenibles.</w:t>
            </w:r>
          </w:p>
        </w:tc>
      </w:tr>
      <w:tr w:rsidR="007A3FCB" w:rsidRPr="007A3FCB" w14:paraId="218AEBCC" w14:textId="77777777" w:rsidTr="008146C8">
        <w:tc>
          <w:tcPr>
            <w:tcW w:w="0" w:type="auto"/>
            <w:vAlign w:val="center"/>
            <w:hideMark/>
          </w:tcPr>
          <w:p w14:paraId="40BCC600" w14:textId="77777777" w:rsidR="007A3FCB" w:rsidRPr="002B6669" w:rsidRDefault="007A3FCB" w:rsidP="007A3FCB">
            <w:pPr>
              <w:jc w:val="both"/>
              <w:rPr>
                <w:rFonts w:ascii="Arial" w:hAnsi="Arial" w:cs="Arial"/>
                <w:bCs/>
                <w:i/>
                <w:iCs/>
                <w:sz w:val="20"/>
                <w:szCs w:val="20"/>
              </w:rPr>
            </w:pPr>
            <w:r w:rsidRPr="002B6669">
              <w:rPr>
                <w:rFonts w:ascii="Arial" w:hAnsi="Arial" w:cs="Arial"/>
                <w:bCs/>
                <w:i/>
                <w:iCs/>
                <w:sz w:val="20"/>
                <w:szCs w:val="20"/>
              </w:rPr>
              <w:t>Educación ambiental</w:t>
            </w:r>
          </w:p>
        </w:tc>
        <w:tc>
          <w:tcPr>
            <w:tcW w:w="0" w:type="auto"/>
            <w:vAlign w:val="center"/>
            <w:hideMark/>
          </w:tcPr>
          <w:p w14:paraId="2504C24C"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Mejorar aprendizajes con metodologías didácticas, reforzar contenidos escolares, motivar a estudiantes.</w:t>
            </w:r>
          </w:p>
        </w:tc>
        <w:tc>
          <w:tcPr>
            <w:tcW w:w="0" w:type="auto"/>
            <w:vAlign w:val="center"/>
            <w:hideMark/>
          </w:tcPr>
          <w:p w14:paraId="429E9E59"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Generar vocerías juveniles y familiares favorables al proyecto, sensibilizar desde edades tempranas sobre energía limpia.</w:t>
            </w:r>
          </w:p>
        </w:tc>
        <w:tc>
          <w:tcPr>
            <w:tcW w:w="0" w:type="auto"/>
            <w:vAlign w:val="center"/>
            <w:hideMark/>
          </w:tcPr>
          <w:p w14:paraId="5A2D93C6"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 xml:space="preserve">Feria educativa anual sobre energías renovables y buenas prácticas ambientales (niveles: inicial, primaria, secundaria). Campaña ambiental con talleres, juegos florales y contenidos alineados a la </w:t>
            </w:r>
            <w:proofErr w:type="spellStart"/>
            <w:r w:rsidRPr="007A3FCB">
              <w:rPr>
                <w:rFonts w:ascii="Arial" w:hAnsi="Arial" w:cs="Arial"/>
                <w:bCs/>
                <w:sz w:val="20"/>
                <w:szCs w:val="20"/>
              </w:rPr>
              <w:t>currícula</w:t>
            </w:r>
            <w:proofErr w:type="spellEnd"/>
            <w:r w:rsidRPr="007A3FCB">
              <w:rPr>
                <w:rFonts w:ascii="Arial" w:hAnsi="Arial" w:cs="Arial"/>
                <w:bCs/>
                <w:sz w:val="20"/>
                <w:szCs w:val="20"/>
              </w:rPr>
              <w:t xml:space="preserve"> escolar.</w:t>
            </w:r>
          </w:p>
        </w:tc>
      </w:tr>
      <w:tr w:rsidR="007A3FCB" w:rsidRPr="007A3FCB" w14:paraId="368E6D9A" w14:textId="77777777" w:rsidTr="008146C8">
        <w:tc>
          <w:tcPr>
            <w:tcW w:w="0" w:type="auto"/>
            <w:vAlign w:val="center"/>
            <w:hideMark/>
          </w:tcPr>
          <w:p w14:paraId="6984B4EB" w14:textId="77777777" w:rsidR="007A3FCB" w:rsidRPr="002B6669" w:rsidRDefault="007A3FCB" w:rsidP="007A3FCB">
            <w:pPr>
              <w:jc w:val="both"/>
              <w:rPr>
                <w:rFonts w:ascii="Arial" w:hAnsi="Arial" w:cs="Arial"/>
                <w:bCs/>
                <w:i/>
                <w:iCs/>
                <w:sz w:val="20"/>
                <w:szCs w:val="20"/>
              </w:rPr>
            </w:pPr>
            <w:r w:rsidRPr="002B6669">
              <w:rPr>
                <w:rFonts w:ascii="Arial" w:hAnsi="Arial" w:cs="Arial"/>
                <w:bCs/>
                <w:i/>
                <w:iCs/>
                <w:sz w:val="20"/>
                <w:szCs w:val="20"/>
              </w:rPr>
              <w:t>Capacitación para funcionarios municipales</w:t>
            </w:r>
          </w:p>
        </w:tc>
        <w:tc>
          <w:tcPr>
            <w:tcW w:w="0" w:type="auto"/>
            <w:vAlign w:val="center"/>
            <w:hideMark/>
          </w:tcPr>
          <w:p w14:paraId="231D83F9"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Mejorar capacidades técnicas y de gestión ambiental del personal municipal.</w:t>
            </w:r>
          </w:p>
        </w:tc>
        <w:tc>
          <w:tcPr>
            <w:tcW w:w="0" w:type="auto"/>
            <w:vAlign w:val="center"/>
            <w:hideMark/>
          </w:tcPr>
          <w:p w14:paraId="3E5CB0D0"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Fortalecer relaciones institucionales y posicionar a la empresa como aliada del desarrollo sostenible.</w:t>
            </w:r>
          </w:p>
        </w:tc>
        <w:tc>
          <w:tcPr>
            <w:tcW w:w="0" w:type="auto"/>
            <w:vAlign w:val="center"/>
            <w:hideMark/>
          </w:tcPr>
          <w:p w14:paraId="04F7EEBD" w14:textId="77777777" w:rsidR="007A3FCB" w:rsidRPr="007A3FCB" w:rsidRDefault="007A3FCB" w:rsidP="007A3FCB">
            <w:pPr>
              <w:jc w:val="both"/>
              <w:rPr>
                <w:rFonts w:ascii="Arial" w:hAnsi="Arial" w:cs="Arial"/>
                <w:bCs/>
                <w:sz w:val="20"/>
                <w:szCs w:val="20"/>
              </w:rPr>
            </w:pPr>
            <w:r w:rsidRPr="007A3FCB">
              <w:rPr>
                <w:rFonts w:ascii="Arial" w:hAnsi="Arial" w:cs="Arial"/>
                <w:bCs/>
                <w:sz w:val="20"/>
                <w:szCs w:val="20"/>
              </w:rPr>
              <w:t>Programa de capacitación en gestión ambiental, residuos sólidos y prácticas alineadas a los ODS. Incluyó módulos teóricos y asistencia técnica en campo.</w:t>
            </w:r>
          </w:p>
        </w:tc>
      </w:tr>
    </w:tbl>
    <w:p w14:paraId="110F757B" w14:textId="77777777" w:rsidR="007A3FCB" w:rsidRPr="007A3FCB" w:rsidRDefault="007A3FCB" w:rsidP="007A3FCB">
      <w:pPr>
        <w:jc w:val="both"/>
        <w:rPr>
          <w:rFonts w:ascii="Arial" w:hAnsi="Arial" w:cs="Arial"/>
          <w:bCs/>
          <w:sz w:val="22"/>
          <w:szCs w:val="22"/>
          <w:lang w:val="es-PE"/>
        </w:rPr>
      </w:pPr>
    </w:p>
    <w:p w14:paraId="0E91DAF4" w14:textId="77777777" w:rsidR="002A52B1" w:rsidRDefault="002A52B1" w:rsidP="007A3FCB">
      <w:pPr>
        <w:jc w:val="center"/>
        <w:rPr>
          <w:rFonts w:ascii="Arial" w:hAnsi="Arial" w:cs="Arial"/>
          <w:b/>
          <w:sz w:val="20"/>
          <w:szCs w:val="20"/>
          <w:lang w:val="es-PE"/>
        </w:rPr>
      </w:pPr>
    </w:p>
    <w:p w14:paraId="0F295E39" w14:textId="77777777" w:rsidR="002A52B1" w:rsidRDefault="002A52B1" w:rsidP="007A3FCB">
      <w:pPr>
        <w:jc w:val="center"/>
        <w:rPr>
          <w:rFonts w:ascii="Arial" w:hAnsi="Arial" w:cs="Arial"/>
          <w:b/>
          <w:sz w:val="20"/>
          <w:szCs w:val="20"/>
          <w:lang w:val="es-PE"/>
        </w:rPr>
      </w:pPr>
    </w:p>
    <w:p w14:paraId="2CCC11A7" w14:textId="77777777" w:rsidR="002A52B1" w:rsidRDefault="002A52B1" w:rsidP="007A3FCB">
      <w:pPr>
        <w:jc w:val="center"/>
        <w:rPr>
          <w:rFonts w:ascii="Arial" w:hAnsi="Arial" w:cs="Arial"/>
          <w:b/>
          <w:sz w:val="20"/>
          <w:szCs w:val="20"/>
          <w:lang w:val="es-PE"/>
        </w:rPr>
      </w:pPr>
    </w:p>
    <w:p w14:paraId="196AB71A" w14:textId="77777777" w:rsidR="002A52B1" w:rsidRDefault="002A52B1" w:rsidP="007A3FCB">
      <w:pPr>
        <w:jc w:val="center"/>
        <w:rPr>
          <w:rFonts w:ascii="Arial" w:hAnsi="Arial" w:cs="Arial"/>
          <w:b/>
          <w:sz w:val="20"/>
          <w:szCs w:val="20"/>
          <w:lang w:val="es-PE"/>
        </w:rPr>
      </w:pPr>
    </w:p>
    <w:p w14:paraId="2F41642C" w14:textId="77777777" w:rsidR="002A52B1" w:rsidRDefault="002A52B1" w:rsidP="007A3FCB">
      <w:pPr>
        <w:jc w:val="center"/>
        <w:rPr>
          <w:rFonts w:ascii="Arial" w:hAnsi="Arial" w:cs="Arial"/>
          <w:b/>
          <w:sz w:val="20"/>
          <w:szCs w:val="20"/>
          <w:lang w:val="es-PE"/>
        </w:rPr>
      </w:pPr>
    </w:p>
    <w:p w14:paraId="4CD5650E" w14:textId="2DFF1E7D" w:rsidR="007A3FCB" w:rsidRDefault="007A3FCB" w:rsidP="007A3FCB">
      <w:pPr>
        <w:jc w:val="center"/>
        <w:rPr>
          <w:rFonts w:ascii="Arial" w:hAnsi="Arial" w:cs="Arial"/>
          <w:b/>
          <w:sz w:val="20"/>
          <w:szCs w:val="20"/>
          <w:lang w:val="es-PE"/>
        </w:rPr>
      </w:pPr>
      <w:r w:rsidRPr="005754A7">
        <w:rPr>
          <w:rFonts w:ascii="Arial" w:hAnsi="Arial" w:cs="Arial"/>
          <w:b/>
          <w:sz w:val="20"/>
          <w:szCs w:val="20"/>
          <w:lang w:val="es-PE"/>
        </w:rPr>
        <w:lastRenderedPageBreak/>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w:t>
      </w:r>
      <w:r>
        <w:rPr>
          <w:rFonts w:ascii="Arial" w:hAnsi="Arial" w:cs="Arial"/>
          <w:b/>
          <w:sz w:val="20"/>
          <w:szCs w:val="20"/>
          <w:lang w:val="es-PE"/>
        </w:rPr>
        <w:t>5</w:t>
      </w:r>
      <w:r w:rsidRPr="005754A7">
        <w:rPr>
          <w:rFonts w:ascii="Arial" w:hAnsi="Arial" w:cs="Arial"/>
          <w:b/>
          <w:sz w:val="20"/>
          <w:szCs w:val="20"/>
          <w:lang w:val="es-PE"/>
        </w:rPr>
        <w:t xml:space="preserve"> – </w:t>
      </w:r>
      <w:r>
        <w:rPr>
          <w:rFonts w:ascii="Arial" w:hAnsi="Arial" w:cs="Arial"/>
          <w:b/>
          <w:sz w:val="20"/>
          <w:szCs w:val="20"/>
          <w:lang w:val="es-PE"/>
        </w:rPr>
        <w:t>Iniciativas de desarrollo social ejecutadas de manera voluntaria</w:t>
      </w:r>
    </w:p>
    <w:p w14:paraId="3AE54220" w14:textId="77777777" w:rsidR="007A3FCB" w:rsidRDefault="007A3FCB" w:rsidP="007A3FCB">
      <w:pPr>
        <w:jc w:val="center"/>
        <w:rPr>
          <w:rFonts w:ascii="Arial" w:hAnsi="Arial" w:cs="Arial"/>
          <w:b/>
          <w:sz w:val="20"/>
          <w:szCs w:val="20"/>
          <w:lang w:val="es-PE"/>
        </w:rPr>
      </w:pPr>
    </w:p>
    <w:tbl>
      <w:tblPr>
        <w:tblStyle w:val="Tablaconcuadrcula"/>
        <w:tblW w:w="0" w:type="auto"/>
        <w:tblLayout w:type="fixed"/>
        <w:tblLook w:val="04A0" w:firstRow="1" w:lastRow="0" w:firstColumn="1" w:lastColumn="0" w:noHBand="0" w:noVBand="1"/>
      </w:tblPr>
      <w:tblGrid>
        <w:gridCol w:w="1696"/>
        <w:gridCol w:w="2410"/>
        <w:gridCol w:w="2693"/>
        <w:gridCol w:w="3560"/>
      </w:tblGrid>
      <w:tr w:rsidR="002B6669" w:rsidRPr="002B6669" w14:paraId="5950B6AF" w14:textId="77777777" w:rsidTr="002B6669">
        <w:tc>
          <w:tcPr>
            <w:tcW w:w="1696" w:type="dxa"/>
            <w:vAlign w:val="center"/>
          </w:tcPr>
          <w:p w14:paraId="5C941FD6" w14:textId="0EA4263B" w:rsidR="002B6669" w:rsidRPr="002B6669" w:rsidRDefault="002B6669" w:rsidP="002B6669">
            <w:pPr>
              <w:jc w:val="center"/>
              <w:rPr>
                <w:rFonts w:ascii="Arial" w:hAnsi="Arial" w:cs="Arial"/>
                <w:b/>
                <w:sz w:val="20"/>
                <w:szCs w:val="20"/>
              </w:rPr>
            </w:pPr>
            <w:r w:rsidRPr="002B6669">
              <w:rPr>
                <w:rFonts w:ascii="Arial" w:hAnsi="Arial" w:cs="Arial"/>
                <w:b/>
                <w:sz w:val="20"/>
                <w:szCs w:val="20"/>
              </w:rPr>
              <w:t>Programa</w:t>
            </w:r>
          </w:p>
        </w:tc>
        <w:tc>
          <w:tcPr>
            <w:tcW w:w="2410" w:type="dxa"/>
            <w:vAlign w:val="center"/>
          </w:tcPr>
          <w:p w14:paraId="39963E2B" w14:textId="4A5B5FE1" w:rsidR="002B6669" w:rsidRPr="002B6669" w:rsidRDefault="002B6669" w:rsidP="002B6669">
            <w:pPr>
              <w:jc w:val="center"/>
              <w:rPr>
                <w:rFonts w:ascii="Arial" w:hAnsi="Arial" w:cs="Arial"/>
                <w:b/>
                <w:sz w:val="20"/>
                <w:szCs w:val="20"/>
              </w:rPr>
            </w:pPr>
            <w:r w:rsidRPr="002B6669">
              <w:rPr>
                <w:rFonts w:ascii="Arial" w:hAnsi="Arial" w:cs="Arial"/>
                <w:b/>
                <w:sz w:val="20"/>
                <w:szCs w:val="20"/>
              </w:rPr>
              <w:t>Necesidad Local</w:t>
            </w:r>
          </w:p>
        </w:tc>
        <w:tc>
          <w:tcPr>
            <w:tcW w:w="2693" w:type="dxa"/>
            <w:vAlign w:val="center"/>
          </w:tcPr>
          <w:p w14:paraId="53DBC0E6" w14:textId="2E7A084A" w:rsidR="002B6669" w:rsidRPr="002B6669" w:rsidRDefault="002B6669" w:rsidP="002B6669">
            <w:pPr>
              <w:jc w:val="center"/>
              <w:rPr>
                <w:rFonts w:ascii="Arial" w:hAnsi="Arial" w:cs="Arial"/>
                <w:b/>
                <w:sz w:val="20"/>
                <w:szCs w:val="20"/>
              </w:rPr>
            </w:pPr>
            <w:r w:rsidRPr="002B6669">
              <w:rPr>
                <w:rFonts w:ascii="Arial" w:hAnsi="Arial" w:cs="Arial"/>
                <w:b/>
                <w:sz w:val="20"/>
                <w:szCs w:val="20"/>
              </w:rPr>
              <w:t>Interés de la Empresa</w:t>
            </w:r>
          </w:p>
        </w:tc>
        <w:tc>
          <w:tcPr>
            <w:tcW w:w="3560" w:type="dxa"/>
            <w:vAlign w:val="center"/>
          </w:tcPr>
          <w:p w14:paraId="30842A1F" w14:textId="1A9CD8A6" w:rsidR="002B6669" w:rsidRPr="002B6669" w:rsidRDefault="002B6669" w:rsidP="002B6669">
            <w:pPr>
              <w:jc w:val="center"/>
              <w:rPr>
                <w:rFonts w:ascii="Arial" w:hAnsi="Arial" w:cs="Arial"/>
                <w:b/>
                <w:sz w:val="20"/>
                <w:szCs w:val="20"/>
              </w:rPr>
            </w:pPr>
            <w:r w:rsidRPr="002B6669">
              <w:rPr>
                <w:rFonts w:ascii="Arial" w:hAnsi="Arial" w:cs="Arial"/>
                <w:b/>
                <w:sz w:val="20"/>
                <w:szCs w:val="20"/>
              </w:rPr>
              <w:t>Intervención Realizada</w:t>
            </w:r>
          </w:p>
        </w:tc>
      </w:tr>
      <w:tr w:rsidR="002B6669" w:rsidRPr="002B6669" w14:paraId="168E1E33" w14:textId="77777777" w:rsidTr="002B6669">
        <w:tc>
          <w:tcPr>
            <w:tcW w:w="1696" w:type="dxa"/>
            <w:vAlign w:val="center"/>
            <w:hideMark/>
          </w:tcPr>
          <w:p w14:paraId="2CF538F3" w14:textId="77777777" w:rsidR="002B6669" w:rsidRPr="002B6669" w:rsidRDefault="002B6669" w:rsidP="002B6669">
            <w:pPr>
              <w:jc w:val="both"/>
              <w:rPr>
                <w:rFonts w:ascii="Arial" w:hAnsi="Arial" w:cs="Arial"/>
                <w:bCs/>
                <w:i/>
                <w:iCs/>
                <w:sz w:val="20"/>
                <w:szCs w:val="20"/>
              </w:rPr>
            </w:pPr>
            <w:r w:rsidRPr="002B6669">
              <w:rPr>
                <w:rFonts w:ascii="Arial" w:hAnsi="Arial" w:cs="Arial"/>
                <w:bCs/>
                <w:i/>
                <w:iCs/>
                <w:sz w:val="20"/>
                <w:szCs w:val="20"/>
              </w:rPr>
              <w:t>Taller de emprendimiento local</w:t>
            </w:r>
          </w:p>
        </w:tc>
        <w:tc>
          <w:tcPr>
            <w:tcW w:w="2410" w:type="dxa"/>
            <w:vAlign w:val="center"/>
            <w:hideMark/>
          </w:tcPr>
          <w:p w14:paraId="569686B0"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Personas interesadas en convertirse en proveedores del proyecto requerían orientación y herramientas.</w:t>
            </w:r>
          </w:p>
        </w:tc>
        <w:tc>
          <w:tcPr>
            <w:tcW w:w="2693" w:type="dxa"/>
            <w:vAlign w:val="center"/>
            <w:hideMark/>
          </w:tcPr>
          <w:p w14:paraId="67B9E18E"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Calmar expectativas, construir un banco de proveedores locales para futuras inversiones.</w:t>
            </w:r>
          </w:p>
        </w:tc>
        <w:tc>
          <w:tcPr>
            <w:tcW w:w="3560" w:type="dxa"/>
            <w:vAlign w:val="center"/>
            <w:hideMark/>
          </w:tcPr>
          <w:p w14:paraId="610EF9B2"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Taller participativo con enfoque práctico sobre formalización, finanzas, planes de negocio, asociatividad y requisitos para contratar con empresas formales.</w:t>
            </w:r>
          </w:p>
        </w:tc>
      </w:tr>
      <w:tr w:rsidR="002B6669" w:rsidRPr="002B6669" w14:paraId="272468FD" w14:textId="77777777" w:rsidTr="002B6669">
        <w:tc>
          <w:tcPr>
            <w:tcW w:w="1696" w:type="dxa"/>
            <w:vAlign w:val="center"/>
            <w:hideMark/>
          </w:tcPr>
          <w:p w14:paraId="652939A8" w14:textId="77777777" w:rsidR="002B6669" w:rsidRPr="002B6669" w:rsidRDefault="002B6669" w:rsidP="002B6669">
            <w:pPr>
              <w:jc w:val="both"/>
              <w:rPr>
                <w:rFonts w:ascii="Arial" w:hAnsi="Arial" w:cs="Arial"/>
                <w:bCs/>
                <w:i/>
                <w:iCs/>
                <w:sz w:val="20"/>
                <w:szCs w:val="20"/>
              </w:rPr>
            </w:pPr>
            <w:r w:rsidRPr="002B6669">
              <w:rPr>
                <w:rFonts w:ascii="Arial" w:hAnsi="Arial" w:cs="Arial"/>
                <w:bCs/>
                <w:i/>
                <w:iCs/>
                <w:sz w:val="20"/>
                <w:szCs w:val="20"/>
              </w:rPr>
              <w:t>Aprovechamiento social de residuos sólidos (madera)</w:t>
            </w:r>
          </w:p>
        </w:tc>
        <w:tc>
          <w:tcPr>
            <w:tcW w:w="2410" w:type="dxa"/>
            <w:vAlign w:val="center"/>
            <w:hideMark/>
          </w:tcPr>
          <w:p w14:paraId="7995C588"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Escuelas con déficit de mobiliario escolar.</w:t>
            </w:r>
          </w:p>
        </w:tc>
        <w:tc>
          <w:tcPr>
            <w:tcW w:w="2693" w:type="dxa"/>
            <w:vAlign w:val="center"/>
            <w:hideMark/>
          </w:tcPr>
          <w:p w14:paraId="01C7FB01"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Reducir costos de disposición final y fortalecer imagen social del proyecto.</w:t>
            </w:r>
          </w:p>
        </w:tc>
        <w:tc>
          <w:tcPr>
            <w:tcW w:w="3560" w:type="dxa"/>
            <w:vAlign w:val="center"/>
            <w:hideMark/>
          </w:tcPr>
          <w:p w14:paraId="6FF50DEE" w14:textId="77777777" w:rsidR="002B6669" w:rsidRPr="002B6669" w:rsidRDefault="002B6669" w:rsidP="002B6669">
            <w:pPr>
              <w:jc w:val="both"/>
              <w:rPr>
                <w:rFonts w:ascii="Arial" w:hAnsi="Arial" w:cs="Arial"/>
                <w:bCs/>
                <w:sz w:val="20"/>
                <w:szCs w:val="20"/>
              </w:rPr>
            </w:pPr>
            <w:r w:rsidRPr="002B6669">
              <w:rPr>
                <w:rFonts w:ascii="Arial" w:hAnsi="Arial" w:cs="Arial"/>
                <w:bCs/>
                <w:sz w:val="20"/>
                <w:szCs w:val="20"/>
              </w:rPr>
              <w:t>Reutilización de madera de embalajes para fabricar mobiliario escolar y entregarlo a instituciones educativas del área de influencia.</w:t>
            </w:r>
          </w:p>
        </w:tc>
      </w:tr>
    </w:tbl>
    <w:p w14:paraId="089053A8" w14:textId="77777777" w:rsidR="007A3FCB" w:rsidRPr="002B6669" w:rsidRDefault="007A3FCB" w:rsidP="007A3FCB">
      <w:pPr>
        <w:jc w:val="both"/>
        <w:rPr>
          <w:rFonts w:ascii="Arial" w:eastAsiaTheme="minorHAnsi" w:hAnsi="Arial" w:cs="Arial"/>
          <w:bCs/>
          <w:kern w:val="2"/>
          <w:sz w:val="20"/>
          <w:szCs w:val="20"/>
          <w:lang w:val="es-PE" w:eastAsia="en-US"/>
          <w14:ligatures w14:val="standardContextual"/>
        </w:rPr>
      </w:pPr>
    </w:p>
    <w:p w14:paraId="30E0C80F" w14:textId="77777777" w:rsidR="007A3FCB" w:rsidRDefault="007A3FCB" w:rsidP="00800D1B">
      <w:pPr>
        <w:jc w:val="both"/>
        <w:rPr>
          <w:rFonts w:ascii="Arial" w:hAnsi="Arial" w:cs="Arial"/>
          <w:bCs/>
          <w:sz w:val="22"/>
          <w:szCs w:val="22"/>
          <w:lang w:val="es-PE"/>
        </w:rPr>
        <w:sectPr w:rsidR="007A3FCB" w:rsidSect="007A3FCB">
          <w:type w:val="continuous"/>
          <w:pgSz w:w="11900" w:h="16840"/>
          <w:pgMar w:top="1134" w:right="680" w:bottom="964" w:left="851" w:header="680" w:footer="567" w:gutter="0"/>
          <w:cols w:space="397"/>
          <w:docGrid w:linePitch="360"/>
        </w:sectPr>
      </w:pPr>
    </w:p>
    <w:p w14:paraId="651A37D2" w14:textId="77777777" w:rsidR="00800D1B" w:rsidRP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Estos programas no solo fortalecieron el vínculo con el territorio, sino que dieron sentido concreto al concepto de valor compartido, en la línea de lo planteado por Porter y Kramer (2011): crear valor económico para la empresa y valor social para el entorno. En este caso, el retorno se expresó en reducción de riesgos sociales, mejora reputacional, empoderamiento de actores locales y aceptación sostenida de la presencia empresarial en un entorno complejo.</w:t>
      </w:r>
    </w:p>
    <w:p w14:paraId="39DC5E23" w14:textId="2FBFC266" w:rsidR="00800D1B" w:rsidRPr="007D0CBA" w:rsidRDefault="00800D1B" w:rsidP="00800D1B">
      <w:pPr>
        <w:jc w:val="both"/>
        <w:rPr>
          <w:rFonts w:ascii="Arial" w:hAnsi="Arial" w:cs="Arial"/>
          <w:b/>
          <w:sz w:val="22"/>
          <w:szCs w:val="22"/>
          <w:lang w:val="es-PE"/>
        </w:rPr>
      </w:pPr>
      <w:r w:rsidRPr="007D0CBA">
        <w:rPr>
          <w:rFonts w:ascii="Arial" w:hAnsi="Arial" w:cs="Arial"/>
          <w:b/>
          <w:sz w:val="22"/>
          <w:szCs w:val="22"/>
          <w:lang w:val="es-PE"/>
        </w:rPr>
        <w:t>3.5.</w:t>
      </w:r>
      <w:r w:rsidR="007D0CBA">
        <w:rPr>
          <w:rFonts w:ascii="Arial" w:hAnsi="Arial" w:cs="Arial"/>
          <w:b/>
          <w:sz w:val="22"/>
          <w:szCs w:val="22"/>
          <w:lang w:val="es-PE"/>
        </w:rPr>
        <w:t xml:space="preserve"> </w:t>
      </w:r>
      <w:r w:rsidRPr="007D0CBA">
        <w:rPr>
          <w:rFonts w:ascii="Arial" w:hAnsi="Arial" w:cs="Arial"/>
          <w:b/>
          <w:sz w:val="22"/>
          <w:szCs w:val="22"/>
          <w:lang w:val="es-PE"/>
        </w:rPr>
        <w:t>Resultados y lecciones aprendidas</w:t>
      </w:r>
    </w:p>
    <w:p w14:paraId="6A77F825" w14:textId="77777777" w:rsidR="007D0CBA" w:rsidRPr="00800D1B" w:rsidRDefault="007D0CBA" w:rsidP="00800D1B">
      <w:pPr>
        <w:jc w:val="both"/>
        <w:rPr>
          <w:rFonts w:ascii="Arial" w:hAnsi="Arial" w:cs="Arial"/>
          <w:bCs/>
          <w:sz w:val="22"/>
          <w:szCs w:val="22"/>
          <w:lang w:val="es-PE"/>
        </w:rPr>
      </w:pPr>
    </w:p>
    <w:p w14:paraId="4BBBADE8" w14:textId="6307633C"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t>La experiencia de gestión social durante la etapa de construcción de la Central Solar San Martín permitió alcanzar resultados tanto en el cumplimiento del Programa de Relaciones Comunitarias como en la consolidación de un enfoque de valor compartido e innovación social.</w:t>
      </w:r>
      <w:r w:rsidR="003B73F0">
        <w:rPr>
          <w:rFonts w:ascii="Arial" w:hAnsi="Arial" w:cs="Arial"/>
          <w:bCs/>
          <w:sz w:val="22"/>
          <w:szCs w:val="22"/>
          <w:lang w:val="es-PE"/>
        </w:rPr>
        <w:t xml:space="preserve"> Sus principales cifras se expresan en la Tabla </w:t>
      </w:r>
      <w:proofErr w:type="spellStart"/>
      <w:r w:rsidR="003B73F0">
        <w:rPr>
          <w:rFonts w:ascii="Arial" w:hAnsi="Arial" w:cs="Arial"/>
          <w:bCs/>
          <w:sz w:val="22"/>
          <w:szCs w:val="22"/>
          <w:lang w:val="es-PE"/>
        </w:rPr>
        <w:t>N°</w:t>
      </w:r>
      <w:proofErr w:type="spellEnd"/>
      <w:r w:rsidR="003B73F0">
        <w:rPr>
          <w:rFonts w:ascii="Arial" w:hAnsi="Arial" w:cs="Arial"/>
          <w:bCs/>
          <w:sz w:val="22"/>
          <w:szCs w:val="22"/>
          <w:lang w:val="es-PE"/>
        </w:rPr>
        <w:t xml:space="preserve"> 6. </w:t>
      </w:r>
    </w:p>
    <w:p w14:paraId="3D4D73FA" w14:textId="77777777" w:rsidR="00800D1B" w:rsidRDefault="00800D1B" w:rsidP="00800D1B">
      <w:pPr>
        <w:jc w:val="both"/>
        <w:rPr>
          <w:rFonts w:ascii="Arial" w:hAnsi="Arial" w:cs="Arial"/>
          <w:bCs/>
          <w:sz w:val="22"/>
          <w:szCs w:val="22"/>
          <w:lang w:val="es-PE"/>
        </w:rPr>
      </w:pPr>
    </w:p>
    <w:p w14:paraId="66EBB1F3" w14:textId="77777777" w:rsidR="00B533B2" w:rsidRDefault="00B533B2" w:rsidP="00800D1B">
      <w:pPr>
        <w:jc w:val="both"/>
        <w:rPr>
          <w:rFonts w:ascii="Arial" w:hAnsi="Arial" w:cs="Arial"/>
          <w:bCs/>
          <w:sz w:val="22"/>
          <w:szCs w:val="22"/>
          <w:highlight w:val="yellow"/>
          <w:lang w:val="es-PE"/>
        </w:rPr>
        <w:sectPr w:rsidR="00B533B2" w:rsidSect="00D34811">
          <w:type w:val="continuous"/>
          <w:pgSz w:w="11900" w:h="16840"/>
          <w:pgMar w:top="1134" w:right="680" w:bottom="964" w:left="851" w:header="680" w:footer="567" w:gutter="0"/>
          <w:cols w:num="2" w:space="397"/>
          <w:docGrid w:linePitch="360"/>
        </w:sectPr>
      </w:pPr>
    </w:p>
    <w:p w14:paraId="294D8DE9" w14:textId="77777777" w:rsidR="00B533B2" w:rsidRDefault="00B533B2" w:rsidP="00B533B2">
      <w:pPr>
        <w:jc w:val="center"/>
        <w:rPr>
          <w:rFonts w:ascii="Arial" w:hAnsi="Arial" w:cs="Arial"/>
          <w:b/>
          <w:sz w:val="20"/>
          <w:szCs w:val="20"/>
          <w:lang w:val="es-PE"/>
        </w:rPr>
      </w:pPr>
    </w:p>
    <w:p w14:paraId="435FAEF2" w14:textId="1A8CDED7" w:rsidR="00B533B2" w:rsidRDefault="00B533B2" w:rsidP="00B533B2">
      <w:pPr>
        <w:jc w:val="center"/>
        <w:rPr>
          <w:rFonts w:ascii="Arial" w:hAnsi="Arial" w:cs="Arial"/>
          <w:b/>
          <w:sz w:val="20"/>
          <w:szCs w:val="20"/>
          <w:lang w:val="es-PE"/>
        </w:rPr>
      </w:pPr>
      <w:r w:rsidRPr="005754A7">
        <w:rPr>
          <w:rFonts w:ascii="Arial" w:hAnsi="Arial" w:cs="Arial"/>
          <w:b/>
          <w:sz w:val="20"/>
          <w:szCs w:val="20"/>
          <w:lang w:val="es-PE"/>
        </w:rPr>
        <w:t xml:space="preserve">Tabla </w:t>
      </w:r>
      <w:proofErr w:type="spellStart"/>
      <w:r w:rsidRPr="005754A7">
        <w:rPr>
          <w:rFonts w:ascii="Arial" w:hAnsi="Arial" w:cs="Arial"/>
          <w:b/>
          <w:sz w:val="20"/>
          <w:szCs w:val="20"/>
          <w:lang w:val="es-PE"/>
        </w:rPr>
        <w:t>N°</w:t>
      </w:r>
      <w:proofErr w:type="spellEnd"/>
      <w:r w:rsidRPr="005754A7">
        <w:rPr>
          <w:rFonts w:ascii="Arial" w:hAnsi="Arial" w:cs="Arial"/>
          <w:b/>
          <w:sz w:val="20"/>
          <w:szCs w:val="20"/>
          <w:lang w:val="es-PE"/>
        </w:rPr>
        <w:t xml:space="preserve"> </w:t>
      </w:r>
      <w:r>
        <w:rPr>
          <w:rFonts w:ascii="Arial" w:hAnsi="Arial" w:cs="Arial"/>
          <w:b/>
          <w:sz w:val="20"/>
          <w:szCs w:val="20"/>
          <w:lang w:val="es-PE"/>
        </w:rPr>
        <w:t>6</w:t>
      </w:r>
      <w:r w:rsidRPr="005754A7">
        <w:rPr>
          <w:rFonts w:ascii="Arial" w:hAnsi="Arial" w:cs="Arial"/>
          <w:b/>
          <w:sz w:val="20"/>
          <w:szCs w:val="20"/>
          <w:lang w:val="es-PE"/>
        </w:rPr>
        <w:t xml:space="preserve"> – </w:t>
      </w:r>
      <w:r>
        <w:rPr>
          <w:rFonts w:ascii="Arial" w:hAnsi="Arial" w:cs="Arial"/>
          <w:b/>
          <w:sz w:val="20"/>
          <w:szCs w:val="20"/>
          <w:lang w:val="es-PE"/>
        </w:rPr>
        <w:t>Resultados de la implementación del PRC de la CSF San Martín</w:t>
      </w:r>
    </w:p>
    <w:p w14:paraId="276E4115" w14:textId="77777777" w:rsidR="00B533B2" w:rsidRDefault="00B533B2" w:rsidP="00800D1B">
      <w:pPr>
        <w:jc w:val="both"/>
        <w:rPr>
          <w:rFonts w:ascii="Arial" w:hAnsi="Arial" w:cs="Arial"/>
          <w:bCs/>
          <w:sz w:val="22"/>
          <w:szCs w:val="22"/>
          <w:lang w:val="es-PE"/>
        </w:rPr>
      </w:pPr>
    </w:p>
    <w:tbl>
      <w:tblPr>
        <w:tblStyle w:val="Tablaconcuadrcula"/>
        <w:tblW w:w="0" w:type="auto"/>
        <w:tblLook w:val="04A0" w:firstRow="1" w:lastRow="0" w:firstColumn="1" w:lastColumn="0" w:noHBand="0" w:noVBand="1"/>
      </w:tblPr>
      <w:tblGrid>
        <w:gridCol w:w="2122"/>
        <w:gridCol w:w="8237"/>
      </w:tblGrid>
      <w:tr w:rsidR="00B533B2" w:rsidRPr="00904FFE" w14:paraId="5415EBEB" w14:textId="77777777" w:rsidTr="00B533B2">
        <w:tc>
          <w:tcPr>
            <w:tcW w:w="2122" w:type="dxa"/>
            <w:shd w:val="clear" w:color="auto" w:fill="auto"/>
            <w:vAlign w:val="center"/>
            <w:hideMark/>
          </w:tcPr>
          <w:p w14:paraId="1B04A74E" w14:textId="77777777" w:rsidR="00B533B2" w:rsidRPr="00B533B2" w:rsidRDefault="00B533B2" w:rsidP="008146C8">
            <w:pPr>
              <w:jc w:val="center"/>
              <w:rPr>
                <w:rFonts w:ascii="Arial" w:hAnsi="Arial" w:cs="Arial"/>
                <w:b/>
                <w:sz w:val="20"/>
                <w:szCs w:val="20"/>
              </w:rPr>
            </w:pPr>
            <w:r w:rsidRPr="00B533B2">
              <w:rPr>
                <w:rFonts w:ascii="Arial" w:hAnsi="Arial" w:cs="Arial"/>
                <w:b/>
                <w:sz w:val="20"/>
                <w:szCs w:val="20"/>
              </w:rPr>
              <w:t>Dimensión</w:t>
            </w:r>
          </w:p>
        </w:tc>
        <w:tc>
          <w:tcPr>
            <w:tcW w:w="8237" w:type="dxa"/>
            <w:shd w:val="clear" w:color="auto" w:fill="auto"/>
            <w:vAlign w:val="center"/>
            <w:hideMark/>
          </w:tcPr>
          <w:p w14:paraId="1C932598" w14:textId="77777777" w:rsidR="00B533B2" w:rsidRPr="00B533B2" w:rsidRDefault="00B533B2" w:rsidP="008146C8">
            <w:pPr>
              <w:jc w:val="center"/>
              <w:rPr>
                <w:rFonts w:ascii="Arial" w:hAnsi="Arial" w:cs="Arial"/>
                <w:b/>
                <w:sz w:val="20"/>
                <w:szCs w:val="20"/>
              </w:rPr>
            </w:pPr>
            <w:r w:rsidRPr="00B533B2">
              <w:rPr>
                <w:rFonts w:ascii="Arial" w:hAnsi="Arial" w:cs="Arial"/>
                <w:b/>
                <w:sz w:val="20"/>
                <w:szCs w:val="20"/>
              </w:rPr>
              <w:t>Resultado alcanzado</w:t>
            </w:r>
          </w:p>
        </w:tc>
      </w:tr>
      <w:tr w:rsidR="00B533B2" w:rsidRPr="00904FFE" w14:paraId="2B30DF20" w14:textId="77777777" w:rsidTr="00B533B2">
        <w:tc>
          <w:tcPr>
            <w:tcW w:w="2122" w:type="dxa"/>
            <w:vAlign w:val="center"/>
            <w:hideMark/>
          </w:tcPr>
          <w:p w14:paraId="68087CF2"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Participación y gobernanza local</w:t>
            </w:r>
          </w:p>
        </w:tc>
        <w:tc>
          <w:tcPr>
            <w:tcW w:w="8237" w:type="dxa"/>
            <w:vAlign w:val="center"/>
            <w:hideMark/>
          </w:tcPr>
          <w:p w14:paraId="28AE434E" w14:textId="755E2C31" w:rsidR="00B533B2" w:rsidRPr="00B533B2" w:rsidRDefault="00EC1D8F" w:rsidP="00B533B2">
            <w:pPr>
              <w:pStyle w:val="Prrafodelista"/>
              <w:numPr>
                <w:ilvl w:val="0"/>
                <w:numId w:val="2"/>
              </w:numPr>
              <w:spacing w:after="0" w:line="240" w:lineRule="auto"/>
              <w:ind w:left="447"/>
              <w:rPr>
                <w:rFonts w:ascii="Arial" w:hAnsi="Arial" w:cs="Arial"/>
                <w:bCs/>
                <w:sz w:val="20"/>
                <w:szCs w:val="20"/>
              </w:rPr>
            </w:pPr>
            <w:r>
              <w:rPr>
                <w:rFonts w:ascii="Arial" w:hAnsi="Arial" w:cs="Arial"/>
                <w:bCs/>
                <w:sz w:val="20"/>
                <w:szCs w:val="20"/>
              </w:rPr>
              <w:t>12</w:t>
            </w:r>
            <w:r w:rsidR="00B533B2" w:rsidRPr="00B533B2">
              <w:rPr>
                <w:rFonts w:ascii="Arial" w:hAnsi="Arial" w:cs="Arial"/>
                <w:bCs/>
                <w:sz w:val="20"/>
                <w:szCs w:val="20"/>
              </w:rPr>
              <w:t xml:space="preserve"> charlas informativas realizadas, con más de </w:t>
            </w:r>
            <w:r>
              <w:rPr>
                <w:rFonts w:ascii="Arial" w:hAnsi="Arial" w:cs="Arial"/>
                <w:bCs/>
                <w:sz w:val="20"/>
                <w:szCs w:val="20"/>
              </w:rPr>
              <w:t>350</w:t>
            </w:r>
            <w:r w:rsidR="00B533B2" w:rsidRPr="00B533B2">
              <w:rPr>
                <w:rFonts w:ascii="Arial" w:hAnsi="Arial" w:cs="Arial"/>
                <w:bCs/>
                <w:sz w:val="20"/>
                <w:szCs w:val="20"/>
              </w:rPr>
              <w:t xml:space="preserve"> asistentes acumulados, cubriendo el </w:t>
            </w:r>
            <w:r>
              <w:rPr>
                <w:rFonts w:ascii="Arial" w:hAnsi="Arial" w:cs="Arial"/>
                <w:bCs/>
                <w:sz w:val="20"/>
                <w:szCs w:val="20"/>
              </w:rPr>
              <w:t>38</w:t>
            </w:r>
            <w:r w:rsidR="00B533B2" w:rsidRPr="00B533B2">
              <w:rPr>
                <w:rFonts w:ascii="Arial" w:hAnsi="Arial" w:cs="Arial"/>
                <w:bCs/>
                <w:sz w:val="20"/>
                <w:szCs w:val="20"/>
              </w:rPr>
              <w:t>% de la población local.</w:t>
            </w:r>
          </w:p>
          <w:p w14:paraId="4058D6AF" w14:textId="0EE31966"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Se instalaron 2 buzones </w:t>
            </w:r>
            <w:r w:rsidR="00EC1D8F">
              <w:rPr>
                <w:rFonts w:ascii="Arial" w:hAnsi="Arial" w:cs="Arial"/>
                <w:bCs/>
                <w:sz w:val="20"/>
                <w:szCs w:val="20"/>
              </w:rPr>
              <w:t xml:space="preserve">de sugerencia </w:t>
            </w:r>
            <w:r w:rsidRPr="00B533B2">
              <w:rPr>
                <w:rFonts w:ascii="Arial" w:hAnsi="Arial" w:cs="Arial"/>
                <w:bCs/>
                <w:sz w:val="20"/>
                <w:szCs w:val="20"/>
              </w:rPr>
              <w:t xml:space="preserve">físicos y se habilitó un canal de WhatsApp con más de </w:t>
            </w:r>
            <w:r w:rsidR="00EC1D8F">
              <w:rPr>
                <w:rFonts w:ascii="Arial" w:hAnsi="Arial" w:cs="Arial"/>
                <w:bCs/>
                <w:sz w:val="20"/>
                <w:szCs w:val="20"/>
              </w:rPr>
              <w:t>180</w:t>
            </w:r>
            <w:r w:rsidRPr="00B533B2">
              <w:rPr>
                <w:rFonts w:ascii="Arial" w:hAnsi="Arial" w:cs="Arial"/>
                <w:bCs/>
                <w:sz w:val="20"/>
                <w:szCs w:val="20"/>
              </w:rPr>
              <w:t xml:space="preserve"> atenciones ciudadanas.</w:t>
            </w:r>
          </w:p>
        </w:tc>
      </w:tr>
      <w:tr w:rsidR="00B533B2" w:rsidRPr="00904FFE" w14:paraId="16AAE0D7" w14:textId="77777777" w:rsidTr="00B533B2">
        <w:tc>
          <w:tcPr>
            <w:tcW w:w="2122" w:type="dxa"/>
            <w:vAlign w:val="center"/>
            <w:hideMark/>
          </w:tcPr>
          <w:p w14:paraId="0CECA984"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Alianzas institucionales</w:t>
            </w:r>
          </w:p>
        </w:tc>
        <w:tc>
          <w:tcPr>
            <w:tcW w:w="8237" w:type="dxa"/>
            <w:vAlign w:val="center"/>
            <w:hideMark/>
          </w:tcPr>
          <w:p w14:paraId="6E2FED17" w14:textId="1B608CA0" w:rsidR="00B533B2" w:rsidRPr="00B533B2" w:rsidRDefault="00EC1D8F" w:rsidP="00B533B2">
            <w:pPr>
              <w:pStyle w:val="Prrafodelista"/>
              <w:numPr>
                <w:ilvl w:val="0"/>
                <w:numId w:val="2"/>
              </w:numPr>
              <w:spacing w:after="0" w:line="240" w:lineRule="auto"/>
              <w:ind w:left="447"/>
              <w:rPr>
                <w:rFonts w:ascii="Arial" w:hAnsi="Arial" w:cs="Arial"/>
                <w:bCs/>
                <w:sz w:val="20"/>
                <w:szCs w:val="20"/>
              </w:rPr>
            </w:pPr>
            <w:r>
              <w:rPr>
                <w:rFonts w:ascii="Arial" w:hAnsi="Arial" w:cs="Arial"/>
                <w:bCs/>
                <w:sz w:val="20"/>
                <w:szCs w:val="20"/>
              </w:rPr>
              <w:t>2</w:t>
            </w:r>
            <w:r w:rsidR="00B533B2" w:rsidRPr="00B533B2">
              <w:rPr>
                <w:rFonts w:ascii="Arial" w:hAnsi="Arial" w:cs="Arial"/>
                <w:bCs/>
                <w:sz w:val="20"/>
                <w:szCs w:val="20"/>
              </w:rPr>
              <w:t xml:space="preserve"> municipalidades involucradas en programas de fortalecimiento institucional.</w:t>
            </w:r>
          </w:p>
          <w:p w14:paraId="3FA777C7" w14:textId="36E6B5FD"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Participación de </w:t>
            </w:r>
            <w:r w:rsidR="00EC1D8F">
              <w:rPr>
                <w:rFonts w:ascii="Arial" w:hAnsi="Arial" w:cs="Arial"/>
                <w:bCs/>
                <w:sz w:val="20"/>
                <w:szCs w:val="20"/>
              </w:rPr>
              <w:t>24</w:t>
            </w:r>
            <w:r w:rsidRPr="00B533B2">
              <w:rPr>
                <w:rFonts w:ascii="Arial" w:hAnsi="Arial" w:cs="Arial"/>
                <w:bCs/>
                <w:sz w:val="20"/>
                <w:szCs w:val="20"/>
              </w:rPr>
              <w:t xml:space="preserve"> funcionarios públicos capacitados en gestión ambiental y desarrollo local.</w:t>
            </w:r>
          </w:p>
        </w:tc>
      </w:tr>
      <w:tr w:rsidR="00B533B2" w:rsidRPr="00904FFE" w14:paraId="5D530475" w14:textId="77777777" w:rsidTr="00B533B2">
        <w:tc>
          <w:tcPr>
            <w:tcW w:w="2122" w:type="dxa"/>
            <w:vAlign w:val="center"/>
            <w:hideMark/>
          </w:tcPr>
          <w:p w14:paraId="34805FE3"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Empleo y fortalecimiento de capacidades</w:t>
            </w:r>
          </w:p>
        </w:tc>
        <w:tc>
          <w:tcPr>
            <w:tcW w:w="8237" w:type="dxa"/>
            <w:vAlign w:val="center"/>
            <w:hideMark/>
          </w:tcPr>
          <w:p w14:paraId="3BEB61C1" w14:textId="13D0B1C5"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Contratación de </w:t>
            </w:r>
            <w:r w:rsidR="00EC1D8F">
              <w:rPr>
                <w:rFonts w:ascii="Arial" w:hAnsi="Arial" w:cs="Arial"/>
                <w:bCs/>
                <w:sz w:val="20"/>
                <w:szCs w:val="20"/>
              </w:rPr>
              <w:t>180</w:t>
            </w:r>
            <w:r w:rsidRPr="00B533B2">
              <w:rPr>
                <w:rFonts w:ascii="Arial" w:hAnsi="Arial" w:cs="Arial"/>
                <w:bCs/>
                <w:sz w:val="20"/>
                <w:szCs w:val="20"/>
              </w:rPr>
              <w:t xml:space="preserve"> personas del área de influencia directa como mano de obra no calificada</w:t>
            </w:r>
            <w:r w:rsidR="00EC1D8F">
              <w:rPr>
                <w:rFonts w:ascii="Arial" w:hAnsi="Arial" w:cs="Arial"/>
                <w:bCs/>
                <w:sz w:val="20"/>
                <w:szCs w:val="20"/>
              </w:rPr>
              <w:t xml:space="preserve"> y más de 900 personas en el pico de empleo del proyecto.</w:t>
            </w:r>
          </w:p>
          <w:p w14:paraId="5011FE3B" w14:textId="3F1B9998"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Se gestionó el cumplimiento de cuotas de empleo local frente a sindicatos externos</w:t>
            </w:r>
            <w:r w:rsidR="00EC1D8F">
              <w:rPr>
                <w:rFonts w:ascii="Arial" w:hAnsi="Arial" w:cs="Arial"/>
                <w:bCs/>
                <w:sz w:val="20"/>
                <w:szCs w:val="20"/>
              </w:rPr>
              <w:t xml:space="preserve">, reduciendo la presencia sindical </w:t>
            </w:r>
            <w:r w:rsidR="002F02FA">
              <w:rPr>
                <w:rFonts w:ascii="Arial" w:hAnsi="Arial" w:cs="Arial"/>
                <w:bCs/>
                <w:sz w:val="20"/>
                <w:szCs w:val="20"/>
              </w:rPr>
              <w:t xml:space="preserve">al mínimo, representando solo el 7.5% de la fuerza laboral del proyecto. </w:t>
            </w:r>
          </w:p>
        </w:tc>
      </w:tr>
      <w:tr w:rsidR="00B533B2" w:rsidRPr="00904FFE" w14:paraId="5CE169CA" w14:textId="77777777" w:rsidTr="00B533B2">
        <w:tc>
          <w:tcPr>
            <w:tcW w:w="2122" w:type="dxa"/>
            <w:vAlign w:val="center"/>
            <w:hideMark/>
          </w:tcPr>
          <w:p w14:paraId="54DEF357"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Desarrollo productivo sostenible</w:t>
            </w:r>
          </w:p>
        </w:tc>
        <w:tc>
          <w:tcPr>
            <w:tcW w:w="8237" w:type="dxa"/>
            <w:vAlign w:val="center"/>
            <w:hideMark/>
          </w:tcPr>
          <w:p w14:paraId="082A2D98" w14:textId="436AA87E" w:rsidR="00B533B2" w:rsidRPr="00B533B2" w:rsidRDefault="00196FB2" w:rsidP="00B533B2">
            <w:pPr>
              <w:pStyle w:val="Prrafodelista"/>
              <w:numPr>
                <w:ilvl w:val="0"/>
                <w:numId w:val="2"/>
              </w:numPr>
              <w:spacing w:after="0" w:line="240" w:lineRule="auto"/>
              <w:ind w:left="447"/>
              <w:rPr>
                <w:rFonts w:ascii="Arial" w:hAnsi="Arial" w:cs="Arial"/>
                <w:bCs/>
                <w:sz w:val="20"/>
                <w:szCs w:val="20"/>
              </w:rPr>
            </w:pPr>
            <w:r>
              <w:rPr>
                <w:rFonts w:ascii="Arial" w:hAnsi="Arial" w:cs="Arial"/>
                <w:bCs/>
                <w:sz w:val="20"/>
                <w:szCs w:val="20"/>
              </w:rPr>
              <w:t>42</w:t>
            </w:r>
            <w:r w:rsidR="00B533B2" w:rsidRPr="00B533B2">
              <w:rPr>
                <w:rFonts w:ascii="Arial" w:hAnsi="Arial" w:cs="Arial"/>
                <w:bCs/>
                <w:sz w:val="20"/>
                <w:szCs w:val="20"/>
              </w:rPr>
              <w:t xml:space="preserve"> talleres participativos sobre agricultura sostenible ejecutados con </w:t>
            </w:r>
            <w:r>
              <w:rPr>
                <w:rFonts w:ascii="Arial" w:hAnsi="Arial" w:cs="Arial"/>
                <w:bCs/>
                <w:sz w:val="20"/>
                <w:szCs w:val="20"/>
              </w:rPr>
              <w:t>127</w:t>
            </w:r>
            <w:r w:rsidR="00B533B2" w:rsidRPr="00B533B2">
              <w:rPr>
                <w:rFonts w:ascii="Arial" w:hAnsi="Arial" w:cs="Arial"/>
                <w:bCs/>
                <w:sz w:val="20"/>
                <w:szCs w:val="20"/>
              </w:rPr>
              <w:t xml:space="preserve"> agricultores locales.</w:t>
            </w:r>
          </w:p>
          <w:p w14:paraId="5523E3A7" w14:textId="5EBFFC60"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Introducción de cultivos mejorados y adopción de prácticas sostenibles con energía solar por parte de </w:t>
            </w:r>
            <w:r w:rsidR="00196FB2">
              <w:rPr>
                <w:rFonts w:ascii="Arial" w:hAnsi="Arial" w:cs="Arial"/>
                <w:bCs/>
                <w:sz w:val="20"/>
                <w:szCs w:val="20"/>
              </w:rPr>
              <w:t>48</w:t>
            </w:r>
            <w:r w:rsidRPr="00B533B2">
              <w:rPr>
                <w:rFonts w:ascii="Arial" w:hAnsi="Arial" w:cs="Arial"/>
                <w:bCs/>
                <w:sz w:val="20"/>
                <w:szCs w:val="20"/>
              </w:rPr>
              <w:t xml:space="preserve"> productores.</w:t>
            </w:r>
          </w:p>
        </w:tc>
      </w:tr>
      <w:tr w:rsidR="00B533B2" w:rsidRPr="00904FFE" w14:paraId="510F53DD" w14:textId="77777777" w:rsidTr="00B533B2">
        <w:tc>
          <w:tcPr>
            <w:tcW w:w="2122" w:type="dxa"/>
            <w:vAlign w:val="center"/>
            <w:hideMark/>
          </w:tcPr>
          <w:p w14:paraId="4EA44858"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Emprendimiento local</w:t>
            </w:r>
          </w:p>
        </w:tc>
        <w:tc>
          <w:tcPr>
            <w:tcW w:w="8237" w:type="dxa"/>
            <w:vAlign w:val="center"/>
            <w:hideMark/>
          </w:tcPr>
          <w:p w14:paraId="0F782945" w14:textId="36705B3B" w:rsidR="00B533B2" w:rsidRPr="00B533B2" w:rsidRDefault="00196FB2" w:rsidP="00B533B2">
            <w:pPr>
              <w:pStyle w:val="Prrafodelista"/>
              <w:numPr>
                <w:ilvl w:val="0"/>
                <w:numId w:val="2"/>
              </w:numPr>
              <w:spacing w:after="0" w:line="240" w:lineRule="auto"/>
              <w:ind w:left="447"/>
              <w:rPr>
                <w:rFonts w:ascii="Arial" w:hAnsi="Arial" w:cs="Arial"/>
                <w:bCs/>
                <w:sz w:val="20"/>
                <w:szCs w:val="20"/>
              </w:rPr>
            </w:pPr>
            <w:r>
              <w:rPr>
                <w:rFonts w:ascii="Arial" w:hAnsi="Arial" w:cs="Arial"/>
                <w:bCs/>
                <w:sz w:val="20"/>
                <w:szCs w:val="20"/>
              </w:rPr>
              <w:t>27</w:t>
            </w:r>
            <w:r w:rsidR="00B533B2" w:rsidRPr="00B533B2">
              <w:rPr>
                <w:rFonts w:ascii="Arial" w:hAnsi="Arial" w:cs="Arial"/>
                <w:bCs/>
                <w:sz w:val="20"/>
                <w:szCs w:val="20"/>
              </w:rPr>
              <w:t xml:space="preserve"> participantes en taller de emprendimiento.</w:t>
            </w:r>
          </w:p>
          <w:p w14:paraId="0FD3F29E" w14:textId="4B539DF1"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El </w:t>
            </w:r>
            <w:r w:rsidR="00196FB2">
              <w:rPr>
                <w:rFonts w:ascii="Arial" w:hAnsi="Arial" w:cs="Arial"/>
                <w:bCs/>
                <w:sz w:val="20"/>
                <w:szCs w:val="20"/>
              </w:rPr>
              <w:t>78</w:t>
            </w:r>
            <w:r w:rsidRPr="00B533B2">
              <w:rPr>
                <w:rFonts w:ascii="Arial" w:hAnsi="Arial" w:cs="Arial"/>
                <w:bCs/>
                <w:sz w:val="20"/>
                <w:szCs w:val="20"/>
              </w:rPr>
              <w:t>% culminó con planes de negocio estructurados y orientados al mercado local según necesidades.</w:t>
            </w:r>
          </w:p>
        </w:tc>
      </w:tr>
      <w:tr w:rsidR="00B533B2" w:rsidRPr="00904FFE" w14:paraId="205E4A4F" w14:textId="77777777" w:rsidTr="00B533B2">
        <w:tc>
          <w:tcPr>
            <w:tcW w:w="2122" w:type="dxa"/>
            <w:vAlign w:val="center"/>
            <w:hideMark/>
          </w:tcPr>
          <w:p w14:paraId="54113587"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Educación ambiental y sensibilización</w:t>
            </w:r>
          </w:p>
        </w:tc>
        <w:tc>
          <w:tcPr>
            <w:tcW w:w="8237" w:type="dxa"/>
            <w:vAlign w:val="center"/>
            <w:hideMark/>
          </w:tcPr>
          <w:p w14:paraId="333F59A1" w14:textId="4B70CACB"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Realización de </w:t>
            </w:r>
            <w:r w:rsidR="00196FB2">
              <w:rPr>
                <w:rFonts w:ascii="Arial" w:hAnsi="Arial" w:cs="Arial"/>
                <w:bCs/>
                <w:sz w:val="20"/>
                <w:szCs w:val="20"/>
              </w:rPr>
              <w:t>una</w:t>
            </w:r>
            <w:r w:rsidRPr="00B533B2">
              <w:rPr>
                <w:rFonts w:ascii="Arial" w:hAnsi="Arial" w:cs="Arial"/>
                <w:bCs/>
                <w:sz w:val="20"/>
                <w:szCs w:val="20"/>
              </w:rPr>
              <w:t xml:space="preserve"> Feria Ambiental Escolar y </w:t>
            </w:r>
            <w:r w:rsidR="00196FB2">
              <w:rPr>
                <w:rFonts w:ascii="Arial" w:hAnsi="Arial" w:cs="Arial"/>
                <w:bCs/>
                <w:sz w:val="20"/>
                <w:szCs w:val="20"/>
              </w:rPr>
              <w:t>una</w:t>
            </w:r>
            <w:r w:rsidRPr="00B533B2">
              <w:rPr>
                <w:rFonts w:ascii="Arial" w:hAnsi="Arial" w:cs="Arial"/>
                <w:bCs/>
                <w:sz w:val="20"/>
                <w:szCs w:val="20"/>
              </w:rPr>
              <w:t xml:space="preserve"> Campaña Escolar de Sensibilización, con participación de </w:t>
            </w:r>
            <w:r w:rsidR="00196FB2">
              <w:rPr>
                <w:rFonts w:ascii="Arial" w:hAnsi="Arial" w:cs="Arial"/>
                <w:bCs/>
                <w:sz w:val="20"/>
                <w:szCs w:val="20"/>
              </w:rPr>
              <w:t>7</w:t>
            </w:r>
            <w:r w:rsidRPr="00B533B2">
              <w:rPr>
                <w:rFonts w:ascii="Arial" w:hAnsi="Arial" w:cs="Arial"/>
                <w:bCs/>
                <w:sz w:val="20"/>
                <w:szCs w:val="20"/>
              </w:rPr>
              <w:t xml:space="preserve"> instituciones educativas (inicial, primaria y secundaria) y beneficio directo a </w:t>
            </w:r>
            <w:r w:rsidR="00196FB2">
              <w:rPr>
                <w:rFonts w:ascii="Arial" w:hAnsi="Arial" w:cs="Arial"/>
                <w:bCs/>
                <w:sz w:val="20"/>
                <w:szCs w:val="20"/>
              </w:rPr>
              <w:t>más de 770</w:t>
            </w:r>
            <w:r w:rsidRPr="00B533B2">
              <w:rPr>
                <w:rFonts w:ascii="Arial" w:hAnsi="Arial" w:cs="Arial"/>
                <w:bCs/>
                <w:sz w:val="20"/>
                <w:szCs w:val="20"/>
              </w:rPr>
              <w:t xml:space="preserve"> estudiantes.</w:t>
            </w:r>
          </w:p>
        </w:tc>
      </w:tr>
      <w:tr w:rsidR="00B533B2" w:rsidRPr="00904FFE" w14:paraId="37A5808E" w14:textId="77777777" w:rsidTr="00B533B2">
        <w:tc>
          <w:tcPr>
            <w:tcW w:w="2122" w:type="dxa"/>
            <w:vAlign w:val="center"/>
            <w:hideMark/>
          </w:tcPr>
          <w:p w14:paraId="5C5583DA"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Gestión ambiental responsable</w:t>
            </w:r>
          </w:p>
        </w:tc>
        <w:tc>
          <w:tcPr>
            <w:tcW w:w="8237" w:type="dxa"/>
            <w:vAlign w:val="center"/>
            <w:hideMark/>
          </w:tcPr>
          <w:p w14:paraId="57B02327" w14:textId="4C1D5A11"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Reaprovechamiento de madera residual de obra para la fabricación de </w:t>
            </w:r>
            <w:r w:rsidR="00196FB2">
              <w:rPr>
                <w:rFonts w:ascii="Arial" w:hAnsi="Arial" w:cs="Arial"/>
                <w:bCs/>
                <w:sz w:val="20"/>
                <w:szCs w:val="20"/>
              </w:rPr>
              <w:t>77 unidades de mobiliario escolar</w:t>
            </w:r>
            <w:r w:rsidRPr="00B533B2">
              <w:rPr>
                <w:rFonts w:ascii="Arial" w:hAnsi="Arial" w:cs="Arial"/>
                <w:bCs/>
                <w:sz w:val="20"/>
                <w:szCs w:val="20"/>
              </w:rPr>
              <w:t xml:space="preserve">, destinadas a </w:t>
            </w:r>
            <w:r w:rsidR="00196FB2">
              <w:rPr>
                <w:rFonts w:ascii="Arial" w:hAnsi="Arial" w:cs="Arial"/>
                <w:bCs/>
                <w:sz w:val="20"/>
                <w:szCs w:val="20"/>
              </w:rPr>
              <w:t>6</w:t>
            </w:r>
            <w:r w:rsidRPr="00B533B2">
              <w:rPr>
                <w:rFonts w:ascii="Arial" w:hAnsi="Arial" w:cs="Arial"/>
                <w:bCs/>
                <w:sz w:val="20"/>
                <w:szCs w:val="20"/>
              </w:rPr>
              <w:t xml:space="preserve"> </w:t>
            </w:r>
            <w:r w:rsidR="00196FB2">
              <w:rPr>
                <w:rFonts w:ascii="Arial" w:hAnsi="Arial" w:cs="Arial"/>
                <w:bCs/>
                <w:sz w:val="20"/>
                <w:szCs w:val="20"/>
              </w:rPr>
              <w:t>instituciones educativas</w:t>
            </w:r>
            <w:r w:rsidRPr="00B533B2">
              <w:rPr>
                <w:rFonts w:ascii="Arial" w:hAnsi="Arial" w:cs="Arial"/>
                <w:bCs/>
                <w:sz w:val="20"/>
                <w:szCs w:val="20"/>
              </w:rPr>
              <w:t xml:space="preserve"> y en beneficio de </w:t>
            </w:r>
            <w:r w:rsidR="00196FB2">
              <w:rPr>
                <w:rFonts w:ascii="Arial" w:hAnsi="Arial" w:cs="Arial"/>
                <w:bCs/>
                <w:sz w:val="20"/>
                <w:szCs w:val="20"/>
              </w:rPr>
              <w:t>171</w:t>
            </w:r>
            <w:r w:rsidRPr="00B533B2">
              <w:rPr>
                <w:rFonts w:ascii="Arial" w:hAnsi="Arial" w:cs="Arial"/>
                <w:bCs/>
                <w:sz w:val="20"/>
                <w:szCs w:val="20"/>
              </w:rPr>
              <w:t xml:space="preserve"> estudiantes.</w:t>
            </w:r>
          </w:p>
          <w:p w14:paraId="1B416AA8" w14:textId="25917D91"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 xml:space="preserve">Incorporación de enfoque de economía circular en procesos constructivos reciclando </w:t>
            </w:r>
            <w:r w:rsidR="00196FB2" w:rsidRPr="00196FB2">
              <w:rPr>
                <w:rFonts w:ascii="Arial" w:hAnsi="Arial" w:cs="Arial"/>
                <w:bCs/>
                <w:sz w:val="20"/>
                <w:szCs w:val="20"/>
              </w:rPr>
              <w:t>1.125</w:t>
            </w:r>
            <w:r w:rsidRPr="00B533B2">
              <w:rPr>
                <w:rFonts w:ascii="Arial" w:hAnsi="Arial" w:cs="Arial"/>
                <w:bCs/>
                <w:sz w:val="20"/>
                <w:szCs w:val="20"/>
              </w:rPr>
              <w:t xml:space="preserve"> toneladas de madera</w:t>
            </w:r>
            <w:r w:rsidR="003062F2">
              <w:rPr>
                <w:rFonts w:ascii="Arial" w:hAnsi="Arial" w:cs="Arial"/>
                <w:bCs/>
                <w:sz w:val="20"/>
                <w:szCs w:val="20"/>
              </w:rPr>
              <w:t xml:space="preserve"> de pino radiata. </w:t>
            </w:r>
          </w:p>
        </w:tc>
      </w:tr>
      <w:tr w:rsidR="00B533B2" w:rsidRPr="00904FFE" w14:paraId="150D5974" w14:textId="77777777" w:rsidTr="00B533B2">
        <w:tc>
          <w:tcPr>
            <w:tcW w:w="2122" w:type="dxa"/>
            <w:vAlign w:val="center"/>
            <w:hideMark/>
          </w:tcPr>
          <w:p w14:paraId="63419309"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Reducción de conflictos sociales</w:t>
            </w:r>
          </w:p>
        </w:tc>
        <w:tc>
          <w:tcPr>
            <w:tcW w:w="8237" w:type="dxa"/>
            <w:vAlign w:val="center"/>
            <w:hideMark/>
          </w:tcPr>
          <w:p w14:paraId="65B2BD19" w14:textId="1FCFE6CC"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Se redujo el riesgo de paralización de obras pese a la presión del sindicato de construcción civil y el contexto de expansión de otros proyectos solares en la zona.</w:t>
            </w:r>
            <w:r w:rsidR="009607C8">
              <w:rPr>
                <w:rFonts w:ascii="Arial" w:hAnsi="Arial" w:cs="Arial"/>
                <w:bCs/>
                <w:sz w:val="20"/>
                <w:szCs w:val="20"/>
              </w:rPr>
              <w:t xml:space="preserve"> La compañía no reportó pérdidas por ese concepto.</w:t>
            </w:r>
          </w:p>
        </w:tc>
      </w:tr>
      <w:tr w:rsidR="00B533B2" w:rsidRPr="00904FFE" w14:paraId="0C0E44E2" w14:textId="77777777" w:rsidTr="00B533B2">
        <w:tc>
          <w:tcPr>
            <w:tcW w:w="2122" w:type="dxa"/>
            <w:vAlign w:val="center"/>
            <w:hideMark/>
          </w:tcPr>
          <w:p w14:paraId="3C2D63CC" w14:textId="77777777" w:rsidR="00B533B2" w:rsidRPr="00B533B2" w:rsidRDefault="00B533B2" w:rsidP="008146C8">
            <w:pPr>
              <w:rPr>
                <w:rFonts w:ascii="Arial" w:hAnsi="Arial" w:cs="Arial"/>
                <w:bCs/>
                <w:i/>
                <w:iCs/>
                <w:sz w:val="20"/>
                <w:szCs w:val="20"/>
              </w:rPr>
            </w:pPr>
            <w:r w:rsidRPr="00B533B2">
              <w:rPr>
                <w:rFonts w:ascii="Arial" w:hAnsi="Arial" w:cs="Arial"/>
                <w:bCs/>
                <w:i/>
                <w:iCs/>
                <w:sz w:val="20"/>
                <w:szCs w:val="20"/>
              </w:rPr>
              <w:t>Cambio de percepciones</w:t>
            </w:r>
          </w:p>
        </w:tc>
        <w:tc>
          <w:tcPr>
            <w:tcW w:w="8237" w:type="dxa"/>
            <w:vAlign w:val="center"/>
            <w:hideMark/>
          </w:tcPr>
          <w:p w14:paraId="345A6CD7" w14:textId="410F66F7" w:rsidR="00B533B2" w:rsidRPr="00B533B2" w:rsidRDefault="00B533B2" w:rsidP="00B533B2">
            <w:pPr>
              <w:pStyle w:val="Prrafodelista"/>
              <w:numPr>
                <w:ilvl w:val="0"/>
                <w:numId w:val="2"/>
              </w:numPr>
              <w:spacing w:after="0" w:line="240" w:lineRule="auto"/>
              <w:ind w:left="447"/>
              <w:rPr>
                <w:rFonts w:ascii="Arial" w:hAnsi="Arial" w:cs="Arial"/>
                <w:bCs/>
                <w:sz w:val="20"/>
                <w:szCs w:val="20"/>
              </w:rPr>
            </w:pPr>
            <w:r w:rsidRPr="00B533B2">
              <w:rPr>
                <w:rFonts w:ascii="Arial" w:hAnsi="Arial" w:cs="Arial"/>
                <w:bCs/>
                <w:sz w:val="20"/>
                <w:szCs w:val="20"/>
              </w:rPr>
              <w:t>Evidencias del paso de la desconfianza inicial al orgullo de pertenencia entre trabajadores locales, sistematizadas en un video testimonial de trabajadores locales</w:t>
            </w:r>
            <w:r w:rsidR="009607C8">
              <w:rPr>
                <w:rFonts w:ascii="Arial" w:hAnsi="Arial" w:cs="Arial"/>
                <w:bCs/>
                <w:sz w:val="20"/>
                <w:szCs w:val="20"/>
              </w:rPr>
              <w:t>.</w:t>
            </w:r>
          </w:p>
        </w:tc>
      </w:tr>
    </w:tbl>
    <w:p w14:paraId="370EEC51" w14:textId="7358B467" w:rsidR="00800D1B" w:rsidRDefault="00800D1B" w:rsidP="00800D1B">
      <w:pPr>
        <w:jc w:val="both"/>
        <w:rPr>
          <w:rFonts w:ascii="Arial" w:hAnsi="Arial" w:cs="Arial"/>
          <w:bCs/>
          <w:sz w:val="22"/>
          <w:szCs w:val="22"/>
          <w:lang w:val="es-PE"/>
        </w:rPr>
      </w:pPr>
    </w:p>
    <w:p w14:paraId="7B16A56B" w14:textId="77777777" w:rsidR="00B533B2" w:rsidRDefault="00B533B2" w:rsidP="00800D1B">
      <w:pPr>
        <w:jc w:val="both"/>
        <w:rPr>
          <w:rFonts w:ascii="Arial" w:hAnsi="Arial" w:cs="Arial"/>
          <w:bCs/>
          <w:sz w:val="22"/>
          <w:szCs w:val="22"/>
          <w:lang w:val="es-PE"/>
        </w:rPr>
        <w:sectPr w:rsidR="00B533B2" w:rsidSect="00B533B2">
          <w:type w:val="continuous"/>
          <w:pgSz w:w="11900" w:h="16840"/>
          <w:pgMar w:top="1134" w:right="680" w:bottom="964" w:left="851" w:header="680" w:footer="567" w:gutter="0"/>
          <w:cols w:space="397"/>
          <w:docGrid w:linePitch="360"/>
        </w:sectPr>
      </w:pPr>
    </w:p>
    <w:p w14:paraId="6445919A" w14:textId="2B7DF231" w:rsidR="00800D1B" w:rsidRDefault="00800D1B" w:rsidP="00800D1B">
      <w:pPr>
        <w:jc w:val="both"/>
        <w:rPr>
          <w:rFonts w:ascii="Arial" w:hAnsi="Arial" w:cs="Arial"/>
          <w:bCs/>
          <w:sz w:val="22"/>
          <w:szCs w:val="22"/>
          <w:lang w:val="es-PE"/>
        </w:rPr>
      </w:pPr>
      <w:r w:rsidRPr="00800D1B">
        <w:rPr>
          <w:rFonts w:ascii="Arial" w:hAnsi="Arial" w:cs="Arial"/>
          <w:bCs/>
          <w:sz w:val="22"/>
          <w:szCs w:val="22"/>
          <w:lang w:val="es-PE"/>
        </w:rPr>
        <w:lastRenderedPageBreak/>
        <w:t>Creemos que la implementación de la estrategia de gestión social en la Central Solar San Martín permitió demostrar, en la práctica, cómo los enfoques de la Comunicación para el Desarrollo pueden ser aplicados eficazmente para transformar la percepción social de un proyecto de energía, garantizar su viabilidad operativa y consolidar valor compartido. A diferencia de los modelos tradicionales centrados en el cumplimiento formal de compromisos o en intervenciones sociales desconectadas de la lógica del negocio, este caso puso en el centro el cambio de percepciones como vía para construir aceptación social, combinando planificación estratégica, herramientas de comunicación intercultural y diseño de programas con retorno tangible para la empresa, que puedo ahorrar hasta $</w:t>
      </w:r>
      <w:r w:rsidR="009607C8">
        <w:rPr>
          <w:rFonts w:ascii="Arial" w:hAnsi="Arial" w:cs="Arial"/>
          <w:bCs/>
          <w:sz w:val="22"/>
          <w:szCs w:val="22"/>
          <w:lang w:val="es-PE"/>
        </w:rPr>
        <w:t>25,000.00</w:t>
      </w:r>
      <w:r w:rsidRPr="00800D1B">
        <w:rPr>
          <w:rFonts w:ascii="Arial" w:hAnsi="Arial" w:cs="Arial"/>
          <w:bCs/>
          <w:sz w:val="22"/>
          <w:szCs w:val="22"/>
          <w:lang w:val="es-PE"/>
        </w:rPr>
        <w:t xml:space="preserve"> por un riesgo de paralización al día.</w:t>
      </w:r>
    </w:p>
    <w:p w14:paraId="62B6EF28" w14:textId="77777777" w:rsidR="007D0CBA" w:rsidRPr="00800D1B" w:rsidRDefault="007D0CBA" w:rsidP="00800D1B">
      <w:pPr>
        <w:jc w:val="both"/>
        <w:rPr>
          <w:rFonts w:ascii="Arial" w:hAnsi="Arial" w:cs="Arial"/>
          <w:bCs/>
          <w:sz w:val="22"/>
          <w:szCs w:val="22"/>
          <w:lang w:val="es-PE"/>
        </w:rPr>
      </w:pPr>
    </w:p>
    <w:p w14:paraId="7B346ABC" w14:textId="5C4012B6" w:rsidR="00B32C80" w:rsidRPr="00B32C80" w:rsidRDefault="00B32C80" w:rsidP="00B32C80">
      <w:pPr>
        <w:jc w:val="both"/>
        <w:rPr>
          <w:rFonts w:ascii="Arial" w:hAnsi="Arial" w:cs="Arial"/>
          <w:bCs/>
          <w:sz w:val="22"/>
          <w:szCs w:val="22"/>
          <w:lang w:val="es-PE"/>
        </w:rPr>
      </w:pPr>
      <w:r w:rsidRPr="00B32C80">
        <w:rPr>
          <w:rFonts w:ascii="Arial" w:hAnsi="Arial" w:cs="Arial"/>
          <w:bCs/>
          <w:sz w:val="22"/>
          <w:szCs w:val="22"/>
          <w:lang w:val="es-PE"/>
        </w:rPr>
        <w:t xml:space="preserve">Durante la etapa crítica de </w:t>
      </w:r>
      <w:r>
        <w:rPr>
          <w:rFonts w:ascii="Arial" w:hAnsi="Arial" w:cs="Arial"/>
          <w:bCs/>
          <w:sz w:val="22"/>
          <w:szCs w:val="22"/>
          <w:lang w:val="es-PE"/>
        </w:rPr>
        <w:t xml:space="preserve">la etapa de </w:t>
      </w:r>
      <w:r w:rsidRPr="00B32C80">
        <w:rPr>
          <w:rFonts w:ascii="Arial" w:hAnsi="Arial" w:cs="Arial"/>
          <w:bCs/>
          <w:sz w:val="22"/>
          <w:szCs w:val="22"/>
          <w:lang w:val="es-PE"/>
        </w:rPr>
        <w:t>construcción, el manejo de la conflictividad laboral marcó un hito distintivo del proyecto. Frente a la presión del sindicato de construcción civil, se aplicó una estrategia de gestión social que combinó negociación gradual, empoderamiento local y comunicación política inteligente. Aprovechando el carácter progresivo de la contratación, se dosificó el número de vacantes ofrecidas al sindicato, evitando rupturas sin ceder el control del proceso. Se utilizaron los compromisos del Plan de Relaciones Comunitarias como herramienta de legitimidad frente a la empresa, restando al sindicato su poder de presión al evidenciar que el empleo local se gestionaba con reglas claras y concertadas.</w:t>
      </w:r>
    </w:p>
    <w:p w14:paraId="24EFB8B1" w14:textId="77777777" w:rsidR="00B32C80" w:rsidRPr="00B32C80" w:rsidRDefault="00B32C80" w:rsidP="00B32C80">
      <w:pPr>
        <w:jc w:val="both"/>
        <w:rPr>
          <w:rFonts w:ascii="Arial" w:hAnsi="Arial" w:cs="Arial"/>
          <w:bCs/>
          <w:sz w:val="22"/>
          <w:szCs w:val="22"/>
          <w:lang w:val="es-PE"/>
        </w:rPr>
      </w:pPr>
    </w:p>
    <w:p w14:paraId="1B8D24A9" w14:textId="77777777" w:rsidR="00B32C80" w:rsidRPr="00B32C80" w:rsidRDefault="00B32C80" w:rsidP="00B32C80">
      <w:pPr>
        <w:jc w:val="both"/>
        <w:rPr>
          <w:rFonts w:ascii="Arial" w:hAnsi="Arial" w:cs="Arial"/>
          <w:bCs/>
          <w:sz w:val="22"/>
          <w:szCs w:val="22"/>
          <w:lang w:val="es-PE"/>
        </w:rPr>
      </w:pPr>
      <w:r w:rsidRPr="00B32C80">
        <w:rPr>
          <w:rFonts w:ascii="Arial" w:hAnsi="Arial" w:cs="Arial"/>
          <w:bCs/>
          <w:sz w:val="22"/>
          <w:szCs w:val="22"/>
          <w:lang w:val="es-PE"/>
        </w:rPr>
        <w:t>Cuando el sindicato buscó aliarse con actores del área de influencia directa para ganar fuerza, se redobló la apuesta por el empoderamiento de líderes comunales, fortaleciendo su voz y capacidad de incidencia. Así, se rompió la dependencia de intermediarios externos, y se facilitó la creación de un sindicato local liderado por trabajadores de la zona, orientado no solo a proteger sus derechos, sino a proyectarse hacia futuras oportunidades laborales.</w:t>
      </w:r>
    </w:p>
    <w:p w14:paraId="10C43061" w14:textId="77777777" w:rsidR="00B32C80" w:rsidRPr="00B32C80" w:rsidRDefault="00B32C80" w:rsidP="00B32C80">
      <w:pPr>
        <w:jc w:val="both"/>
        <w:rPr>
          <w:rFonts w:ascii="Arial" w:hAnsi="Arial" w:cs="Arial"/>
          <w:bCs/>
          <w:sz w:val="22"/>
          <w:szCs w:val="22"/>
          <w:lang w:val="es-PE"/>
        </w:rPr>
      </w:pPr>
    </w:p>
    <w:p w14:paraId="69C8311D" w14:textId="77777777" w:rsidR="00EC0296" w:rsidRDefault="00B32C80" w:rsidP="00B32C80">
      <w:pPr>
        <w:jc w:val="both"/>
        <w:rPr>
          <w:rFonts w:ascii="Arial" w:hAnsi="Arial" w:cs="Arial"/>
          <w:bCs/>
          <w:sz w:val="22"/>
          <w:szCs w:val="22"/>
          <w:lang w:val="es-PE"/>
        </w:rPr>
      </w:pPr>
      <w:r w:rsidRPr="00B32C80">
        <w:rPr>
          <w:rFonts w:ascii="Arial" w:hAnsi="Arial" w:cs="Arial"/>
          <w:bCs/>
          <w:sz w:val="22"/>
          <w:szCs w:val="22"/>
          <w:lang w:val="es-PE"/>
        </w:rPr>
        <w:t>Este proceso da cuenta de una estrategia de comunicación para el desarrollo en acción: siguiendo a Freire</w:t>
      </w:r>
      <w:r w:rsidR="00EC0296">
        <w:rPr>
          <w:rFonts w:ascii="Arial" w:hAnsi="Arial" w:cs="Arial"/>
          <w:bCs/>
          <w:sz w:val="22"/>
          <w:szCs w:val="22"/>
          <w:lang w:val="es-PE"/>
        </w:rPr>
        <w:t xml:space="preserve"> (1970)</w:t>
      </w:r>
      <w:r w:rsidRPr="00B32C80">
        <w:rPr>
          <w:rFonts w:ascii="Arial" w:hAnsi="Arial" w:cs="Arial"/>
          <w:bCs/>
          <w:sz w:val="22"/>
          <w:szCs w:val="22"/>
          <w:lang w:val="es-PE"/>
        </w:rPr>
        <w:t>, se promovió la conciencia crítica y la autonomía; con Tufte</w:t>
      </w:r>
      <w:r w:rsidR="00EC0296">
        <w:rPr>
          <w:rFonts w:ascii="Arial" w:hAnsi="Arial" w:cs="Arial"/>
          <w:bCs/>
          <w:sz w:val="22"/>
          <w:szCs w:val="22"/>
          <w:lang w:val="es-PE"/>
        </w:rPr>
        <w:t xml:space="preserve"> (2017)</w:t>
      </w:r>
      <w:r w:rsidRPr="00B32C80">
        <w:rPr>
          <w:rFonts w:ascii="Arial" w:hAnsi="Arial" w:cs="Arial"/>
          <w:bCs/>
          <w:sz w:val="22"/>
          <w:szCs w:val="22"/>
          <w:lang w:val="es-PE"/>
        </w:rPr>
        <w:t xml:space="preserve"> y Gumucio</w:t>
      </w:r>
      <w:r w:rsidR="00EC0296">
        <w:rPr>
          <w:rFonts w:ascii="Arial" w:hAnsi="Arial" w:cs="Arial"/>
          <w:bCs/>
          <w:sz w:val="22"/>
          <w:szCs w:val="22"/>
          <w:lang w:val="es-PE"/>
        </w:rPr>
        <w:t xml:space="preserve"> (2004)</w:t>
      </w:r>
      <w:r w:rsidRPr="00B32C80">
        <w:rPr>
          <w:rFonts w:ascii="Arial" w:hAnsi="Arial" w:cs="Arial"/>
          <w:bCs/>
          <w:sz w:val="22"/>
          <w:szCs w:val="22"/>
          <w:lang w:val="es-PE"/>
        </w:rPr>
        <w:t>, se apostó por el cambio social desde el protagonismo ciudadano; y con Rogers</w:t>
      </w:r>
      <w:r w:rsidR="00EC0296">
        <w:rPr>
          <w:rFonts w:ascii="Arial" w:hAnsi="Arial" w:cs="Arial"/>
          <w:bCs/>
          <w:sz w:val="22"/>
          <w:szCs w:val="22"/>
          <w:lang w:val="es-PE"/>
        </w:rPr>
        <w:t xml:space="preserve"> (1962)</w:t>
      </w:r>
      <w:r w:rsidRPr="00B32C80">
        <w:rPr>
          <w:rFonts w:ascii="Arial" w:hAnsi="Arial" w:cs="Arial"/>
          <w:bCs/>
          <w:sz w:val="22"/>
          <w:szCs w:val="22"/>
          <w:lang w:val="es-PE"/>
        </w:rPr>
        <w:t>, se gestionó la innovación (un nuevo modo de contratación laboral</w:t>
      </w:r>
      <w:r w:rsidR="00EC0296">
        <w:rPr>
          <w:rFonts w:ascii="Arial" w:hAnsi="Arial" w:cs="Arial"/>
          <w:bCs/>
          <w:sz w:val="22"/>
          <w:szCs w:val="22"/>
          <w:lang w:val="es-PE"/>
        </w:rPr>
        <w:t xml:space="preserve"> en proyectos de energía solar</w:t>
      </w:r>
      <w:r w:rsidRPr="00B32C80">
        <w:rPr>
          <w:rFonts w:ascii="Arial" w:hAnsi="Arial" w:cs="Arial"/>
          <w:bCs/>
          <w:sz w:val="22"/>
          <w:szCs w:val="22"/>
          <w:lang w:val="es-PE"/>
        </w:rPr>
        <w:t>) mediante líderes locales como difusores clave.</w:t>
      </w:r>
      <w:r w:rsidR="00EC0296">
        <w:rPr>
          <w:rFonts w:ascii="Arial" w:hAnsi="Arial" w:cs="Arial"/>
          <w:bCs/>
          <w:sz w:val="22"/>
          <w:szCs w:val="22"/>
          <w:lang w:val="es-PE"/>
        </w:rPr>
        <w:t xml:space="preserve"> </w:t>
      </w:r>
    </w:p>
    <w:p w14:paraId="1990EF1D" w14:textId="3FEF3344" w:rsidR="00EC0296" w:rsidRPr="00EC0296" w:rsidRDefault="00EC0296" w:rsidP="00EC0296">
      <w:pPr>
        <w:jc w:val="both"/>
        <w:rPr>
          <w:rFonts w:ascii="Arial" w:hAnsi="Arial" w:cs="Arial"/>
          <w:bCs/>
          <w:sz w:val="22"/>
          <w:szCs w:val="22"/>
          <w:lang w:val="es-PE"/>
        </w:rPr>
      </w:pPr>
      <w:r>
        <w:rPr>
          <w:rFonts w:ascii="Arial" w:hAnsi="Arial" w:cs="Arial"/>
          <w:bCs/>
          <w:sz w:val="22"/>
          <w:szCs w:val="22"/>
          <w:lang w:val="es-PE"/>
        </w:rPr>
        <w:t xml:space="preserve">De esta manera, logramos </w:t>
      </w:r>
      <w:r w:rsidR="00800D1B" w:rsidRPr="00800D1B">
        <w:rPr>
          <w:rFonts w:ascii="Arial" w:hAnsi="Arial" w:cs="Arial"/>
          <w:bCs/>
          <w:sz w:val="22"/>
          <w:szCs w:val="22"/>
          <w:lang w:val="es-PE"/>
        </w:rPr>
        <w:t xml:space="preserve">contener exitosamente las amenazas de paralización por parte de sindicatos de construcción civil, </w:t>
      </w:r>
      <w:r>
        <w:rPr>
          <w:rFonts w:ascii="Arial" w:hAnsi="Arial" w:cs="Arial"/>
          <w:bCs/>
          <w:sz w:val="22"/>
          <w:szCs w:val="22"/>
          <w:lang w:val="es-PE"/>
        </w:rPr>
        <w:t xml:space="preserve">con una </w:t>
      </w:r>
      <w:r w:rsidRPr="00EC0296">
        <w:rPr>
          <w:rFonts w:ascii="Arial" w:hAnsi="Arial" w:cs="Arial"/>
          <w:bCs/>
          <w:sz w:val="22"/>
          <w:szCs w:val="22"/>
          <w:lang w:val="es-PE"/>
        </w:rPr>
        <w:t xml:space="preserve">negociación </w:t>
      </w:r>
      <w:r>
        <w:rPr>
          <w:rFonts w:ascii="Arial" w:hAnsi="Arial" w:cs="Arial"/>
          <w:bCs/>
          <w:sz w:val="22"/>
          <w:szCs w:val="22"/>
          <w:lang w:val="es-PE"/>
        </w:rPr>
        <w:t xml:space="preserve">que </w:t>
      </w:r>
      <w:r w:rsidRPr="00EC0296">
        <w:rPr>
          <w:rFonts w:ascii="Arial" w:hAnsi="Arial" w:cs="Arial"/>
          <w:bCs/>
          <w:sz w:val="22"/>
          <w:szCs w:val="22"/>
          <w:lang w:val="es-PE"/>
        </w:rPr>
        <w:t>fue posible gracias a un manejo técnico y político del Plan de Relaciones Comunitarias, el cual se utilizó como instrumento de legitimidad frente a la empresa y barrera objetiva ante presiones desmedidas.</w:t>
      </w:r>
    </w:p>
    <w:p w14:paraId="6831F124" w14:textId="77777777" w:rsidR="00EC0296" w:rsidRPr="00EC0296" w:rsidRDefault="00EC0296" w:rsidP="00EC0296">
      <w:pPr>
        <w:jc w:val="both"/>
        <w:rPr>
          <w:rFonts w:ascii="Arial" w:hAnsi="Arial" w:cs="Arial"/>
          <w:bCs/>
          <w:sz w:val="22"/>
          <w:szCs w:val="22"/>
          <w:lang w:val="es-PE"/>
        </w:rPr>
      </w:pPr>
    </w:p>
    <w:p w14:paraId="5EFCE877" w14:textId="0587F753" w:rsidR="00EC0296" w:rsidRPr="00EC0296" w:rsidRDefault="00EC0296" w:rsidP="00EC0296">
      <w:pPr>
        <w:jc w:val="both"/>
        <w:rPr>
          <w:rFonts w:ascii="Arial" w:hAnsi="Arial" w:cs="Arial"/>
          <w:bCs/>
          <w:sz w:val="22"/>
          <w:szCs w:val="22"/>
          <w:lang w:val="es-PE"/>
        </w:rPr>
      </w:pPr>
      <w:r w:rsidRPr="00EC0296">
        <w:rPr>
          <w:rFonts w:ascii="Arial" w:hAnsi="Arial" w:cs="Arial"/>
          <w:bCs/>
          <w:sz w:val="22"/>
          <w:szCs w:val="22"/>
          <w:lang w:val="es-PE"/>
        </w:rPr>
        <w:t>El enfoque implementado no consistió en una confrontación abierta ni una subordinación, sino en una dinámica de balanceo de expectativas y gestión simbólica de poder, en la que se ganaba tiempo, se contenía el conflicto y se fortalecía el rol de los líderes locales como interlocutores legítimos. De este modo, el discurso sindical quedó desplazado por una narrativa de protagonismo comunitario</w:t>
      </w:r>
      <w:r>
        <w:rPr>
          <w:rFonts w:ascii="Arial" w:hAnsi="Arial" w:cs="Arial"/>
          <w:bCs/>
          <w:sz w:val="22"/>
          <w:szCs w:val="22"/>
          <w:lang w:val="es-PE"/>
        </w:rPr>
        <w:t xml:space="preserve"> en línea con nuestro enfoque de trabajo.</w:t>
      </w:r>
    </w:p>
    <w:p w14:paraId="02100196" w14:textId="276EF6C6" w:rsidR="00EC0296" w:rsidRDefault="00EC0296" w:rsidP="00B32C80">
      <w:pPr>
        <w:jc w:val="both"/>
        <w:rPr>
          <w:rFonts w:ascii="Arial" w:hAnsi="Arial" w:cs="Arial"/>
          <w:bCs/>
          <w:sz w:val="22"/>
          <w:szCs w:val="22"/>
          <w:lang w:val="es-PE"/>
        </w:rPr>
      </w:pPr>
    </w:p>
    <w:p w14:paraId="276AED5E" w14:textId="18CE3BE6" w:rsidR="0040485C" w:rsidRPr="0040485C" w:rsidRDefault="0040485C" w:rsidP="0040485C">
      <w:pPr>
        <w:jc w:val="both"/>
        <w:rPr>
          <w:rFonts w:ascii="Arial" w:hAnsi="Arial" w:cs="Arial"/>
          <w:bCs/>
          <w:sz w:val="22"/>
          <w:szCs w:val="22"/>
          <w:lang w:val="es-PE"/>
        </w:rPr>
      </w:pPr>
      <w:r>
        <w:rPr>
          <w:rFonts w:ascii="Arial" w:hAnsi="Arial" w:cs="Arial"/>
          <w:bCs/>
          <w:sz w:val="22"/>
          <w:szCs w:val="22"/>
          <w:lang w:val="es-PE"/>
        </w:rPr>
        <w:t xml:space="preserve">Por otro lado, </w:t>
      </w:r>
      <w:r w:rsidR="00FB214E">
        <w:rPr>
          <w:rFonts w:ascii="Arial" w:hAnsi="Arial" w:cs="Arial"/>
          <w:bCs/>
          <w:sz w:val="22"/>
          <w:szCs w:val="22"/>
          <w:lang w:val="es-PE"/>
        </w:rPr>
        <w:t>l</w:t>
      </w:r>
      <w:r w:rsidRPr="0040485C">
        <w:rPr>
          <w:rFonts w:ascii="Arial" w:hAnsi="Arial" w:cs="Arial"/>
          <w:bCs/>
          <w:sz w:val="22"/>
          <w:szCs w:val="22"/>
          <w:lang w:val="es-PE"/>
        </w:rPr>
        <w:t>a modificación de la Declaración de Impacto Ambiental (DIA) abrió una oportunidad para replantear el enfoque del Plan de Relaciones Comunitarias más allá del cumplimiento formal. Frente a la opción de ejecutar acciones simbólicas o replicar modelos asistencialistas (charlas puntuales, donaciones o talleres sin continuidad), se eligió implementar estrategias diseñadas desde el principio de valor compartido. El enfoque no partió solo de las demandas de la población, sino de la identificación de puntos de intersección entre las necesidades locales y los intereses estratégicos de la empresa.</w:t>
      </w:r>
    </w:p>
    <w:p w14:paraId="4C20F7FA" w14:textId="77777777" w:rsidR="0040485C" w:rsidRPr="0040485C" w:rsidRDefault="0040485C" w:rsidP="0040485C">
      <w:pPr>
        <w:jc w:val="both"/>
        <w:rPr>
          <w:rFonts w:ascii="Arial" w:hAnsi="Arial" w:cs="Arial"/>
          <w:bCs/>
          <w:sz w:val="22"/>
          <w:szCs w:val="22"/>
          <w:lang w:val="es-PE"/>
        </w:rPr>
      </w:pPr>
    </w:p>
    <w:p w14:paraId="27D620F1" w14:textId="77777777" w:rsidR="0040485C" w:rsidRPr="0040485C" w:rsidRDefault="0040485C" w:rsidP="0040485C">
      <w:pPr>
        <w:jc w:val="both"/>
        <w:rPr>
          <w:rFonts w:ascii="Arial" w:hAnsi="Arial" w:cs="Arial"/>
          <w:bCs/>
          <w:sz w:val="22"/>
          <w:szCs w:val="22"/>
          <w:lang w:val="es-PE"/>
        </w:rPr>
      </w:pPr>
      <w:r w:rsidRPr="0040485C">
        <w:rPr>
          <w:rFonts w:ascii="Arial" w:hAnsi="Arial" w:cs="Arial"/>
          <w:bCs/>
          <w:sz w:val="22"/>
          <w:szCs w:val="22"/>
          <w:lang w:val="es-PE"/>
        </w:rPr>
        <w:t>Por ejemplo, el programa agrícola no se limitó a capacitar agricultores o introducir tecnologías sostenibles: fue concebido como un mecanismo para fortalecer la actividad económica principal del territorio ante el cierre próximo del frente de obra, al tiempo que mejoraba la imagen ambiental del proyecto y reducía su huella reputacional. En vez de entregar bienes a las municipalidades, se fortalecieron sus capacidades técnicas para responder a las demandas de gestión ambiental que la propia población visibilizaba durante las actividades participativas. Esa presión ciudadana se convirtió, a su vez, en un recurso de negociación con autoridades locales, alineando expectativas sociales con las responsabilidades estatales.</w:t>
      </w:r>
    </w:p>
    <w:p w14:paraId="5CBA7F56" w14:textId="77777777" w:rsidR="0040485C" w:rsidRPr="0040485C" w:rsidRDefault="0040485C" w:rsidP="0040485C">
      <w:pPr>
        <w:jc w:val="both"/>
        <w:rPr>
          <w:rFonts w:ascii="Arial" w:hAnsi="Arial" w:cs="Arial"/>
          <w:bCs/>
          <w:sz w:val="22"/>
          <w:szCs w:val="22"/>
          <w:lang w:val="es-PE"/>
        </w:rPr>
      </w:pPr>
    </w:p>
    <w:p w14:paraId="23B246D6" w14:textId="79B3F283" w:rsidR="007D0CBA" w:rsidRDefault="0040485C" w:rsidP="0040485C">
      <w:pPr>
        <w:jc w:val="both"/>
        <w:rPr>
          <w:rFonts w:ascii="Arial" w:hAnsi="Arial" w:cs="Arial"/>
          <w:bCs/>
          <w:sz w:val="22"/>
          <w:szCs w:val="22"/>
          <w:lang w:val="es-PE"/>
        </w:rPr>
      </w:pPr>
      <w:r w:rsidRPr="0040485C">
        <w:rPr>
          <w:rFonts w:ascii="Arial" w:hAnsi="Arial" w:cs="Arial"/>
          <w:bCs/>
          <w:sz w:val="22"/>
          <w:szCs w:val="22"/>
          <w:lang w:val="es-PE"/>
        </w:rPr>
        <w:t xml:space="preserve">Esta aproximación refleja los principios de la comunicación para el desarrollo planteados por Gumucio (2004) y Tufte (2017), donde el diálogo y la escucha activa no solo informan, sino transforman. Al incorporar lógicas de reciprocidad y empoderamiento, se dejó atrás el modelo transaccional para avanzar hacia uno relacional. La comunidad no fue tratada como beneficiaria, sino </w:t>
      </w:r>
      <w:r w:rsidRPr="0040485C">
        <w:rPr>
          <w:rFonts w:ascii="Arial" w:hAnsi="Arial" w:cs="Arial"/>
          <w:bCs/>
          <w:sz w:val="22"/>
          <w:szCs w:val="22"/>
          <w:lang w:val="es-PE"/>
        </w:rPr>
        <w:lastRenderedPageBreak/>
        <w:t>como socia crítica en la construcción de legitimidad social y sostenibilidad territorial.</w:t>
      </w:r>
    </w:p>
    <w:p w14:paraId="6EE3C82D" w14:textId="77777777" w:rsidR="002827F4" w:rsidRDefault="002827F4" w:rsidP="0040485C">
      <w:pPr>
        <w:jc w:val="both"/>
        <w:rPr>
          <w:rFonts w:ascii="Arial" w:hAnsi="Arial" w:cs="Arial"/>
          <w:bCs/>
          <w:sz w:val="22"/>
          <w:szCs w:val="22"/>
          <w:lang w:val="es-PE"/>
        </w:rPr>
      </w:pPr>
    </w:p>
    <w:p w14:paraId="5DEA26CD" w14:textId="77777777" w:rsidR="00B31337" w:rsidRDefault="005D5C2A" w:rsidP="005D5C2A">
      <w:pPr>
        <w:jc w:val="both"/>
        <w:rPr>
          <w:rFonts w:ascii="Arial" w:hAnsi="Arial" w:cs="Arial"/>
          <w:bCs/>
          <w:sz w:val="22"/>
          <w:szCs w:val="22"/>
          <w:lang w:val="es-PE"/>
        </w:rPr>
      </w:pPr>
      <w:r>
        <w:rPr>
          <w:rFonts w:ascii="Arial" w:hAnsi="Arial" w:cs="Arial"/>
          <w:bCs/>
          <w:sz w:val="22"/>
          <w:szCs w:val="22"/>
          <w:lang w:val="es-PE"/>
        </w:rPr>
        <w:t xml:space="preserve">Del mismo modo, la </w:t>
      </w:r>
      <w:r w:rsidRPr="005D5C2A">
        <w:rPr>
          <w:rFonts w:ascii="Arial" w:hAnsi="Arial" w:cs="Arial"/>
          <w:bCs/>
          <w:sz w:val="22"/>
          <w:szCs w:val="22"/>
          <w:lang w:val="es-PE"/>
        </w:rPr>
        <w:t xml:space="preserve">estrategia educativa </w:t>
      </w:r>
      <w:r w:rsidR="00B31337">
        <w:rPr>
          <w:rFonts w:ascii="Arial" w:hAnsi="Arial" w:cs="Arial"/>
          <w:bCs/>
          <w:sz w:val="22"/>
          <w:szCs w:val="22"/>
          <w:lang w:val="es-PE"/>
        </w:rPr>
        <w:t>tuvo un</w:t>
      </w:r>
      <w:r w:rsidRPr="005D5C2A">
        <w:rPr>
          <w:rFonts w:ascii="Arial" w:hAnsi="Arial" w:cs="Arial"/>
          <w:bCs/>
          <w:sz w:val="22"/>
          <w:szCs w:val="22"/>
          <w:lang w:val="es-PE"/>
        </w:rPr>
        <w:t xml:space="preserve"> sentido transformador A diferencia de las acciones simbólicas que </w:t>
      </w:r>
      <w:r w:rsidR="00B31337">
        <w:rPr>
          <w:rFonts w:ascii="Arial" w:hAnsi="Arial" w:cs="Arial"/>
          <w:bCs/>
          <w:sz w:val="22"/>
          <w:szCs w:val="22"/>
          <w:lang w:val="es-PE"/>
        </w:rPr>
        <w:t>a veces</w:t>
      </w:r>
      <w:r w:rsidRPr="005D5C2A">
        <w:rPr>
          <w:rFonts w:ascii="Arial" w:hAnsi="Arial" w:cs="Arial"/>
          <w:bCs/>
          <w:sz w:val="22"/>
          <w:szCs w:val="22"/>
          <w:lang w:val="es-PE"/>
        </w:rPr>
        <w:t xml:space="preserve"> caracterizan el componente educativo de los Planes de Relaciones Comunitarias (PRC) en </w:t>
      </w:r>
      <w:r w:rsidR="00B31337">
        <w:rPr>
          <w:rFonts w:ascii="Arial" w:hAnsi="Arial" w:cs="Arial"/>
          <w:bCs/>
          <w:sz w:val="22"/>
          <w:szCs w:val="22"/>
          <w:lang w:val="es-PE"/>
        </w:rPr>
        <w:t>nuestro país</w:t>
      </w:r>
      <w:r w:rsidRPr="005D5C2A">
        <w:rPr>
          <w:rFonts w:ascii="Arial" w:hAnsi="Arial" w:cs="Arial"/>
          <w:bCs/>
          <w:sz w:val="22"/>
          <w:szCs w:val="22"/>
          <w:lang w:val="es-PE"/>
        </w:rPr>
        <w:t>, el caso San Martín apostó por un</w:t>
      </w:r>
      <w:r w:rsidR="00B31337">
        <w:rPr>
          <w:rFonts w:ascii="Arial" w:hAnsi="Arial" w:cs="Arial"/>
          <w:bCs/>
          <w:sz w:val="22"/>
          <w:szCs w:val="22"/>
          <w:lang w:val="es-PE"/>
        </w:rPr>
        <w:t xml:space="preserve">a </w:t>
      </w:r>
      <w:r w:rsidRPr="005D5C2A">
        <w:rPr>
          <w:rFonts w:ascii="Arial" w:hAnsi="Arial" w:cs="Arial"/>
          <w:bCs/>
          <w:sz w:val="22"/>
          <w:szCs w:val="22"/>
          <w:lang w:val="es-PE"/>
        </w:rPr>
        <w:t xml:space="preserve">campaña ambiental escolar y </w:t>
      </w:r>
      <w:r w:rsidR="00B31337">
        <w:rPr>
          <w:rFonts w:ascii="Arial" w:hAnsi="Arial" w:cs="Arial"/>
          <w:bCs/>
          <w:sz w:val="22"/>
          <w:szCs w:val="22"/>
          <w:lang w:val="es-PE"/>
        </w:rPr>
        <w:t>un</w:t>
      </w:r>
      <w:r w:rsidRPr="005D5C2A">
        <w:rPr>
          <w:rFonts w:ascii="Arial" w:hAnsi="Arial" w:cs="Arial"/>
          <w:bCs/>
          <w:sz w:val="22"/>
          <w:szCs w:val="22"/>
          <w:lang w:val="es-PE"/>
        </w:rPr>
        <w:t xml:space="preserve"> evento educativo anual</w:t>
      </w:r>
      <w:r w:rsidR="00B31337">
        <w:rPr>
          <w:rFonts w:ascii="Arial" w:hAnsi="Arial" w:cs="Arial"/>
          <w:bCs/>
          <w:sz w:val="22"/>
          <w:szCs w:val="22"/>
          <w:lang w:val="es-PE"/>
        </w:rPr>
        <w:t xml:space="preserve"> que</w:t>
      </w:r>
      <w:r w:rsidRPr="005D5C2A">
        <w:rPr>
          <w:rFonts w:ascii="Arial" w:hAnsi="Arial" w:cs="Arial"/>
          <w:bCs/>
          <w:sz w:val="22"/>
          <w:szCs w:val="22"/>
          <w:lang w:val="es-PE"/>
        </w:rPr>
        <w:t xml:space="preserve"> no se limitaron a transmitir mensajes ambientales, sino que se diseñaron con base en el currículo escolar nacional, asegurando que las actividades complementaran los aprendizajes del aula. </w:t>
      </w:r>
      <w:r w:rsidR="00B31337">
        <w:rPr>
          <w:rFonts w:ascii="Arial" w:hAnsi="Arial" w:cs="Arial"/>
          <w:bCs/>
          <w:sz w:val="22"/>
          <w:szCs w:val="22"/>
          <w:lang w:val="es-PE"/>
        </w:rPr>
        <w:t>Ello</w:t>
      </w:r>
      <w:r w:rsidRPr="005D5C2A">
        <w:rPr>
          <w:rFonts w:ascii="Arial" w:hAnsi="Arial" w:cs="Arial"/>
          <w:bCs/>
          <w:sz w:val="22"/>
          <w:szCs w:val="22"/>
          <w:lang w:val="es-PE"/>
        </w:rPr>
        <w:t xml:space="preserve"> permitió que docentes y directores se apropien de las metodologías empleadas y las incorporen de forma estructural en su programación educativa. Se implementaron enfoques de </w:t>
      </w:r>
      <w:proofErr w:type="spellStart"/>
      <w:r w:rsidRPr="005D5C2A">
        <w:rPr>
          <w:rFonts w:ascii="Arial" w:hAnsi="Arial" w:cs="Arial"/>
          <w:bCs/>
          <w:sz w:val="22"/>
          <w:szCs w:val="22"/>
          <w:lang w:val="es-PE"/>
        </w:rPr>
        <w:t>edu</w:t>
      </w:r>
      <w:proofErr w:type="spellEnd"/>
      <w:r w:rsidRPr="005D5C2A">
        <w:rPr>
          <w:rFonts w:ascii="Arial" w:hAnsi="Arial" w:cs="Arial"/>
          <w:bCs/>
          <w:sz w:val="22"/>
          <w:szCs w:val="22"/>
          <w:lang w:val="es-PE"/>
        </w:rPr>
        <w:t xml:space="preserve">-entretenimiento, adaptados a cada nivel educativo (inicial, primaria y secundaria), para facilitar la comprensión de conceptos ambientales y energéticos, generando un vínculo temprano entre los estudiantes y el modelo de desarrollo basado en energías renovables. </w:t>
      </w:r>
    </w:p>
    <w:p w14:paraId="68A3B608" w14:textId="77777777" w:rsidR="00B31337" w:rsidRDefault="00B31337" w:rsidP="005D5C2A">
      <w:pPr>
        <w:jc w:val="both"/>
        <w:rPr>
          <w:rFonts w:ascii="Arial" w:hAnsi="Arial" w:cs="Arial"/>
          <w:bCs/>
          <w:sz w:val="22"/>
          <w:szCs w:val="22"/>
          <w:lang w:val="es-PE"/>
        </w:rPr>
      </w:pPr>
    </w:p>
    <w:p w14:paraId="495E9B6D" w14:textId="0D14DBE3" w:rsidR="005D5C2A" w:rsidRPr="005D5C2A" w:rsidRDefault="005D5C2A" w:rsidP="005D5C2A">
      <w:pPr>
        <w:jc w:val="both"/>
        <w:rPr>
          <w:rFonts w:ascii="Arial" w:hAnsi="Arial" w:cs="Arial"/>
          <w:bCs/>
          <w:sz w:val="22"/>
          <w:szCs w:val="22"/>
          <w:lang w:val="es-PE"/>
        </w:rPr>
      </w:pPr>
      <w:r w:rsidRPr="005D5C2A">
        <w:rPr>
          <w:rFonts w:ascii="Arial" w:hAnsi="Arial" w:cs="Arial"/>
          <w:bCs/>
          <w:sz w:val="22"/>
          <w:szCs w:val="22"/>
          <w:lang w:val="es-PE"/>
        </w:rPr>
        <w:t>En secundaria, además, se trabajó estratégicamente con el objetivo de fomentar vocaciones tempranas hacia carreras vinculadas al sector energético y formar voceros comunitarios capaces de explicar a sus familias los beneficios del proyecto</w:t>
      </w:r>
      <w:r w:rsidR="00B31337">
        <w:rPr>
          <w:rFonts w:ascii="Arial" w:hAnsi="Arial" w:cs="Arial"/>
          <w:bCs/>
          <w:sz w:val="22"/>
          <w:szCs w:val="22"/>
          <w:lang w:val="es-PE"/>
        </w:rPr>
        <w:t xml:space="preserve"> San Martín</w:t>
      </w:r>
      <w:r w:rsidRPr="005D5C2A">
        <w:rPr>
          <w:rFonts w:ascii="Arial" w:hAnsi="Arial" w:cs="Arial"/>
          <w:bCs/>
          <w:sz w:val="22"/>
          <w:szCs w:val="22"/>
          <w:lang w:val="es-PE"/>
        </w:rPr>
        <w:t>, preparando así el terreno para una futura aceptación social de nuevos desarrollos. Se combinó, por tanto, el presente</w:t>
      </w:r>
      <w:r w:rsidR="00B31337">
        <w:rPr>
          <w:rFonts w:ascii="Arial" w:hAnsi="Arial" w:cs="Arial"/>
          <w:bCs/>
          <w:sz w:val="22"/>
          <w:szCs w:val="22"/>
          <w:lang w:val="es-PE"/>
        </w:rPr>
        <w:t xml:space="preserve">, con </w:t>
      </w:r>
      <w:r w:rsidRPr="005D5C2A">
        <w:rPr>
          <w:rFonts w:ascii="Arial" w:hAnsi="Arial" w:cs="Arial"/>
          <w:bCs/>
          <w:sz w:val="22"/>
          <w:szCs w:val="22"/>
          <w:lang w:val="es-PE"/>
        </w:rPr>
        <w:t>la gestión de percepciones</w:t>
      </w:r>
      <w:r w:rsidR="00B31337">
        <w:rPr>
          <w:rFonts w:ascii="Arial" w:hAnsi="Arial" w:cs="Arial"/>
          <w:bCs/>
          <w:sz w:val="22"/>
          <w:szCs w:val="22"/>
          <w:lang w:val="es-PE"/>
        </w:rPr>
        <w:t xml:space="preserve">; y </w:t>
      </w:r>
      <w:r w:rsidRPr="005D5C2A">
        <w:rPr>
          <w:rFonts w:ascii="Arial" w:hAnsi="Arial" w:cs="Arial"/>
          <w:bCs/>
          <w:sz w:val="22"/>
          <w:szCs w:val="22"/>
          <w:lang w:val="es-PE"/>
        </w:rPr>
        <w:t>el futuro</w:t>
      </w:r>
      <w:r w:rsidR="00B31337">
        <w:rPr>
          <w:rFonts w:ascii="Arial" w:hAnsi="Arial" w:cs="Arial"/>
          <w:bCs/>
          <w:sz w:val="22"/>
          <w:szCs w:val="22"/>
          <w:lang w:val="es-PE"/>
        </w:rPr>
        <w:t xml:space="preserve">, con </w:t>
      </w:r>
      <w:r w:rsidRPr="005D5C2A">
        <w:rPr>
          <w:rFonts w:ascii="Arial" w:hAnsi="Arial" w:cs="Arial"/>
          <w:bCs/>
          <w:sz w:val="22"/>
          <w:szCs w:val="22"/>
          <w:lang w:val="es-PE"/>
        </w:rPr>
        <w:t>la formación de capital humano e imaginarios favorables, bajo una lógica integral de sostenibilidad social.</w:t>
      </w:r>
    </w:p>
    <w:p w14:paraId="4D7D6F73" w14:textId="77777777" w:rsidR="005D5C2A" w:rsidRPr="005D5C2A" w:rsidRDefault="005D5C2A" w:rsidP="005D5C2A">
      <w:pPr>
        <w:jc w:val="both"/>
        <w:rPr>
          <w:rFonts w:ascii="Arial" w:hAnsi="Arial" w:cs="Arial"/>
          <w:bCs/>
          <w:sz w:val="22"/>
          <w:szCs w:val="22"/>
          <w:lang w:val="es-PE"/>
        </w:rPr>
      </w:pPr>
    </w:p>
    <w:p w14:paraId="3242C8AE" w14:textId="7EAD41F4" w:rsidR="005D5C2A" w:rsidRPr="005D5C2A" w:rsidRDefault="00B31337" w:rsidP="005D5C2A">
      <w:pPr>
        <w:jc w:val="both"/>
        <w:rPr>
          <w:rFonts w:ascii="Arial" w:hAnsi="Arial" w:cs="Arial"/>
          <w:bCs/>
          <w:sz w:val="22"/>
          <w:szCs w:val="22"/>
          <w:lang w:val="es-PE"/>
        </w:rPr>
      </w:pPr>
      <w:r>
        <w:rPr>
          <w:rFonts w:ascii="Arial" w:hAnsi="Arial" w:cs="Arial"/>
          <w:bCs/>
          <w:sz w:val="22"/>
          <w:szCs w:val="22"/>
          <w:lang w:val="es-PE"/>
        </w:rPr>
        <w:t>En el mismo ámbito de la educación se desarrolló u</w:t>
      </w:r>
      <w:r w:rsidR="005D5C2A" w:rsidRPr="005D5C2A">
        <w:rPr>
          <w:rFonts w:ascii="Arial" w:hAnsi="Arial" w:cs="Arial"/>
          <w:bCs/>
          <w:sz w:val="22"/>
          <w:szCs w:val="22"/>
          <w:lang w:val="es-PE"/>
        </w:rPr>
        <w:t xml:space="preserve">no de los aspectos más innovadores de la experiencia San Martín </w:t>
      </w:r>
      <w:r>
        <w:rPr>
          <w:rFonts w:ascii="Arial" w:hAnsi="Arial" w:cs="Arial"/>
          <w:bCs/>
          <w:sz w:val="22"/>
          <w:szCs w:val="22"/>
          <w:lang w:val="es-PE"/>
        </w:rPr>
        <w:t>con</w:t>
      </w:r>
      <w:r w:rsidR="005D5C2A" w:rsidRPr="005D5C2A">
        <w:rPr>
          <w:rFonts w:ascii="Arial" w:hAnsi="Arial" w:cs="Arial"/>
          <w:bCs/>
          <w:sz w:val="22"/>
          <w:szCs w:val="22"/>
          <w:lang w:val="es-PE"/>
        </w:rPr>
        <w:t xml:space="preserve"> la incorporación de una lógica de economía circular aplicada al desarrollo local</w:t>
      </w:r>
      <w:r>
        <w:rPr>
          <w:rFonts w:ascii="Arial" w:hAnsi="Arial" w:cs="Arial"/>
          <w:bCs/>
          <w:sz w:val="22"/>
          <w:szCs w:val="22"/>
          <w:lang w:val="es-PE"/>
        </w:rPr>
        <w:t xml:space="preserve"> (</w:t>
      </w:r>
      <w:proofErr w:type="spellStart"/>
      <w:r w:rsidRPr="00B31337">
        <w:rPr>
          <w:rFonts w:ascii="Arial" w:hAnsi="Arial" w:cs="Arial"/>
          <w:bCs/>
          <w:sz w:val="22"/>
          <w:szCs w:val="22"/>
          <w:lang w:val="es-PE"/>
        </w:rPr>
        <w:t>Tapaninaho</w:t>
      </w:r>
      <w:proofErr w:type="spellEnd"/>
      <w:r>
        <w:rPr>
          <w:rFonts w:ascii="Arial" w:hAnsi="Arial" w:cs="Arial"/>
          <w:bCs/>
          <w:sz w:val="22"/>
          <w:szCs w:val="22"/>
          <w:lang w:val="es-PE"/>
        </w:rPr>
        <w:t xml:space="preserve"> 2022). </w:t>
      </w:r>
      <w:r w:rsidR="005D5C2A" w:rsidRPr="005D5C2A">
        <w:rPr>
          <w:rFonts w:ascii="Arial" w:hAnsi="Arial" w:cs="Arial"/>
          <w:bCs/>
          <w:sz w:val="22"/>
          <w:szCs w:val="22"/>
          <w:lang w:val="es-PE"/>
        </w:rPr>
        <w:t xml:space="preserve">Tradicionalmente, los residuos generados durante la construcción de proyectos de infraestructura son gestionados por contratistas especializados, sin mayor involucramiento de las áreas sociales ni conexión con las necesidades del entorno. En San Martín, el área de gestión social identificó la madera de embalaje (proveniente de los paneles solares importados) como un activo subutilizado, y decidió destinarla a la fabricación de mobiliario escolar para instituciones educativas locales con brechas en equipamiento. Esta intervención logró tres impactos clave: redujo los costos de disposición para el proyecto, fortaleció el pilar educativo de la estrategia social mediante la mejora tangible de las condiciones de aprendizaje, e introdujo a </w:t>
      </w:r>
      <w:proofErr w:type="spellStart"/>
      <w:r w:rsidR="005D5C2A" w:rsidRPr="005D5C2A">
        <w:rPr>
          <w:rFonts w:ascii="Arial" w:hAnsi="Arial" w:cs="Arial"/>
          <w:bCs/>
          <w:sz w:val="22"/>
          <w:szCs w:val="22"/>
          <w:lang w:val="es-PE"/>
        </w:rPr>
        <w:t>Zelestra</w:t>
      </w:r>
      <w:proofErr w:type="spellEnd"/>
      <w:r w:rsidR="005D5C2A" w:rsidRPr="005D5C2A">
        <w:rPr>
          <w:rFonts w:ascii="Arial" w:hAnsi="Arial" w:cs="Arial"/>
          <w:bCs/>
          <w:sz w:val="22"/>
          <w:szCs w:val="22"/>
          <w:lang w:val="es-PE"/>
        </w:rPr>
        <w:t xml:space="preserve"> en una lógica de circularidad, donde los residuos ya </w:t>
      </w:r>
      <w:r w:rsidR="005D5C2A" w:rsidRPr="005D5C2A">
        <w:rPr>
          <w:rFonts w:ascii="Arial" w:hAnsi="Arial" w:cs="Arial"/>
          <w:bCs/>
          <w:sz w:val="22"/>
          <w:szCs w:val="22"/>
          <w:lang w:val="es-PE"/>
        </w:rPr>
        <w:t>no son un pasivo, sino una oportunidad de impacto social positivo. Esta práctica, además de replicable, evidencia una transición desde un enfoque transaccional hacia uno de valor compartido con visión de sostenibilidad, donde cada fase del proyecto</w:t>
      </w:r>
      <w:r w:rsidR="006A08B5">
        <w:rPr>
          <w:rFonts w:ascii="Arial" w:hAnsi="Arial" w:cs="Arial"/>
          <w:bCs/>
          <w:sz w:val="22"/>
          <w:szCs w:val="22"/>
          <w:lang w:val="es-PE"/>
        </w:rPr>
        <w:t xml:space="preserve">, </w:t>
      </w:r>
      <w:r w:rsidR="005D5C2A" w:rsidRPr="005D5C2A">
        <w:rPr>
          <w:rFonts w:ascii="Arial" w:hAnsi="Arial" w:cs="Arial"/>
          <w:bCs/>
          <w:sz w:val="22"/>
          <w:szCs w:val="22"/>
          <w:lang w:val="es-PE"/>
        </w:rPr>
        <w:t xml:space="preserve">incluso la gestión de </w:t>
      </w:r>
      <w:r w:rsidR="006A08B5" w:rsidRPr="005D5C2A">
        <w:rPr>
          <w:rFonts w:ascii="Arial" w:hAnsi="Arial" w:cs="Arial"/>
          <w:bCs/>
          <w:sz w:val="22"/>
          <w:szCs w:val="22"/>
          <w:lang w:val="es-PE"/>
        </w:rPr>
        <w:t>residuos</w:t>
      </w:r>
      <w:r w:rsidR="006A08B5">
        <w:rPr>
          <w:rFonts w:ascii="Arial" w:hAnsi="Arial" w:cs="Arial"/>
          <w:bCs/>
          <w:sz w:val="22"/>
          <w:szCs w:val="22"/>
          <w:lang w:val="es-PE"/>
        </w:rPr>
        <w:t xml:space="preserve">, </w:t>
      </w:r>
      <w:r w:rsidR="005D5C2A" w:rsidRPr="005D5C2A">
        <w:rPr>
          <w:rFonts w:ascii="Arial" w:hAnsi="Arial" w:cs="Arial"/>
          <w:bCs/>
          <w:sz w:val="22"/>
          <w:szCs w:val="22"/>
          <w:lang w:val="es-PE"/>
        </w:rPr>
        <w:t>se convierte en una ocasión para generar legitimidad, impacto y reputación corporativa.</w:t>
      </w:r>
    </w:p>
    <w:p w14:paraId="0AA0552C" w14:textId="77777777" w:rsidR="002827F4" w:rsidRPr="00800D1B" w:rsidRDefault="002827F4" w:rsidP="0040485C">
      <w:pPr>
        <w:jc w:val="both"/>
        <w:rPr>
          <w:rFonts w:ascii="Arial" w:hAnsi="Arial" w:cs="Arial"/>
          <w:bCs/>
          <w:sz w:val="22"/>
          <w:szCs w:val="22"/>
          <w:lang w:val="es-PE"/>
        </w:rPr>
      </w:pPr>
    </w:p>
    <w:p w14:paraId="4728485C" w14:textId="10C9C7B0" w:rsidR="00252B85" w:rsidRPr="00252B85" w:rsidRDefault="00252B85" w:rsidP="00252B85">
      <w:pPr>
        <w:jc w:val="both"/>
        <w:rPr>
          <w:rFonts w:ascii="Arial" w:hAnsi="Arial" w:cs="Arial"/>
          <w:bCs/>
          <w:sz w:val="22"/>
          <w:szCs w:val="22"/>
          <w:lang w:val="es-PE"/>
        </w:rPr>
      </w:pPr>
      <w:r w:rsidRPr="00252B85">
        <w:rPr>
          <w:rFonts w:ascii="Arial" w:hAnsi="Arial" w:cs="Arial"/>
          <w:bCs/>
          <w:sz w:val="22"/>
          <w:szCs w:val="22"/>
          <w:lang w:val="es-PE"/>
        </w:rPr>
        <w:t>En San Martín, la comunicación fue tratada como una herramienta estratégica desde el inicio del proyecto, no como un recurso decorativo o meramente informativo. Se diseñó bajo principios de comunicación dialógica (Freire 1970) y transformación cultural (Gumucio 2004), lo que implicó ir más allá del envío de mensajes unidireccionales</w:t>
      </w:r>
      <w:r>
        <w:rPr>
          <w:rFonts w:ascii="Arial" w:hAnsi="Arial" w:cs="Arial"/>
          <w:bCs/>
          <w:sz w:val="22"/>
          <w:szCs w:val="22"/>
          <w:lang w:val="es-PE"/>
        </w:rPr>
        <w:t xml:space="preserve"> y el </w:t>
      </w:r>
      <w:r w:rsidRPr="00252B85">
        <w:rPr>
          <w:rFonts w:ascii="Arial" w:hAnsi="Arial" w:cs="Arial"/>
          <w:bCs/>
          <w:sz w:val="22"/>
          <w:szCs w:val="22"/>
          <w:lang w:val="es-PE"/>
        </w:rPr>
        <w:t xml:space="preserve">monólogo técnico. Los contenidos se adaptaron al entorno rural </w:t>
      </w:r>
      <w:r>
        <w:rPr>
          <w:rFonts w:ascii="Arial" w:hAnsi="Arial" w:cs="Arial"/>
          <w:bCs/>
          <w:sz w:val="22"/>
          <w:szCs w:val="22"/>
          <w:lang w:val="es-PE"/>
        </w:rPr>
        <w:t xml:space="preserve">y migrante característico del área de influencia del proyecto, </w:t>
      </w:r>
      <w:r w:rsidRPr="00252B85">
        <w:rPr>
          <w:rFonts w:ascii="Arial" w:hAnsi="Arial" w:cs="Arial"/>
          <w:bCs/>
          <w:sz w:val="22"/>
          <w:szCs w:val="22"/>
          <w:lang w:val="es-PE"/>
        </w:rPr>
        <w:t>mediante materiales didácticos accesibles y charlas participativas construidas desde un enfoque intercultural. A ello se sumaron mecanismos permanentes de escucha, como</w:t>
      </w:r>
      <w:r>
        <w:rPr>
          <w:rFonts w:ascii="Arial" w:hAnsi="Arial" w:cs="Arial"/>
          <w:bCs/>
          <w:sz w:val="22"/>
          <w:szCs w:val="22"/>
          <w:lang w:val="es-PE"/>
        </w:rPr>
        <w:t xml:space="preserve"> los</w:t>
      </w:r>
      <w:r w:rsidRPr="00252B85">
        <w:rPr>
          <w:rFonts w:ascii="Arial" w:hAnsi="Arial" w:cs="Arial"/>
          <w:bCs/>
          <w:sz w:val="22"/>
          <w:szCs w:val="22"/>
          <w:lang w:val="es-PE"/>
        </w:rPr>
        <w:t xml:space="preserve"> buzones </w:t>
      </w:r>
      <w:r>
        <w:rPr>
          <w:rFonts w:ascii="Arial" w:hAnsi="Arial" w:cs="Arial"/>
          <w:bCs/>
          <w:sz w:val="22"/>
          <w:szCs w:val="22"/>
          <w:lang w:val="es-PE"/>
        </w:rPr>
        <w:t xml:space="preserve">de sugerencia </w:t>
      </w:r>
      <w:r w:rsidRPr="00252B85">
        <w:rPr>
          <w:rFonts w:ascii="Arial" w:hAnsi="Arial" w:cs="Arial"/>
          <w:bCs/>
          <w:sz w:val="22"/>
          <w:szCs w:val="22"/>
          <w:lang w:val="es-PE"/>
        </w:rPr>
        <w:t xml:space="preserve">y </w:t>
      </w:r>
      <w:r>
        <w:rPr>
          <w:rFonts w:ascii="Arial" w:hAnsi="Arial" w:cs="Arial"/>
          <w:bCs/>
          <w:sz w:val="22"/>
          <w:szCs w:val="22"/>
          <w:lang w:val="es-PE"/>
        </w:rPr>
        <w:t xml:space="preserve">el </w:t>
      </w:r>
      <w:r w:rsidRPr="00252B85">
        <w:rPr>
          <w:rFonts w:ascii="Arial" w:hAnsi="Arial" w:cs="Arial"/>
          <w:bCs/>
          <w:sz w:val="22"/>
          <w:szCs w:val="22"/>
          <w:lang w:val="es-PE"/>
        </w:rPr>
        <w:t xml:space="preserve">canal de mensajería directa, que no solo sirvieron para informar, sino para construir confianza y desmontar percepciones erróneas, como la expectativa de tarifas eléctricas reducidas. </w:t>
      </w:r>
      <w:r>
        <w:rPr>
          <w:rFonts w:ascii="Arial" w:hAnsi="Arial" w:cs="Arial"/>
          <w:bCs/>
          <w:sz w:val="22"/>
          <w:szCs w:val="22"/>
          <w:lang w:val="es-PE"/>
        </w:rPr>
        <w:t>También evitó</w:t>
      </w:r>
      <w:r w:rsidRPr="00252B85">
        <w:rPr>
          <w:rFonts w:ascii="Arial" w:hAnsi="Arial" w:cs="Arial"/>
          <w:bCs/>
          <w:sz w:val="22"/>
          <w:szCs w:val="22"/>
          <w:lang w:val="es-PE"/>
        </w:rPr>
        <w:t xml:space="preserve"> la generación de conflictos ambientales, </w:t>
      </w:r>
      <w:r>
        <w:rPr>
          <w:rFonts w:ascii="Arial" w:hAnsi="Arial" w:cs="Arial"/>
          <w:bCs/>
          <w:sz w:val="22"/>
          <w:szCs w:val="22"/>
          <w:lang w:val="es-PE"/>
        </w:rPr>
        <w:t>lo que se evidencia en</w:t>
      </w:r>
      <w:r w:rsidRPr="00252B85">
        <w:rPr>
          <w:rFonts w:ascii="Arial" w:hAnsi="Arial" w:cs="Arial"/>
          <w:bCs/>
          <w:sz w:val="22"/>
          <w:szCs w:val="22"/>
          <w:lang w:val="es-PE"/>
        </w:rPr>
        <w:t xml:space="preserve"> la ausencia de denuncias formales ante OEFA o</w:t>
      </w:r>
      <w:r>
        <w:rPr>
          <w:rFonts w:ascii="Arial" w:hAnsi="Arial" w:cs="Arial"/>
          <w:bCs/>
          <w:sz w:val="22"/>
          <w:szCs w:val="22"/>
          <w:lang w:val="es-PE"/>
        </w:rPr>
        <w:t xml:space="preserve"> la</w:t>
      </w:r>
      <w:r w:rsidRPr="00252B85">
        <w:rPr>
          <w:rFonts w:ascii="Arial" w:hAnsi="Arial" w:cs="Arial"/>
          <w:bCs/>
          <w:sz w:val="22"/>
          <w:szCs w:val="22"/>
          <w:lang w:val="es-PE"/>
        </w:rPr>
        <w:t xml:space="preserve"> fiscalización ambiental durante el proceso constructivo</w:t>
      </w:r>
      <w:r>
        <w:rPr>
          <w:rFonts w:ascii="Arial" w:hAnsi="Arial" w:cs="Arial"/>
          <w:bCs/>
          <w:sz w:val="22"/>
          <w:szCs w:val="22"/>
          <w:lang w:val="es-PE"/>
        </w:rPr>
        <w:t xml:space="preserve"> a causa de malestar en la población</w:t>
      </w:r>
      <w:r w:rsidRPr="00252B85">
        <w:rPr>
          <w:rFonts w:ascii="Arial" w:hAnsi="Arial" w:cs="Arial"/>
          <w:bCs/>
          <w:sz w:val="22"/>
          <w:szCs w:val="22"/>
          <w:lang w:val="es-PE"/>
        </w:rPr>
        <w:t>.</w:t>
      </w:r>
      <w:r>
        <w:rPr>
          <w:rFonts w:ascii="Arial" w:hAnsi="Arial" w:cs="Arial"/>
          <w:bCs/>
          <w:sz w:val="22"/>
          <w:szCs w:val="22"/>
          <w:lang w:val="es-PE"/>
        </w:rPr>
        <w:t xml:space="preserve"> Actuamos con empatía y diligencia para anticiparnos a cual rumor o mala interpretación, ello considerando también que el sindicato de construcción civil hurgaba en búsqueda de supuestos incumplimientos para presionar al proyecto.</w:t>
      </w:r>
      <w:r w:rsidRPr="00252B85">
        <w:rPr>
          <w:rFonts w:ascii="Arial" w:hAnsi="Arial" w:cs="Arial"/>
          <w:bCs/>
          <w:sz w:val="22"/>
          <w:szCs w:val="22"/>
          <w:lang w:val="es-PE"/>
        </w:rPr>
        <w:t xml:space="preserve"> </w:t>
      </w:r>
      <w:r>
        <w:rPr>
          <w:rFonts w:ascii="Arial" w:hAnsi="Arial" w:cs="Arial"/>
          <w:bCs/>
          <w:sz w:val="22"/>
          <w:szCs w:val="22"/>
          <w:lang w:val="es-PE"/>
        </w:rPr>
        <w:t>El enfoque utilizado</w:t>
      </w:r>
      <w:r w:rsidRPr="00252B85">
        <w:rPr>
          <w:rFonts w:ascii="Arial" w:hAnsi="Arial" w:cs="Arial"/>
          <w:bCs/>
          <w:sz w:val="22"/>
          <w:szCs w:val="22"/>
          <w:lang w:val="es-PE"/>
        </w:rPr>
        <w:t xml:space="preserve"> transformó la comunicación en una herramienta de gestión, alineada al enfoque de Tufte (2017), que plantea que el cambio social no se logra con mensajes verticales, sino con procesos relacionales donde la comunidad se siente parte de la narrativa del proyecto</w:t>
      </w:r>
      <w:r>
        <w:rPr>
          <w:rFonts w:ascii="Arial" w:hAnsi="Arial" w:cs="Arial"/>
          <w:bCs/>
          <w:sz w:val="22"/>
          <w:szCs w:val="22"/>
          <w:lang w:val="es-PE"/>
        </w:rPr>
        <w:t xml:space="preserve">, mientras que la comunicación es </w:t>
      </w:r>
      <w:r w:rsidRPr="00252B85">
        <w:rPr>
          <w:rFonts w:ascii="Arial" w:hAnsi="Arial" w:cs="Arial"/>
          <w:bCs/>
          <w:sz w:val="22"/>
          <w:szCs w:val="22"/>
          <w:lang w:val="es-PE"/>
        </w:rPr>
        <w:t xml:space="preserve">herramienta de gobernanza local y no solo </w:t>
      </w:r>
      <w:r>
        <w:rPr>
          <w:rFonts w:ascii="Arial" w:hAnsi="Arial" w:cs="Arial"/>
          <w:bCs/>
          <w:sz w:val="22"/>
          <w:szCs w:val="22"/>
          <w:lang w:val="es-PE"/>
        </w:rPr>
        <w:t>u</w:t>
      </w:r>
      <w:r w:rsidRPr="00252B85">
        <w:rPr>
          <w:rFonts w:ascii="Arial" w:hAnsi="Arial" w:cs="Arial"/>
          <w:bCs/>
          <w:sz w:val="22"/>
          <w:szCs w:val="22"/>
          <w:lang w:val="es-PE"/>
        </w:rPr>
        <w:t>n medio de difusión.</w:t>
      </w:r>
    </w:p>
    <w:p w14:paraId="6F6CC57D" w14:textId="77777777" w:rsidR="00252B85" w:rsidRPr="00252B85" w:rsidRDefault="00252B85" w:rsidP="00252B85">
      <w:pPr>
        <w:jc w:val="both"/>
        <w:rPr>
          <w:rFonts w:ascii="Arial" w:hAnsi="Arial" w:cs="Arial"/>
          <w:bCs/>
          <w:sz w:val="22"/>
          <w:szCs w:val="22"/>
          <w:lang w:val="es-PE"/>
        </w:rPr>
      </w:pPr>
    </w:p>
    <w:p w14:paraId="3AE144F8" w14:textId="688FC688" w:rsidR="00252B85" w:rsidRPr="00252B85" w:rsidRDefault="00252B85" w:rsidP="00252B85">
      <w:pPr>
        <w:jc w:val="both"/>
        <w:rPr>
          <w:rFonts w:ascii="Arial" w:hAnsi="Arial" w:cs="Arial"/>
          <w:bCs/>
          <w:sz w:val="22"/>
          <w:szCs w:val="22"/>
          <w:lang w:val="es-PE"/>
        </w:rPr>
      </w:pPr>
      <w:r w:rsidRPr="00252B85">
        <w:rPr>
          <w:rFonts w:ascii="Arial" w:hAnsi="Arial" w:cs="Arial"/>
          <w:bCs/>
          <w:sz w:val="22"/>
          <w:szCs w:val="22"/>
          <w:lang w:val="es-PE"/>
        </w:rPr>
        <w:t xml:space="preserve">Desde el enfoque de innovación social, San Martín rompió con el formato tradicional de “programas por cumplir” y apostó por una planificación escalonada y adaptativa. Se priorizó inicialmente la gestión del empleo y la comunicación comunitaria, para luego activar los programas de desarrollo social una vez estabilizadas las relaciones con los actores críticos. Esta secuencia permitió abordar con mayor eficacia los ciclos de tensión y calma propios de la fase de construcción, y respondió a la lógica del territorio, donde el empleo era temporal y la percepción comunitaria muy volátil. En lugar de ejecutar </w:t>
      </w:r>
      <w:r w:rsidRPr="00252B85">
        <w:rPr>
          <w:rFonts w:ascii="Arial" w:hAnsi="Arial" w:cs="Arial"/>
          <w:bCs/>
          <w:sz w:val="22"/>
          <w:szCs w:val="22"/>
          <w:lang w:val="es-PE"/>
        </w:rPr>
        <w:lastRenderedPageBreak/>
        <w:t>intervenciones asistencialistas</w:t>
      </w:r>
      <w:r w:rsidR="0066746B">
        <w:rPr>
          <w:rFonts w:ascii="Arial" w:hAnsi="Arial" w:cs="Arial"/>
          <w:bCs/>
          <w:sz w:val="22"/>
          <w:szCs w:val="22"/>
          <w:lang w:val="es-PE"/>
        </w:rPr>
        <w:t xml:space="preserve">, </w:t>
      </w:r>
      <w:r w:rsidRPr="00252B85">
        <w:rPr>
          <w:rFonts w:ascii="Arial" w:hAnsi="Arial" w:cs="Arial"/>
          <w:bCs/>
          <w:sz w:val="22"/>
          <w:szCs w:val="22"/>
          <w:lang w:val="es-PE"/>
        </w:rPr>
        <w:t>como donaciones sin sostenibilidad o talleres simbólicos</w:t>
      </w:r>
      <w:r w:rsidR="0066746B">
        <w:rPr>
          <w:rFonts w:ascii="Arial" w:hAnsi="Arial" w:cs="Arial"/>
          <w:bCs/>
          <w:sz w:val="22"/>
          <w:szCs w:val="22"/>
          <w:lang w:val="es-PE"/>
        </w:rPr>
        <w:t>,</w:t>
      </w:r>
      <w:r w:rsidRPr="00252B85">
        <w:rPr>
          <w:rFonts w:ascii="Arial" w:hAnsi="Arial" w:cs="Arial"/>
          <w:bCs/>
          <w:sz w:val="22"/>
          <w:szCs w:val="22"/>
          <w:lang w:val="es-PE"/>
        </w:rPr>
        <w:t xml:space="preserve"> se diseñaron acciones con potencial de transformación: fortalecer capacidades municipales en temas ambientales, articular contenidos educativos con el currículo escolar, reaprovechar residuos del proyecto con lógica de economía circular, e introducir tecnologías sostenibles en las actividades productivas locales.</w:t>
      </w:r>
    </w:p>
    <w:p w14:paraId="6F1FC1F8" w14:textId="77777777" w:rsidR="00252B85" w:rsidRPr="00252B85" w:rsidRDefault="00252B85" w:rsidP="00252B85">
      <w:pPr>
        <w:jc w:val="both"/>
        <w:rPr>
          <w:rFonts w:ascii="Arial" w:hAnsi="Arial" w:cs="Arial"/>
          <w:bCs/>
          <w:sz w:val="22"/>
          <w:szCs w:val="22"/>
          <w:lang w:val="es-PE"/>
        </w:rPr>
      </w:pPr>
    </w:p>
    <w:p w14:paraId="28C87C93" w14:textId="30614C2B" w:rsidR="007D0CBA" w:rsidRDefault="00252B85" w:rsidP="00252B85">
      <w:pPr>
        <w:jc w:val="both"/>
        <w:rPr>
          <w:rFonts w:ascii="Arial" w:hAnsi="Arial" w:cs="Arial"/>
          <w:bCs/>
          <w:sz w:val="22"/>
          <w:szCs w:val="22"/>
          <w:lang w:val="es-PE"/>
        </w:rPr>
      </w:pPr>
      <w:r w:rsidRPr="00252B85">
        <w:rPr>
          <w:rFonts w:ascii="Arial" w:hAnsi="Arial" w:cs="Arial"/>
          <w:bCs/>
          <w:sz w:val="22"/>
          <w:szCs w:val="22"/>
          <w:lang w:val="es-PE"/>
        </w:rPr>
        <w:t>Lo distintivo fue asumir la gestión social como eje estructural del proyecto y no como un anexo de cumplimiento. Se evitó el enfoque reactivo o filantrópico, y se trabajó desde el inicio con una visión de valor compartido (Porter y Kramer, 2011), buscando que cada intervención generara beneficios simultáneos para la empresa y la comunidad. La lógica detrás fue clara: no se trataba solo de invertir recursos, sino de construir legitimidad desde la escucha activa, el respeto al conocimiento local y la articulación con actores legítimos. En ese sentido, el trabajo con escuelas no se limitó a dar charlas, sino a generar vocaciones e internalizar mensajes sobre energía limpia en los propios estudiantes. La fabricación de mobiliario con residuos no fue una acción puntual, sino una decisión que integró principios de economía circular y alineó social y ambientalmente la intervención. Estas decisiones no solo generaron reconocimiento comunitario, sino que sembraron capacidades reales en el territorio para asumir nuevos retos más allá del ciclo de vida del proyecto.</w:t>
      </w:r>
    </w:p>
    <w:p w14:paraId="603FA1EC" w14:textId="77777777" w:rsidR="0066746B" w:rsidRPr="00800D1B" w:rsidRDefault="0066746B" w:rsidP="00252B85">
      <w:pPr>
        <w:jc w:val="both"/>
        <w:rPr>
          <w:rFonts w:ascii="Arial" w:hAnsi="Arial" w:cs="Arial"/>
          <w:bCs/>
          <w:sz w:val="22"/>
          <w:szCs w:val="22"/>
          <w:lang w:val="es-PE"/>
        </w:rPr>
      </w:pPr>
    </w:p>
    <w:p w14:paraId="7221B982" w14:textId="37F54753" w:rsidR="00800D1B" w:rsidRDefault="00800D1B" w:rsidP="00800D1B">
      <w:pPr>
        <w:jc w:val="both"/>
        <w:rPr>
          <w:rFonts w:ascii="Arial" w:hAnsi="Arial" w:cs="Arial"/>
          <w:b/>
          <w:sz w:val="22"/>
          <w:szCs w:val="22"/>
          <w:lang w:val="es-PE"/>
        </w:rPr>
      </w:pPr>
      <w:r w:rsidRPr="007D0CBA">
        <w:rPr>
          <w:rFonts w:ascii="Arial" w:hAnsi="Arial" w:cs="Arial"/>
          <w:b/>
          <w:sz w:val="22"/>
          <w:szCs w:val="22"/>
          <w:lang w:val="es-PE"/>
        </w:rPr>
        <w:t>4.</w:t>
      </w:r>
      <w:r w:rsidR="007D0CBA">
        <w:rPr>
          <w:rFonts w:ascii="Arial" w:hAnsi="Arial" w:cs="Arial"/>
          <w:b/>
          <w:sz w:val="22"/>
          <w:szCs w:val="22"/>
          <w:lang w:val="es-PE"/>
        </w:rPr>
        <w:t xml:space="preserve"> </w:t>
      </w:r>
      <w:r w:rsidRPr="007D0CBA">
        <w:rPr>
          <w:rFonts w:ascii="Arial" w:hAnsi="Arial" w:cs="Arial"/>
          <w:b/>
          <w:sz w:val="22"/>
          <w:szCs w:val="22"/>
          <w:lang w:val="es-PE"/>
        </w:rPr>
        <w:t>Conclusiones</w:t>
      </w:r>
    </w:p>
    <w:p w14:paraId="30C13956" w14:textId="77777777" w:rsidR="007D0CBA" w:rsidRPr="007D0CBA" w:rsidRDefault="007D0CBA" w:rsidP="00800D1B">
      <w:pPr>
        <w:jc w:val="both"/>
        <w:rPr>
          <w:rFonts w:ascii="Arial" w:hAnsi="Arial" w:cs="Arial"/>
          <w:b/>
          <w:sz w:val="22"/>
          <w:szCs w:val="22"/>
          <w:lang w:val="es-PE"/>
        </w:rPr>
      </w:pPr>
    </w:p>
    <w:p w14:paraId="2DB3EB93" w14:textId="6F958254" w:rsidR="004B7115" w:rsidRPr="004B7115" w:rsidRDefault="004B7115" w:rsidP="004B7115">
      <w:pPr>
        <w:jc w:val="both"/>
        <w:rPr>
          <w:rFonts w:ascii="Arial" w:hAnsi="Arial" w:cs="Arial"/>
          <w:bCs/>
          <w:sz w:val="22"/>
          <w:szCs w:val="22"/>
          <w:lang w:val="es-PE"/>
        </w:rPr>
      </w:pPr>
      <w:r w:rsidRPr="004B7115">
        <w:rPr>
          <w:rFonts w:ascii="Arial" w:hAnsi="Arial" w:cs="Arial"/>
          <w:bCs/>
          <w:sz w:val="22"/>
          <w:szCs w:val="22"/>
          <w:lang w:val="es-PE"/>
        </w:rPr>
        <w:t xml:space="preserve">La experiencia de gestión social en la Central Solar </w:t>
      </w:r>
      <w:r>
        <w:rPr>
          <w:rFonts w:ascii="Arial" w:hAnsi="Arial" w:cs="Arial"/>
          <w:bCs/>
          <w:sz w:val="22"/>
          <w:szCs w:val="22"/>
          <w:lang w:val="es-PE"/>
        </w:rPr>
        <w:t xml:space="preserve">Fotovoltaica </w:t>
      </w:r>
      <w:r w:rsidRPr="004B7115">
        <w:rPr>
          <w:rFonts w:ascii="Arial" w:hAnsi="Arial" w:cs="Arial"/>
          <w:bCs/>
          <w:sz w:val="22"/>
          <w:szCs w:val="22"/>
          <w:lang w:val="es-PE"/>
        </w:rPr>
        <w:t>San Martín demuestra que los proyectos de energía renovable pueden convertirse en verdaderos laboratorios de innovación social si se los concibe desde una lógica estratégica y no meramente instrumental. A diferencia de enfoques tradicionales centrados en mitigar impactos o cumplir formalidades, aquí se entendió que el desafío no era solamente evitar conflictos, sino construir legitimidad, transformar percepciones y fortalecer capacidades locales para que el desarrollo permanezca más allá del ciclo del proyecto. Esto implicó gestionar no solo con recursos, sino con inteligencia contextual, sentido político y sensibilidad cultural.</w:t>
      </w:r>
    </w:p>
    <w:p w14:paraId="6A614077" w14:textId="77777777" w:rsidR="004B7115" w:rsidRPr="004B7115" w:rsidRDefault="004B7115" w:rsidP="004B7115">
      <w:pPr>
        <w:jc w:val="both"/>
        <w:rPr>
          <w:rFonts w:ascii="Arial" w:hAnsi="Arial" w:cs="Arial"/>
          <w:bCs/>
          <w:sz w:val="22"/>
          <w:szCs w:val="22"/>
          <w:lang w:val="es-PE"/>
        </w:rPr>
      </w:pPr>
    </w:p>
    <w:p w14:paraId="2FF3074F" w14:textId="77777777" w:rsidR="004B7115" w:rsidRPr="004B7115" w:rsidRDefault="004B7115" w:rsidP="004B7115">
      <w:pPr>
        <w:jc w:val="both"/>
        <w:rPr>
          <w:rFonts w:ascii="Arial" w:hAnsi="Arial" w:cs="Arial"/>
          <w:bCs/>
          <w:sz w:val="22"/>
          <w:szCs w:val="22"/>
          <w:lang w:val="es-PE"/>
        </w:rPr>
      </w:pPr>
      <w:r w:rsidRPr="004B7115">
        <w:rPr>
          <w:rFonts w:ascii="Arial" w:hAnsi="Arial" w:cs="Arial"/>
          <w:bCs/>
          <w:sz w:val="22"/>
          <w:szCs w:val="22"/>
          <w:lang w:val="es-PE"/>
        </w:rPr>
        <w:t xml:space="preserve">Uno de los aprendizajes más importantes es que la aceptación social no se decreta ni se compra: se construye. Y se construye desde la coherencia entre el discurso y la práctica, desde la escucha activa, la reciprocidad y el reconocimiento del otro como interlocutor válido. Las estrategias más efectivas no fueron las que prometieron más, sino </w:t>
      </w:r>
      <w:r w:rsidRPr="004B7115">
        <w:rPr>
          <w:rFonts w:ascii="Arial" w:hAnsi="Arial" w:cs="Arial"/>
          <w:bCs/>
          <w:sz w:val="22"/>
          <w:szCs w:val="22"/>
          <w:lang w:val="es-PE"/>
        </w:rPr>
        <w:t>las que supieron leer mejor el territorio y actuar con oportunidad. La planificación escalonada, el uso estratégico de los instrumentos de gestión ambiental, el empoderamiento de líderes locales y la articulación con actores educativos e institucionales locales, mostraron que la gobernanza de un proyecto se juega tanto en el aula y en el campo, como en la sala de control.</w:t>
      </w:r>
    </w:p>
    <w:p w14:paraId="196C3D6A" w14:textId="77777777" w:rsidR="004B7115" w:rsidRPr="004B7115" w:rsidRDefault="004B7115" w:rsidP="004B7115">
      <w:pPr>
        <w:jc w:val="both"/>
        <w:rPr>
          <w:rFonts w:ascii="Arial" w:hAnsi="Arial" w:cs="Arial"/>
          <w:bCs/>
          <w:sz w:val="22"/>
          <w:szCs w:val="22"/>
          <w:lang w:val="es-PE"/>
        </w:rPr>
      </w:pPr>
    </w:p>
    <w:p w14:paraId="2CB1EDFD" w14:textId="687CCB92" w:rsidR="00A534CB" w:rsidRDefault="004B7115" w:rsidP="004B7115">
      <w:pPr>
        <w:jc w:val="both"/>
        <w:rPr>
          <w:rFonts w:ascii="Arial" w:hAnsi="Arial" w:cs="Arial"/>
          <w:bCs/>
          <w:sz w:val="22"/>
          <w:szCs w:val="22"/>
          <w:lang w:val="es-PE"/>
        </w:rPr>
      </w:pPr>
      <w:r w:rsidRPr="004B7115">
        <w:rPr>
          <w:rFonts w:ascii="Arial" w:hAnsi="Arial" w:cs="Arial"/>
          <w:bCs/>
          <w:sz w:val="22"/>
          <w:szCs w:val="22"/>
          <w:lang w:val="es-PE"/>
        </w:rPr>
        <w:t>Finalmente, este caso nos deja una lección fundamental: no se trata de replicar recetas, sino de diseñar procesos vivos, adaptativos y pertinentes. La comunicación para el desarrollo, entendida no como técnica sino como enfoque ético y político, permite precisamente eso: intervenir desde el diálogo, promover la autonomía y generar transformaciones sostenibles. San Martín no solo es una planta que genera energía limpia; es un hito en cómo pensar la sostenibilidad desde una perspectiva relacional, donde empresa y comunidad dejan de estar en orillas opuestas y pueden, si se lo proponen, construir futuro en común.</w:t>
      </w:r>
    </w:p>
    <w:p w14:paraId="41000A5D" w14:textId="77777777" w:rsidR="004B7115" w:rsidRDefault="004B7115" w:rsidP="004B7115">
      <w:pPr>
        <w:jc w:val="both"/>
        <w:rPr>
          <w:rFonts w:ascii="Arial" w:hAnsi="Arial" w:cs="Arial"/>
          <w:bCs/>
          <w:sz w:val="22"/>
          <w:szCs w:val="22"/>
          <w:lang w:val="es-PE"/>
        </w:rPr>
      </w:pPr>
    </w:p>
    <w:p w14:paraId="0346E950" w14:textId="1A78498F" w:rsidR="006178C0" w:rsidRPr="000270E6" w:rsidRDefault="00645C9C" w:rsidP="006178C0">
      <w:pPr>
        <w:jc w:val="both"/>
        <w:rPr>
          <w:rFonts w:ascii="Arial" w:hAnsi="Arial" w:cs="Arial"/>
          <w:b/>
          <w:bCs/>
          <w:sz w:val="22"/>
          <w:szCs w:val="22"/>
          <w:lang w:val="es-PE"/>
        </w:rPr>
      </w:pPr>
      <w:r>
        <w:rPr>
          <w:rFonts w:ascii="Arial" w:hAnsi="Arial" w:cs="Arial"/>
          <w:b/>
          <w:bCs/>
          <w:sz w:val="22"/>
          <w:szCs w:val="22"/>
          <w:lang w:val="es-PE"/>
        </w:rPr>
        <w:t>5</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4171CC4F" w14:textId="4033B6CA" w:rsidR="00541ABB" w:rsidRPr="00541ABB" w:rsidRDefault="00541ABB" w:rsidP="00541ABB">
      <w:pPr>
        <w:ind w:left="142" w:hanging="142"/>
        <w:jc w:val="both"/>
        <w:rPr>
          <w:rFonts w:ascii="Arial" w:hAnsi="Arial" w:cs="Arial"/>
          <w:bCs/>
          <w:sz w:val="22"/>
          <w:szCs w:val="22"/>
          <w:lang w:val="es-PE"/>
        </w:rPr>
      </w:pPr>
      <w:r w:rsidRPr="00541ABB">
        <w:rPr>
          <w:rFonts w:ascii="Arial" w:hAnsi="Arial" w:cs="Arial"/>
          <w:bCs/>
          <w:sz w:val="22"/>
          <w:szCs w:val="22"/>
          <w:lang w:val="es-PE"/>
        </w:rPr>
        <w:t>ADI Perú. (2014). Hay unos 60 sindicatos que extorsionan en obras de construcción civil en Lima. ADI Perú. https://adiperu.pe/noticias/hay-unos-60-sindicatos-que-extorsionan-en-obras-de-construccion-civil-en-lima/.</w:t>
      </w:r>
    </w:p>
    <w:p w14:paraId="384C2CA7" w14:textId="77777777" w:rsidR="00087026" w:rsidRPr="00B73A0A" w:rsidRDefault="00087026" w:rsidP="00087026">
      <w:pPr>
        <w:ind w:left="142" w:hanging="142"/>
        <w:jc w:val="both"/>
        <w:rPr>
          <w:rFonts w:ascii="Arial" w:hAnsi="Arial" w:cs="Arial"/>
          <w:bCs/>
          <w:sz w:val="22"/>
          <w:szCs w:val="22"/>
          <w:lang w:val="en-US"/>
        </w:rPr>
      </w:pPr>
      <w:r w:rsidRPr="00AC3B9A">
        <w:rPr>
          <w:rFonts w:ascii="Arial" w:hAnsi="Arial" w:cs="Arial"/>
          <w:bCs/>
          <w:sz w:val="22"/>
          <w:szCs w:val="22"/>
          <w:lang w:val="en-US"/>
        </w:rPr>
        <w:t xml:space="preserve">Adomako, S., &amp; Tran, M. (2022). </w:t>
      </w:r>
      <w:r w:rsidRPr="00B73A0A">
        <w:rPr>
          <w:rFonts w:ascii="Arial" w:hAnsi="Arial" w:cs="Arial"/>
          <w:bCs/>
          <w:sz w:val="22"/>
          <w:szCs w:val="22"/>
          <w:lang w:val="en-US"/>
        </w:rPr>
        <w:t>Sustainable environmental strategy, firm competitiveness, and financial performance: Evidence from the mining industry. Resources Policy, 75, 102515. https://doi.org/10.1016/j.resourpol.2021.102515</w:t>
      </w:r>
    </w:p>
    <w:p w14:paraId="5D59C414"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Altamirano, A. (2020). The Importance of Paulo Freire to Communication for Development and Social Change. En Handbook of Communication for Development and Social Change (pp. 309–327). https://doi.org/10.1007/978-981-15-2014-3_76</w:t>
      </w:r>
    </w:p>
    <w:p w14:paraId="57C4230F" w14:textId="77777777" w:rsidR="00087026" w:rsidRPr="00B73A0A" w:rsidRDefault="00087026" w:rsidP="00087026">
      <w:pPr>
        <w:ind w:left="142" w:hanging="142"/>
        <w:jc w:val="both"/>
        <w:rPr>
          <w:rFonts w:ascii="Arial" w:hAnsi="Arial" w:cs="Arial"/>
          <w:bCs/>
          <w:sz w:val="22"/>
          <w:szCs w:val="22"/>
          <w:lang w:val="en-US"/>
        </w:rPr>
      </w:pPr>
      <w:r w:rsidRPr="00722E56">
        <w:rPr>
          <w:rFonts w:ascii="Arial" w:hAnsi="Arial" w:cs="Arial"/>
          <w:bCs/>
          <w:sz w:val="22"/>
          <w:szCs w:val="22"/>
          <w:lang w:val="es-PE"/>
        </w:rPr>
        <w:t xml:space="preserve">Becerra-Vicario, R., León-Gómez, A., Gutiérrez-Ruiz, A., &amp; Fernández-Gámez, M. (2020). </w:t>
      </w:r>
      <w:r w:rsidRPr="00B73A0A">
        <w:rPr>
          <w:rFonts w:ascii="Arial" w:hAnsi="Arial" w:cs="Arial"/>
          <w:bCs/>
          <w:sz w:val="22"/>
          <w:szCs w:val="22"/>
          <w:lang w:val="en-US"/>
        </w:rPr>
        <w:t xml:space="preserve">Sustainable development through corporative social responsibility, corporative philanthropy and creating shared value. </w:t>
      </w:r>
      <w:proofErr w:type="spellStart"/>
      <w:r w:rsidRPr="00B73A0A">
        <w:rPr>
          <w:rFonts w:ascii="Arial" w:hAnsi="Arial" w:cs="Arial"/>
          <w:bCs/>
          <w:sz w:val="22"/>
          <w:szCs w:val="22"/>
          <w:lang w:val="en-US"/>
        </w:rPr>
        <w:t>Technium</w:t>
      </w:r>
      <w:proofErr w:type="spellEnd"/>
      <w:r w:rsidRPr="00B73A0A">
        <w:rPr>
          <w:rFonts w:ascii="Arial" w:hAnsi="Arial" w:cs="Arial"/>
          <w:bCs/>
          <w:sz w:val="22"/>
          <w:szCs w:val="22"/>
          <w:lang w:val="en-US"/>
        </w:rPr>
        <w:t xml:space="preserve"> Social Sciences Journal, 10(1), 287–301. https://doi.org/10.47577/tssj.v10i1.1325</w:t>
      </w:r>
    </w:p>
    <w:p w14:paraId="1A81D097"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Business &amp; Human Rights Resource Centre. (2025). Peru: Protesters demand greater benefits from Las Bambas Mine. https://www.business-humanrights.org/en/latest-news/peru-protesters-demand-greater-benefits-from-las-bambas-mine/</w:t>
      </w:r>
    </w:p>
    <w:p w14:paraId="012BF80B"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Chen, L. (2016). Realizing the Precautionary Principle in Due Diligence. Dalhousie Journal of Legal Studies, 25, 1–23.</w:t>
      </w:r>
    </w:p>
    <w:p w14:paraId="0ED7608B" w14:textId="77777777" w:rsidR="00087026" w:rsidRPr="00B73A0A" w:rsidRDefault="00087026" w:rsidP="00087026">
      <w:pPr>
        <w:ind w:left="142" w:hanging="142"/>
        <w:jc w:val="both"/>
        <w:rPr>
          <w:rFonts w:ascii="Arial" w:hAnsi="Arial" w:cs="Arial"/>
          <w:bCs/>
          <w:sz w:val="22"/>
          <w:szCs w:val="22"/>
          <w:lang w:val="en-US"/>
        </w:rPr>
      </w:pPr>
      <w:proofErr w:type="spellStart"/>
      <w:r w:rsidRPr="00B73A0A">
        <w:rPr>
          <w:rFonts w:ascii="Arial" w:hAnsi="Arial" w:cs="Arial"/>
          <w:bCs/>
          <w:sz w:val="22"/>
          <w:szCs w:val="22"/>
          <w:lang w:val="en-US"/>
        </w:rPr>
        <w:lastRenderedPageBreak/>
        <w:t>CooperAcción</w:t>
      </w:r>
      <w:proofErr w:type="spellEnd"/>
      <w:r w:rsidRPr="00B73A0A">
        <w:rPr>
          <w:rFonts w:ascii="Arial" w:hAnsi="Arial" w:cs="Arial"/>
          <w:bCs/>
          <w:sz w:val="22"/>
          <w:szCs w:val="22"/>
          <w:lang w:val="en-US"/>
        </w:rPr>
        <w:t xml:space="preserve">. (2025). Economía y </w:t>
      </w:r>
      <w:proofErr w:type="spellStart"/>
      <w:r w:rsidRPr="00B73A0A">
        <w:rPr>
          <w:rFonts w:ascii="Arial" w:hAnsi="Arial" w:cs="Arial"/>
          <w:bCs/>
          <w:sz w:val="22"/>
          <w:szCs w:val="22"/>
          <w:lang w:val="en-US"/>
        </w:rPr>
        <w:t>minería</w:t>
      </w:r>
      <w:proofErr w:type="spellEnd"/>
      <w:r w:rsidRPr="00B73A0A">
        <w:rPr>
          <w:rFonts w:ascii="Arial" w:hAnsi="Arial" w:cs="Arial"/>
          <w:bCs/>
          <w:sz w:val="22"/>
          <w:szCs w:val="22"/>
          <w:lang w:val="en-US"/>
        </w:rPr>
        <w:t>. https://cooperaccion.org.pe/economia-y-mineria-22/</w:t>
      </w:r>
    </w:p>
    <w:p w14:paraId="779F5DDB" w14:textId="77777777" w:rsidR="00087026" w:rsidRPr="00B73A0A" w:rsidRDefault="00087026" w:rsidP="00087026">
      <w:pPr>
        <w:ind w:left="142" w:hanging="142"/>
        <w:jc w:val="both"/>
        <w:rPr>
          <w:rFonts w:ascii="Arial" w:hAnsi="Arial" w:cs="Arial"/>
          <w:bCs/>
          <w:sz w:val="22"/>
          <w:szCs w:val="22"/>
          <w:lang w:val="en-US"/>
        </w:rPr>
      </w:pPr>
      <w:proofErr w:type="spellStart"/>
      <w:r w:rsidRPr="00722E56">
        <w:rPr>
          <w:rFonts w:ascii="Arial" w:hAnsi="Arial" w:cs="Arial"/>
          <w:bCs/>
          <w:sz w:val="22"/>
          <w:szCs w:val="22"/>
          <w:lang w:val="es-PE"/>
        </w:rPr>
        <w:t>Dall-Orsoletta</w:t>
      </w:r>
      <w:proofErr w:type="spellEnd"/>
      <w:r w:rsidRPr="00722E56">
        <w:rPr>
          <w:rFonts w:ascii="Arial" w:hAnsi="Arial" w:cs="Arial"/>
          <w:bCs/>
          <w:sz w:val="22"/>
          <w:szCs w:val="22"/>
          <w:lang w:val="es-PE"/>
        </w:rPr>
        <w:t xml:space="preserve">, A., </w:t>
      </w:r>
      <w:proofErr w:type="spellStart"/>
      <w:r w:rsidRPr="00722E56">
        <w:rPr>
          <w:rFonts w:ascii="Arial" w:hAnsi="Arial" w:cs="Arial"/>
          <w:bCs/>
          <w:sz w:val="22"/>
          <w:szCs w:val="22"/>
          <w:lang w:val="es-PE"/>
        </w:rPr>
        <w:t>Verrier</w:t>
      </w:r>
      <w:proofErr w:type="spellEnd"/>
      <w:r w:rsidRPr="00722E56">
        <w:rPr>
          <w:rFonts w:ascii="Arial" w:hAnsi="Arial" w:cs="Arial"/>
          <w:bCs/>
          <w:sz w:val="22"/>
          <w:szCs w:val="22"/>
          <w:lang w:val="es-PE"/>
        </w:rPr>
        <w:t xml:space="preserve">, B., Uriona-Maldonado, M., </w:t>
      </w:r>
      <w:proofErr w:type="spellStart"/>
      <w:r w:rsidRPr="00722E56">
        <w:rPr>
          <w:rFonts w:ascii="Arial" w:hAnsi="Arial" w:cs="Arial"/>
          <w:bCs/>
          <w:sz w:val="22"/>
          <w:szCs w:val="22"/>
          <w:lang w:val="es-PE"/>
        </w:rPr>
        <w:t>Dranka</w:t>
      </w:r>
      <w:proofErr w:type="spellEnd"/>
      <w:r w:rsidRPr="00722E56">
        <w:rPr>
          <w:rFonts w:ascii="Arial" w:hAnsi="Arial" w:cs="Arial"/>
          <w:bCs/>
          <w:sz w:val="22"/>
          <w:szCs w:val="22"/>
          <w:lang w:val="es-PE"/>
        </w:rPr>
        <w:t xml:space="preserve">, G., &amp; Ferreira, P. (2025). </w:t>
      </w:r>
      <w:r w:rsidRPr="00B73A0A">
        <w:rPr>
          <w:rFonts w:ascii="Arial" w:hAnsi="Arial" w:cs="Arial"/>
          <w:bCs/>
          <w:sz w:val="22"/>
          <w:szCs w:val="22"/>
          <w:lang w:val="en-US"/>
        </w:rPr>
        <w:t>How does social acceptance affect transition minerals production in Europe? A system dynamics approach and case study in Portugal. The Extractive Industries and Society, 13, 101625. https://doi.org/10.1016/j.exis.2025.101625</w:t>
      </w:r>
    </w:p>
    <w:p w14:paraId="37E08A17"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Davis, K. (1990). Five Propositions for Social Responsibility. En Hoffman, W., &amp; Mills, J. (Eds.), Business Ethics. New Jersey: Prentice Hall.</w:t>
      </w:r>
    </w:p>
    <w:p w14:paraId="3C1E6966" w14:textId="77777777" w:rsidR="00087026" w:rsidRPr="00AC3B9A" w:rsidRDefault="00087026" w:rsidP="00087026">
      <w:pPr>
        <w:ind w:left="142" w:hanging="142"/>
        <w:jc w:val="both"/>
        <w:rPr>
          <w:rFonts w:ascii="Arial" w:hAnsi="Arial" w:cs="Arial"/>
          <w:bCs/>
          <w:sz w:val="22"/>
          <w:szCs w:val="22"/>
          <w:lang w:val="es-PE"/>
        </w:rPr>
      </w:pPr>
      <w:r w:rsidRPr="00B73A0A">
        <w:rPr>
          <w:rFonts w:ascii="Arial" w:hAnsi="Arial" w:cs="Arial"/>
          <w:bCs/>
          <w:sz w:val="22"/>
          <w:szCs w:val="22"/>
          <w:lang w:val="en-US"/>
        </w:rPr>
        <w:t xml:space="preserve">Dearing, J. W. (2009). Applying Diffusion of Innovation Theory to Intervention Development. </w:t>
      </w:r>
      <w:proofErr w:type="spellStart"/>
      <w:r w:rsidRPr="00AC3B9A">
        <w:rPr>
          <w:rFonts w:ascii="Arial" w:hAnsi="Arial" w:cs="Arial"/>
          <w:bCs/>
          <w:sz w:val="22"/>
          <w:szCs w:val="22"/>
          <w:lang w:val="es-PE"/>
        </w:rPr>
        <w:t>Research</w:t>
      </w:r>
      <w:proofErr w:type="spellEnd"/>
      <w:r w:rsidRPr="00AC3B9A">
        <w:rPr>
          <w:rFonts w:ascii="Arial" w:hAnsi="Arial" w:cs="Arial"/>
          <w:bCs/>
          <w:sz w:val="22"/>
          <w:szCs w:val="22"/>
          <w:lang w:val="es-PE"/>
        </w:rPr>
        <w:t xml:space="preserve"> </w:t>
      </w:r>
      <w:proofErr w:type="spellStart"/>
      <w:r w:rsidRPr="00AC3B9A">
        <w:rPr>
          <w:rFonts w:ascii="Arial" w:hAnsi="Arial" w:cs="Arial"/>
          <w:bCs/>
          <w:sz w:val="22"/>
          <w:szCs w:val="22"/>
          <w:lang w:val="es-PE"/>
        </w:rPr>
        <w:t>on</w:t>
      </w:r>
      <w:proofErr w:type="spellEnd"/>
      <w:r w:rsidRPr="00AC3B9A">
        <w:rPr>
          <w:rFonts w:ascii="Arial" w:hAnsi="Arial" w:cs="Arial"/>
          <w:bCs/>
          <w:sz w:val="22"/>
          <w:szCs w:val="22"/>
          <w:lang w:val="es-PE"/>
        </w:rPr>
        <w:t xml:space="preserve"> Social </w:t>
      </w:r>
      <w:proofErr w:type="spellStart"/>
      <w:r w:rsidRPr="00AC3B9A">
        <w:rPr>
          <w:rFonts w:ascii="Arial" w:hAnsi="Arial" w:cs="Arial"/>
          <w:bCs/>
          <w:sz w:val="22"/>
          <w:szCs w:val="22"/>
          <w:lang w:val="es-PE"/>
        </w:rPr>
        <w:t>Work</w:t>
      </w:r>
      <w:proofErr w:type="spellEnd"/>
      <w:r w:rsidRPr="00AC3B9A">
        <w:rPr>
          <w:rFonts w:ascii="Arial" w:hAnsi="Arial" w:cs="Arial"/>
          <w:bCs/>
          <w:sz w:val="22"/>
          <w:szCs w:val="22"/>
          <w:lang w:val="es-PE"/>
        </w:rPr>
        <w:t xml:space="preserve"> </w:t>
      </w:r>
      <w:proofErr w:type="spellStart"/>
      <w:r w:rsidRPr="00AC3B9A">
        <w:rPr>
          <w:rFonts w:ascii="Arial" w:hAnsi="Arial" w:cs="Arial"/>
          <w:bCs/>
          <w:sz w:val="22"/>
          <w:szCs w:val="22"/>
          <w:lang w:val="es-PE"/>
        </w:rPr>
        <w:t>Practice</w:t>
      </w:r>
      <w:proofErr w:type="spellEnd"/>
      <w:r w:rsidRPr="00AC3B9A">
        <w:rPr>
          <w:rFonts w:ascii="Arial" w:hAnsi="Arial" w:cs="Arial"/>
          <w:bCs/>
          <w:sz w:val="22"/>
          <w:szCs w:val="22"/>
          <w:lang w:val="es-PE"/>
        </w:rPr>
        <w:t>, 19(5), 503–518.</w:t>
      </w:r>
    </w:p>
    <w:p w14:paraId="75BE4E1C"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Defensoría del Pueblo. (2024). Reporte de conflictos sociales N.º 250. https://www.defensoria.gob.pe/wp-content/uploads/2025/01/Reporte-Conflictos-Sociales-250-Diciembre-2024.pdf</w:t>
      </w:r>
    </w:p>
    <w:p w14:paraId="20C78322"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 xml:space="preserve">Dwivedi, P., Dwivedi, A., Kumar, R., &amp; Khanduri, A. (2022). Development communication for diffusion of innovation: A case study of </w:t>
      </w:r>
      <w:proofErr w:type="spellStart"/>
      <w:r w:rsidRPr="00B73A0A">
        <w:rPr>
          <w:rFonts w:ascii="Arial" w:hAnsi="Arial" w:cs="Arial"/>
          <w:bCs/>
          <w:sz w:val="22"/>
          <w:szCs w:val="22"/>
          <w:lang w:val="en-US"/>
        </w:rPr>
        <w:t>Ramgaad</w:t>
      </w:r>
      <w:proofErr w:type="spellEnd"/>
      <w:r w:rsidRPr="00B73A0A">
        <w:rPr>
          <w:rFonts w:ascii="Arial" w:hAnsi="Arial" w:cs="Arial"/>
          <w:bCs/>
          <w:sz w:val="22"/>
          <w:szCs w:val="22"/>
          <w:lang w:val="en-US"/>
        </w:rPr>
        <w:t xml:space="preserve"> mini-hydro project in India. Environment, Development and Sustainability, 25, 11699–11722. https://doi.org/10.1007/s10668-022-02550-w</w:t>
      </w:r>
    </w:p>
    <w:p w14:paraId="20FE65AD" w14:textId="77777777" w:rsidR="00087026" w:rsidRPr="00722E56" w:rsidRDefault="00087026" w:rsidP="00087026">
      <w:pPr>
        <w:ind w:left="142" w:hanging="142"/>
        <w:jc w:val="both"/>
        <w:rPr>
          <w:rFonts w:ascii="Arial" w:hAnsi="Arial" w:cs="Arial"/>
          <w:bCs/>
          <w:sz w:val="22"/>
          <w:szCs w:val="22"/>
          <w:lang w:val="es-PE"/>
        </w:rPr>
      </w:pPr>
      <w:r w:rsidRPr="00AC3B9A">
        <w:rPr>
          <w:rFonts w:ascii="Arial" w:hAnsi="Arial" w:cs="Arial"/>
          <w:bCs/>
          <w:sz w:val="22"/>
          <w:szCs w:val="22"/>
          <w:lang w:val="en-US"/>
        </w:rPr>
        <w:t xml:space="preserve">El Peruano. (2019). </w:t>
      </w:r>
      <w:r w:rsidRPr="00722E56">
        <w:rPr>
          <w:rFonts w:ascii="Arial" w:hAnsi="Arial" w:cs="Arial"/>
          <w:bCs/>
          <w:sz w:val="22"/>
          <w:szCs w:val="22"/>
          <w:lang w:val="es-PE"/>
        </w:rPr>
        <w:t>Decreto Supremo N.º 014-2019-EM. https://cdn.www.gob.pe/uploads/document/file/340037/DS_N__014-2019-EM.pdf</w:t>
      </w:r>
    </w:p>
    <w:p w14:paraId="5A8F6BC6"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ENGIE Energía Perú. (2025). Minería y energía: desafíos y oportunidades. https://engie-energia.pe/hablemos-de-energia/mineria-y-energia-desafios-y-oportunidades-para-el-crecimiento-economico-del-peru/</w:t>
      </w:r>
    </w:p>
    <w:p w14:paraId="4B26612C"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Espinoza Colán, P. A. (2017). Minería en el Perú, el tema social pendiente. https://www.aiche.org/sites/default/files/community/510546/aiche-community-site-files/511136/libromineriaenelperueltemasocialpendiente.pdf</w:t>
      </w:r>
    </w:p>
    <w:p w14:paraId="1A6AB173"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 xml:space="preserve">Ezeh, M., Ogbu, A., </w:t>
      </w:r>
      <w:proofErr w:type="spellStart"/>
      <w:r w:rsidRPr="00B73A0A">
        <w:rPr>
          <w:rFonts w:ascii="Arial" w:hAnsi="Arial" w:cs="Arial"/>
          <w:bCs/>
          <w:sz w:val="22"/>
          <w:szCs w:val="22"/>
          <w:lang w:val="en-US"/>
        </w:rPr>
        <w:t>Ikevuje</w:t>
      </w:r>
      <w:proofErr w:type="spellEnd"/>
      <w:r w:rsidRPr="00B73A0A">
        <w:rPr>
          <w:rFonts w:ascii="Arial" w:hAnsi="Arial" w:cs="Arial"/>
          <w:bCs/>
          <w:sz w:val="22"/>
          <w:szCs w:val="22"/>
          <w:lang w:val="en-US"/>
        </w:rPr>
        <w:t>, A., &amp; George, E. (2024). Stakeholder engagement and influence: Strategies for successful energy projects. International Journal of Management &amp; Entrepreneurship Research, 6(7). https://doi.org/10.51594/ijmer.v6i7.1330</w:t>
      </w:r>
    </w:p>
    <w:p w14:paraId="0A2641CD"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Fitch Ratings. (2022). Social Conflicts, Regulation Curb Peru’s Mining Sector’s Growth. https://www.fitchratings.com/research/corporate-finance/social-conflicts-regulation-curb-perus-mining-sectors-growth-13-04-2022</w:t>
      </w:r>
    </w:p>
    <w:p w14:paraId="78B711B6"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Freeman, R. E. (1984). Strategic Management: A Stakeholder Approach. Boston: Pitman.</w:t>
      </w:r>
    </w:p>
    <w:p w14:paraId="222F74D2"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Freire, P. (1970). Pedagogy of the Oppressed. New York: Herder and Herder.</w:t>
      </w:r>
    </w:p>
    <w:p w14:paraId="11A15FF4"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 xml:space="preserve">Gamu, J., &amp; </w:t>
      </w:r>
      <w:proofErr w:type="spellStart"/>
      <w:r w:rsidRPr="00B73A0A">
        <w:rPr>
          <w:rFonts w:ascii="Arial" w:hAnsi="Arial" w:cs="Arial"/>
          <w:bCs/>
          <w:sz w:val="22"/>
          <w:szCs w:val="22"/>
          <w:lang w:val="en-US"/>
        </w:rPr>
        <w:t>Dauvergne</w:t>
      </w:r>
      <w:proofErr w:type="spellEnd"/>
      <w:r w:rsidRPr="00B73A0A">
        <w:rPr>
          <w:rFonts w:ascii="Arial" w:hAnsi="Arial" w:cs="Arial"/>
          <w:bCs/>
          <w:sz w:val="22"/>
          <w:szCs w:val="22"/>
          <w:lang w:val="en-US"/>
        </w:rPr>
        <w:t>, P. (2018). The slow violence of corporate social responsibility: The case of mining in Peru. Third World Quarterly, 39(5), 959–975. https://doi.org/10.1080/01436597.2018.1432349</w:t>
      </w:r>
    </w:p>
    <w:p w14:paraId="76EAC7F0" w14:textId="77777777" w:rsidR="00087026" w:rsidRPr="00722E56" w:rsidRDefault="00087026" w:rsidP="00087026">
      <w:pPr>
        <w:ind w:left="142" w:hanging="142"/>
        <w:jc w:val="both"/>
        <w:rPr>
          <w:rFonts w:ascii="Arial" w:hAnsi="Arial" w:cs="Arial"/>
          <w:bCs/>
          <w:sz w:val="22"/>
          <w:szCs w:val="22"/>
          <w:lang w:val="es-PE"/>
        </w:rPr>
      </w:pPr>
      <w:r w:rsidRPr="00B73A0A">
        <w:rPr>
          <w:rFonts w:ascii="Arial" w:hAnsi="Arial" w:cs="Arial"/>
          <w:bCs/>
          <w:sz w:val="22"/>
          <w:szCs w:val="22"/>
          <w:lang w:val="en-US"/>
        </w:rPr>
        <w:t xml:space="preserve">García </w:t>
      </w:r>
      <w:proofErr w:type="spellStart"/>
      <w:r w:rsidRPr="00B73A0A">
        <w:rPr>
          <w:rFonts w:ascii="Arial" w:hAnsi="Arial" w:cs="Arial"/>
          <w:bCs/>
          <w:sz w:val="22"/>
          <w:szCs w:val="22"/>
          <w:lang w:val="en-US"/>
        </w:rPr>
        <w:t>Marzá</w:t>
      </w:r>
      <w:proofErr w:type="spellEnd"/>
      <w:r w:rsidRPr="00B73A0A">
        <w:rPr>
          <w:rFonts w:ascii="Arial" w:hAnsi="Arial" w:cs="Arial"/>
          <w:bCs/>
          <w:sz w:val="22"/>
          <w:szCs w:val="22"/>
          <w:lang w:val="en-US"/>
        </w:rPr>
        <w:t xml:space="preserve">, D. (2006). </w:t>
      </w:r>
      <w:proofErr w:type="spellStart"/>
      <w:r w:rsidRPr="00B73A0A">
        <w:rPr>
          <w:rFonts w:ascii="Arial" w:hAnsi="Arial" w:cs="Arial"/>
          <w:bCs/>
          <w:sz w:val="22"/>
          <w:szCs w:val="22"/>
          <w:lang w:val="en-US"/>
        </w:rPr>
        <w:t>Ética</w:t>
      </w:r>
      <w:proofErr w:type="spellEnd"/>
      <w:r w:rsidRPr="00B73A0A">
        <w:rPr>
          <w:rFonts w:ascii="Arial" w:hAnsi="Arial" w:cs="Arial"/>
          <w:bCs/>
          <w:sz w:val="22"/>
          <w:szCs w:val="22"/>
          <w:lang w:val="en-US"/>
        </w:rPr>
        <w:t xml:space="preserve"> </w:t>
      </w:r>
      <w:proofErr w:type="spellStart"/>
      <w:r w:rsidRPr="00B73A0A">
        <w:rPr>
          <w:rFonts w:ascii="Arial" w:hAnsi="Arial" w:cs="Arial"/>
          <w:bCs/>
          <w:sz w:val="22"/>
          <w:szCs w:val="22"/>
          <w:lang w:val="en-US"/>
        </w:rPr>
        <w:t>empresarial</w:t>
      </w:r>
      <w:proofErr w:type="spellEnd"/>
      <w:r w:rsidRPr="00B73A0A">
        <w:rPr>
          <w:rFonts w:ascii="Arial" w:hAnsi="Arial" w:cs="Arial"/>
          <w:bCs/>
          <w:sz w:val="22"/>
          <w:szCs w:val="22"/>
          <w:lang w:val="en-US"/>
        </w:rPr>
        <w:t xml:space="preserve">. </w:t>
      </w:r>
      <w:r w:rsidRPr="00722E56">
        <w:rPr>
          <w:rFonts w:ascii="Arial" w:hAnsi="Arial" w:cs="Arial"/>
          <w:bCs/>
          <w:sz w:val="22"/>
          <w:szCs w:val="22"/>
          <w:lang w:val="es-PE"/>
        </w:rPr>
        <w:t>Un marco para la definición y gestión de la RSC. En Vargas, L. (Ed.), Mitos y realidades de la RSC en España (pp. 43–59). Navarra: Aranzadi.</w:t>
      </w:r>
    </w:p>
    <w:p w14:paraId="28053A26" w14:textId="77777777" w:rsidR="00087026" w:rsidRPr="00AC3B9A"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 xml:space="preserve">Gumucio, A. (2004). El cuarto mosquetero: la comunicación para el cambio social. </w:t>
      </w:r>
      <w:r w:rsidRPr="00AC3B9A">
        <w:rPr>
          <w:rFonts w:ascii="Arial" w:hAnsi="Arial" w:cs="Arial"/>
          <w:bCs/>
          <w:sz w:val="22"/>
          <w:szCs w:val="22"/>
          <w:lang w:val="es-PE"/>
        </w:rPr>
        <w:t>Investigación y desarrollo, 12(1), 42–61.</w:t>
      </w:r>
    </w:p>
    <w:p w14:paraId="5517A222" w14:textId="1AF84937" w:rsidR="00541ABB" w:rsidRPr="00541ABB" w:rsidRDefault="00541ABB" w:rsidP="00541ABB">
      <w:pPr>
        <w:ind w:left="142" w:hanging="142"/>
        <w:jc w:val="both"/>
        <w:rPr>
          <w:rFonts w:ascii="Arial" w:hAnsi="Arial" w:cs="Arial"/>
          <w:bCs/>
          <w:sz w:val="22"/>
          <w:szCs w:val="22"/>
          <w:lang w:val="es-PE"/>
        </w:rPr>
      </w:pPr>
      <w:r w:rsidRPr="00541ABB">
        <w:rPr>
          <w:rFonts w:ascii="Arial" w:hAnsi="Arial" w:cs="Arial"/>
          <w:bCs/>
          <w:sz w:val="22"/>
          <w:szCs w:val="22"/>
          <w:lang w:val="es-PE"/>
        </w:rPr>
        <w:t>HBA Noticias. (2025). Arequipa: GRA denuncia a sindicato de construcción civil por agresiones y amenazas. HBA Noticias. https://web.facebook.com/HBAnoticias/posts/arequipa-gra-denuncia-a-sindicato-de-construcci%C3%B3n-civil-por-agresiones-y-amenaza/1105031708317924/?utm_source=chatgpt.com&amp;_rdc=1&amp;_rdr#.</w:t>
      </w:r>
    </w:p>
    <w:p w14:paraId="6B94964C"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Heikkinen, M. (2025, February 4). The last drops of our water: How a mine left some of Peru’s poorest high and dry. The Guardian. https://www.theguardian.com/global-development/2025/feb/04/the-last-drops-of-our-water-how-a-mine-left-some-of-perus-poorest-high-and-dry</w:t>
      </w:r>
    </w:p>
    <w:p w14:paraId="3E56E14A"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Illarionova, A. (2019). Creating long term shared value while developing new energy projects. In Youth technical sessions proceedings. https://doi.org/10.1201/9780429327070-23</w:t>
      </w:r>
    </w:p>
    <w:p w14:paraId="260D9B24" w14:textId="77777777" w:rsidR="00087026" w:rsidRPr="00722E56" w:rsidRDefault="00087026" w:rsidP="00087026">
      <w:pPr>
        <w:ind w:left="142" w:hanging="142"/>
        <w:jc w:val="both"/>
        <w:rPr>
          <w:rFonts w:ascii="Arial" w:hAnsi="Arial" w:cs="Arial"/>
          <w:bCs/>
          <w:sz w:val="22"/>
          <w:szCs w:val="22"/>
          <w:lang w:val="es-PE"/>
        </w:rPr>
      </w:pPr>
      <w:r w:rsidRPr="00B73A0A">
        <w:rPr>
          <w:rFonts w:ascii="Arial" w:hAnsi="Arial" w:cs="Arial"/>
          <w:bCs/>
          <w:sz w:val="22"/>
          <w:szCs w:val="22"/>
          <w:lang w:val="en-US"/>
        </w:rPr>
        <w:t xml:space="preserve">Inagaki, N. (2007). Communicating the Impact of Communication for Development: Recent Trends in Empirical Research. </w:t>
      </w:r>
      <w:r w:rsidRPr="00722E56">
        <w:rPr>
          <w:rFonts w:ascii="Arial" w:hAnsi="Arial" w:cs="Arial"/>
          <w:bCs/>
          <w:sz w:val="22"/>
          <w:szCs w:val="22"/>
          <w:lang w:val="es-PE"/>
        </w:rPr>
        <w:t xml:space="preserve">Washington D.C.: </w:t>
      </w:r>
      <w:proofErr w:type="spellStart"/>
      <w:r w:rsidRPr="00722E56">
        <w:rPr>
          <w:rFonts w:ascii="Arial" w:hAnsi="Arial" w:cs="Arial"/>
          <w:bCs/>
          <w:sz w:val="22"/>
          <w:szCs w:val="22"/>
          <w:lang w:val="es-PE"/>
        </w:rPr>
        <w:t>The</w:t>
      </w:r>
      <w:proofErr w:type="spellEnd"/>
      <w:r w:rsidRPr="00722E56">
        <w:rPr>
          <w:rFonts w:ascii="Arial" w:hAnsi="Arial" w:cs="Arial"/>
          <w:bCs/>
          <w:sz w:val="22"/>
          <w:szCs w:val="22"/>
          <w:lang w:val="es-PE"/>
        </w:rPr>
        <w:t xml:space="preserve"> </w:t>
      </w:r>
      <w:proofErr w:type="spellStart"/>
      <w:r w:rsidRPr="00722E56">
        <w:rPr>
          <w:rFonts w:ascii="Arial" w:hAnsi="Arial" w:cs="Arial"/>
          <w:bCs/>
          <w:sz w:val="22"/>
          <w:szCs w:val="22"/>
          <w:lang w:val="es-PE"/>
        </w:rPr>
        <w:t>World</w:t>
      </w:r>
      <w:proofErr w:type="spellEnd"/>
      <w:r w:rsidRPr="00722E56">
        <w:rPr>
          <w:rFonts w:ascii="Arial" w:hAnsi="Arial" w:cs="Arial"/>
          <w:bCs/>
          <w:sz w:val="22"/>
          <w:szCs w:val="22"/>
          <w:lang w:val="es-PE"/>
        </w:rPr>
        <w:t xml:space="preserve"> Bank.</w:t>
      </w:r>
    </w:p>
    <w:p w14:paraId="730583F3"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Instituto Peruano de Economía (IPE). (2021). Contribución de la minería a la economía nacional. https://ipe.org.pe/wp-content/uploads/2021/03/contribucion-de-la-mineria-a-la-economia-nacional-snmpe-estudio-IPE-2021.pdf</w:t>
      </w:r>
    </w:p>
    <w:p w14:paraId="35A3F33F"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International Council on Mining and Metals (ICMM). (2021). Net zero commitment. https://www.icmm.com/en-gb/our-work/decarbonisation/net-zero-commitment</w:t>
      </w:r>
    </w:p>
    <w:p w14:paraId="6DB77600"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 xml:space="preserve">International </w:t>
      </w:r>
      <w:proofErr w:type="spellStart"/>
      <w:r w:rsidRPr="00722E56">
        <w:rPr>
          <w:rFonts w:ascii="Arial" w:hAnsi="Arial" w:cs="Arial"/>
          <w:bCs/>
          <w:sz w:val="22"/>
          <w:szCs w:val="22"/>
          <w:lang w:val="es-PE"/>
        </w:rPr>
        <w:t>Finance</w:t>
      </w:r>
      <w:proofErr w:type="spellEnd"/>
      <w:r w:rsidRPr="00722E56">
        <w:rPr>
          <w:rFonts w:ascii="Arial" w:hAnsi="Arial" w:cs="Arial"/>
          <w:bCs/>
          <w:sz w:val="22"/>
          <w:szCs w:val="22"/>
          <w:lang w:val="es-PE"/>
        </w:rPr>
        <w:t xml:space="preserve"> </w:t>
      </w:r>
      <w:proofErr w:type="spellStart"/>
      <w:r w:rsidRPr="00722E56">
        <w:rPr>
          <w:rFonts w:ascii="Arial" w:hAnsi="Arial" w:cs="Arial"/>
          <w:bCs/>
          <w:sz w:val="22"/>
          <w:szCs w:val="22"/>
          <w:lang w:val="es-PE"/>
        </w:rPr>
        <w:t>Corporation</w:t>
      </w:r>
      <w:proofErr w:type="spellEnd"/>
      <w:r w:rsidRPr="00722E56">
        <w:rPr>
          <w:rFonts w:ascii="Arial" w:hAnsi="Arial" w:cs="Arial"/>
          <w:bCs/>
          <w:sz w:val="22"/>
          <w:szCs w:val="22"/>
          <w:lang w:val="es-PE"/>
        </w:rPr>
        <w:t xml:space="preserve"> (IFC). (2012). Normas de desempeño sobre sostenibilidad ambiental y social. https://www.ifc.org/content/dam/ifc/doc/2010/2012-ifc-performance-standards-es.pdf</w:t>
      </w:r>
    </w:p>
    <w:p w14:paraId="3236CE18" w14:textId="77777777" w:rsidR="00087026" w:rsidRPr="00722E56" w:rsidRDefault="00087026" w:rsidP="00087026">
      <w:pPr>
        <w:ind w:left="142" w:hanging="142"/>
        <w:jc w:val="both"/>
        <w:rPr>
          <w:rFonts w:ascii="Arial" w:hAnsi="Arial" w:cs="Arial"/>
          <w:bCs/>
          <w:sz w:val="22"/>
          <w:szCs w:val="22"/>
          <w:lang w:val="es-PE"/>
        </w:rPr>
      </w:pPr>
      <w:proofErr w:type="spellStart"/>
      <w:r w:rsidRPr="00722E56">
        <w:rPr>
          <w:rFonts w:ascii="Arial" w:hAnsi="Arial" w:cs="Arial"/>
          <w:bCs/>
          <w:sz w:val="22"/>
          <w:szCs w:val="22"/>
          <w:lang w:val="es-PE"/>
        </w:rPr>
        <w:t>Kallpa</w:t>
      </w:r>
      <w:proofErr w:type="spellEnd"/>
      <w:r w:rsidRPr="00722E56">
        <w:rPr>
          <w:rFonts w:ascii="Arial" w:hAnsi="Arial" w:cs="Arial"/>
          <w:bCs/>
          <w:sz w:val="22"/>
          <w:szCs w:val="22"/>
          <w:lang w:val="es-PE"/>
        </w:rPr>
        <w:t xml:space="preserve"> Generación. (2025). Energía renovable y descarbonización [Publicación en LinkedIn]. https://www.linkedin.com/posts/kallpa-generacion_energ%C3%ADarenovable-descarbonizaci%C3%B3n-activity-7266103207708315648-VHsU/</w:t>
      </w:r>
    </w:p>
    <w:p w14:paraId="7B8D3E5D"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lastRenderedPageBreak/>
        <w:t>Kliksberg, B. (2000). Capital social y cultura: claves estratégicas para el desarrollo. Buenos Aires: Fundación Felipe Herrera.</w:t>
      </w:r>
    </w:p>
    <w:p w14:paraId="749E7935" w14:textId="77777777" w:rsidR="00087026" w:rsidRPr="00B73A0A" w:rsidRDefault="00087026" w:rsidP="00087026">
      <w:pPr>
        <w:ind w:left="142" w:hanging="142"/>
        <w:jc w:val="both"/>
        <w:rPr>
          <w:rFonts w:ascii="Arial" w:hAnsi="Arial" w:cs="Arial"/>
          <w:bCs/>
          <w:sz w:val="22"/>
          <w:szCs w:val="22"/>
          <w:lang w:val="en-US"/>
        </w:rPr>
      </w:pPr>
      <w:proofErr w:type="spellStart"/>
      <w:r w:rsidRPr="00722E56">
        <w:rPr>
          <w:rFonts w:ascii="Arial" w:hAnsi="Arial" w:cs="Arial"/>
          <w:bCs/>
          <w:sz w:val="22"/>
          <w:szCs w:val="22"/>
          <w:lang w:val="es-PE"/>
        </w:rPr>
        <w:t>Khubana</w:t>
      </w:r>
      <w:proofErr w:type="spellEnd"/>
      <w:r w:rsidRPr="00722E56">
        <w:rPr>
          <w:rFonts w:ascii="Arial" w:hAnsi="Arial" w:cs="Arial"/>
          <w:bCs/>
          <w:sz w:val="22"/>
          <w:szCs w:val="22"/>
          <w:lang w:val="es-PE"/>
        </w:rPr>
        <w:t xml:space="preserve">, T., </w:t>
      </w:r>
      <w:proofErr w:type="spellStart"/>
      <w:r w:rsidRPr="00722E56">
        <w:rPr>
          <w:rFonts w:ascii="Arial" w:hAnsi="Arial" w:cs="Arial"/>
          <w:bCs/>
          <w:sz w:val="22"/>
          <w:szCs w:val="22"/>
          <w:lang w:val="es-PE"/>
        </w:rPr>
        <w:t>Rootman</w:t>
      </w:r>
      <w:proofErr w:type="spellEnd"/>
      <w:r w:rsidRPr="00722E56">
        <w:rPr>
          <w:rFonts w:ascii="Arial" w:hAnsi="Arial" w:cs="Arial"/>
          <w:bCs/>
          <w:sz w:val="22"/>
          <w:szCs w:val="22"/>
          <w:lang w:val="es-PE"/>
        </w:rPr>
        <w:t xml:space="preserve">, C., &amp; Smith, E. (2022). </w:t>
      </w:r>
      <w:r w:rsidRPr="00B73A0A">
        <w:rPr>
          <w:rFonts w:ascii="Arial" w:hAnsi="Arial" w:cs="Arial"/>
          <w:bCs/>
          <w:sz w:val="22"/>
          <w:szCs w:val="22"/>
          <w:lang w:val="en-US"/>
        </w:rPr>
        <w:t xml:space="preserve">How to create shared value in mining </w:t>
      </w:r>
      <w:proofErr w:type="spellStart"/>
      <w:r w:rsidRPr="00B73A0A">
        <w:rPr>
          <w:rFonts w:ascii="Arial" w:hAnsi="Arial" w:cs="Arial"/>
          <w:bCs/>
          <w:sz w:val="22"/>
          <w:szCs w:val="22"/>
          <w:lang w:val="en-US"/>
        </w:rPr>
        <w:t>organisations</w:t>
      </w:r>
      <w:proofErr w:type="spellEnd"/>
      <w:r w:rsidRPr="00B73A0A">
        <w:rPr>
          <w:rFonts w:ascii="Arial" w:hAnsi="Arial" w:cs="Arial"/>
          <w:bCs/>
          <w:sz w:val="22"/>
          <w:szCs w:val="22"/>
          <w:lang w:val="en-US"/>
        </w:rPr>
        <w:t>. South African Journal of Business Management, 53(1), 1–10. https://doi.org/10.4102/sajbm.v53i1.2907</w:t>
      </w:r>
    </w:p>
    <w:p w14:paraId="7E9CD72B"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Khurshid, H., &amp; Snell, R. (2022). Examining distinctions and relationships between Creating Shared Value (CSV) and Corporate Social Responsibility (CSR) in eight Asia-based firms. Asian Journal of Business Ethics, 11, 327–357. https://doi.org/10.1007/s13520-022-00153-2</w:t>
      </w:r>
    </w:p>
    <w:p w14:paraId="61F782A2" w14:textId="77777777" w:rsidR="00087026" w:rsidRPr="00B73A0A" w:rsidRDefault="00087026" w:rsidP="00087026">
      <w:pPr>
        <w:ind w:left="142" w:hanging="142"/>
        <w:jc w:val="both"/>
        <w:rPr>
          <w:rFonts w:ascii="Arial" w:hAnsi="Arial" w:cs="Arial"/>
          <w:bCs/>
          <w:sz w:val="22"/>
          <w:szCs w:val="22"/>
          <w:lang w:val="en-US"/>
        </w:rPr>
      </w:pPr>
      <w:proofErr w:type="spellStart"/>
      <w:r w:rsidRPr="00B73A0A">
        <w:rPr>
          <w:rFonts w:ascii="Arial" w:hAnsi="Arial" w:cs="Arial"/>
          <w:bCs/>
          <w:sz w:val="22"/>
          <w:szCs w:val="22"/>
          <w:lang w:val="en-US"/>
        </w:rPr>
        <w:t>Mefalopulos</w:t>
      </w:r>
      <w:proofErr w:type="spellEnd"/>
      <w:r w:rsidRPr="00B73A0A">
        <w:rPr>
          <w:rFonts w:ascii="Arial" w:hAnsi="Arial" w:cs="Arial"/>
          <w:bCs/>
          <w:sz w:val="22"/>
          <w:szCs w:val="22"/>
          <w:lang w:val="en-US"/>
        </w:rPr>
        <w:t>, P. (2004). Theory and Practice of Participatory Communication: The Case of the FAO. Rome: Food and Agriculture Organization.</w:t>
      </w:r>
    </w:p>
    <w:p w14:paraId="6F5B5DFC" w14:textId="77777777" w:rsidR="00087026" w:rsidRPr="00B73A0A" w:rsidRDefault="00087026" w:rsidP="00087026">
      <w:pPr>
        <w:ind w:left="142" w:hanging="142"/>
        <w:jc w:val="both"/>
        <w:rPr>
          <w:rFonts w:ascii="Arial" w:hAnsi="Arial" w:cs="Arial"/>
          <w:bCs/>
          <w:sz w:val="22"/>
          <w:szCs w:val="22"/>
          <w:lang w:val="en-US"/>
        </w:rPr>
      </w:pPr>
      <w:proofErr w:type="spellStart"/>
      <w:r w:rsidRPr="00B73A0A">
        <w:rPr>
          <w:rFonts w:ascii="Arial" w:hAnsi="Arial" w:cs="Arial"/>
          <w:bCs/>
          <w:sz w:val="22"/>
          <w:szCs w:val="22"/>
          <w:lang w:val="en-US"/>
        </w:rPr>
        <w:t>Menghwar</w:t>
      </w:r>
      <w:proofErr w:type="spellEnd"/>
      <w:r w:rsidRPr="00B73A0A">
        <w:rPr>
          <w:rFonts w:ascii="Arial" w:hAnsi="Arial" w:cs="Arial"/>
          <w:bCs/>
          <w:sz w:val="22"/>
          <w:szCs w:val="22"/>
          <w:lang w:val="en-US"/>
        </w:rPr>
        <w:t xml:space="preserve">, P., &amp; </w:t>
      </w:r>
      <w:proofErr w:type="spellStart"/>
      <w:r w:rsidRPr="00B73A0A">
        <w:rPr>
          <w:rFonts w:ascii="Arial" w:hAnsi="Arial" w:cs="Arial"/>
          <w:bCs/>
          <w:sz w:val="22"/>
          <w:szCs w:val="22"/>
          <w:lang w:val="en-US"/>
        </w:rPr>
        <w:t>Daood</w:t>
      </w:r>
      <w:proofErr w:type="spellEnd"/>
      <w:r w:rsidRPr="00B73A0A">
        <w:rPr>
          <w:rFonts w:ascii="Arial" w:hAnsi="Arial" w:cs="Arial"/>
          <w:bCs/>
          <w:sz w:val="22"/>
          <w:szCs w:val="22"/>
          <w:lang w:val="en-US"/>
        </w:rPr>
        <w:t>, A. (2021). Creating shared value: A systematic review, synthesis and integrative perspective. International Journal of Management Reviews, 23(3), 370–392. https://doi.org/10.1111/IJMR.12252</w:t>
      </w:r>
    </w:p>
    <w:p w14:paraId="7982EE80" w14:textId="421D70B0" w:rsidR="00EC1D8F" w:rsidRDefault="00EC1D8F" w:rsidP="00087026">
      <w:pPr>
        <w:ind w:left="142" w:hanging="142"/>
        <w:jc w:val="both"/>
        <w:rPr>
          <w:rFonts w:ascii="Arial" w:hAnsi="Arial" w:cs="Arial"/>
          <w:bCs/>
          <w:sz w:val="22"/>
          <w:szCs w:val="22"/>
        </w:rPr>
      </w:pPr>
      <w:proofErr w:type="spellStart"/>
      <w:r w:rsidRPr="00EC1D8F">
        <w:rPr>
          <w:rFonts w:ascii="Arial" w:hAnsi="Arial" w:cs="Arial"/>
          <w:bCs/>
          <w:sz w:val="22"/>
          <w:szCs w:val="22"/>
        </w:rPr>
        <w:t>Ministerio</w:t>
      </w:r>
      <w:proofErr w:type="spellEnd"/>
      <w:r w:rsidRPr="00EC1D8F">
        <w:rPr>
          <w:rFonts w:ascii="Arial" w:hAnsi="Arial" w:cs="Arial"/>
          <w:bCs/>
          <w:sz w:val="22"/>
          <w:szCs w:val="22"/>
        </w:rPr>
        <w:t xml:space="preserve"> de </w:t>
      </w:r>
      <w:proofErr w:type="spellStart"/>
      <w:r w:rsidRPr="00EC1D8F">
        <w:rPr>
          <w:rFonts w:ascii="Arial" w:hAnsi="Arial" w:cs="Arial"/>
          <w:bCs/>
          <w:sz w:val="22"/>
          <w:szCs w:val="22"/>
        </w:rPr>
        <w:t>Energía</w:t>
      </w:r>
      <w:proofErr w:type="spellEnd"/>
      <w:r w:rsidRPr="00EC1D8F">
        <w:rPr>
          <w:rFonts w:ascii="Arial" w:hAnsi="Arial" w:cs="Arial"/>
          <w:bCs/>
          <w:sz w:val="22"/>
          <w:szCs w:val="22"/>
        </w:rPr>
        <w:t xml:space="preserve"> y Minas</w:t>
      </w:r>
      <w:r>
        <w:rPr>
          <w:rFonts w:ascii="Arial" w:hAnsi="Arial" w:cs="Arial"/>
          <w:bCs/>
          <w:sz w:val="22"/>
          <w:szCs w:val="22"/>
        </w:rPr>
        <w:t xml:space="preserve"> (MINEM)</w:t>
      </w:r>
      <w:r w:rsidRPr="00EC1D8F">
        <w:rPr>
          <w:rFonts w:ascii="Arial" w:hAnsi="Arial" w:cs="Arial"/>
          <w:bCs/>
          <w:sz w:val="22"/>
          <w:szCs w:val="22"/>
        </w:rPr>
        <w:t xml:space="preserve">. (2024). </w:t>
      </w:r>
      <w:proofErr w:type="spellStart"/>
      <w:r w:rsidRPr="00EC1D8F">
        <w:rPr>
          <w:rFonts w:ascii="Arial" w:hAnsi="Arial" w:cs="Arial"/>
          <w:bCs/>
          <w:sz w:val="22"/>
          <w:szCs w:val="22"/>
        </w:rPr>
        <w:t>Resolución</w:t>
      </w:r>
      <w:proofErr w:type="spellEnd"/>
      <w:r w:rsidRPr="00EC1D8F">
        <w:rPr>
          <w:rFonts w:ascii="Arial" w:hAnsi="Arial" w:cs="Arial"/>
          <w:bCs/>
          <w:sz w:val="22"/>
          <w:szCs w:val="22"/>
        </w:rPr>
        <w:t xml:space="preserve"> </w:t>
      </w:r>
      <w:proofErr w:type="spellStart"/>
      <w:r w:rsidRPr="00EC1D8F">
        <w:rPr>
          <w:rFonts w:ascii="Arial" w:hAnsi="Arial" w:cs="Arial"/>
          <w:bCs/>
          <w:sz w:val="22"/>
          <w:szCs w:val="22"/>
        </w:rPr>
        <w:t>Directoral</w:t>
      </w:r>
      <w:proofErr w:type="spellEnd"/>
      <w:r w:rsidRPr="00EC1D8F">
        <w:rPr>
          <w:rFonts w:ascii="Arial" w:hAnsi="Arial" w:cs="Arial"/>
          <w:bCs/>
          <w:sz w:val="22"/>
          <w:szCs w:val="22"/>
        </w:rPr>
        <w:t xml:space="preserve"> N.° 0172-2024-MINEM/DGAAE. https://cdn.www.gob.pe/uploads/document/file/7044438/6062251-rd-n-0172-2024-minem-dgaae.pdf</w:t>
      </w:r>
    </w:p>
    <w:p w14:paraId="666CD29B" w14:textId="7E881627" w:rsidR="00EC1D8F" w:rsidRDefault="00EC1D8F" w:rsidP="00087026">
      <w:pPr>
        <w:ind w:left="142" w:hanging="142"/>
        <w:jc w:val="both"/>
        <w:rPr>
          <w:rFonts w:ascii="Arial" w:hAnsi="Arial" w:cs="Arial"/>
          <w:bCs/>
          <w:sz w:val="22"/>
          <w:szCs w:val="22"/>
        </w:rPr>
      </w:pPr>
      <w:proofErr w:type="spellStart"/>
      <w:r w:rsidRPr="00EC1D8F">
        <w:rPr>
          <w:rFonts w:ascii="Arial" w:hAnsi="Arial" w:cs="Arial"/>
          <w:bCs/>
          <w:sz w:val="22"/>
          <w:szCs w:val="22"/>
        </w:rPr>
        <w:t>Ministerio</w:t>
      </w:r>
      <w:proofErr w:type="spellEnd"/>
      <w:r w:rsidRPr="00EC1D8F">
        <w:rPr>
          <w:rFonts w:ascii="Arial" w:hAnsi="Arial" w:cs="Arial"/>
          <w:bCs/>
          <w:sz w:val="22"/>
          <w:szCs w:val="22"/>
        </w:rPr>
        <w:t xml:space="preserve"> de </w:t>
      </w:r>
      <w:proofErr w:type="spellStart"/>
      <w:r w:rsidRPr="00EC1D8F">
        <w:rPr>
          <w:rFonts w:ascii="Arial" w:hAnsi="Arial" w:cs="Arial"/>
          <w:bCs/>
          <w:sz w:val="22"/>
          <w:szCs w:val="22"/>
        </w:rPr>
        <w:t>Energía</w:t>
      </w:r>
      <w:proofErr w:type="spellEnd"/>
      <w:r w:rsidRPr="00EC1D8F">
        <w:rPr>
          <w:rFonts w:ascii="Arial" w:hAnsi="Arial" w:cs="Arial"/>
          <w:bCs/>
          <w:sz w:val="22"/>
          <w:szCs w:val="22"/>
        </w:rPr>
        <w:t xml:space="preserve"> y Minas</w:t>
      </w:r>
      <w:r>
        <w:rPr>
          <w:rFonts w:ascii="Arial" w:hAnsi="Arial" w:cs="Arial"/>
          <w:bCs/>
          <w:sz w:val="22"/>
          <w:szCs w:val="22"/>
        </w:rPr>
        <w:t xml:space="preserve"> (MINEM)</w:t>
      </w:r>
      <w:r w:rsidRPr="00EC1D8F">
        <w:rPr>
          <w:rFonts w:ascii="Arial" w:hAnsi="Arial" w:cs="Arial"/>
          <w:bCs/>
          <w:sz w:val="22"/>
          <w:szCs w:val="22"/>
        </w:rPr>
        <w:t xml:space="preserve">. (2023). Informe de </w:t>
      </w:r>
      <w:proofErr w:type="spellStart"/>
      <w:r w:rsidRPr="00EC1D8F">
        <w:rPr>
          <w:rFonts w:ascii="Arial" w:hAnsi="Arial" w:cs="Arial"/>
          <w:bCs/>
          <w:sz w:val="22"/>
          <w:szCs w:val="22"/>
        </w:rPr>
        <w:t>evaluación</w:t>
      </w:r>
      <w:proofErr w:type="spellEnd"/>
      <w:r w:rsidRPr="00EC1D8F">
        <w:rPr>
          <w:rFonts w:ascii="Arial" w:hAnsi="Arial" w:cs="Arial"/>
          <w:bCs/>
          <w:sz w:val="22"/>
          <w:szCs w:val="22"/>
        </w:rPr>
        <w:t xml:space="preserve"> de la </w:t>
      </w:r>
      <w:proofErr w:type="spellStart"/>
      <w:r w:rsidRPr="00EC1D8F">
        <w:rPr>
          <w:rFonts w:ascii="Arial" w:hAnsi="Arial" w:cs="Arial"/>
          <w:bCs/>
          <w:sz w:val="22"/>
          <w:szCs w:val="22"/>
        </w:rPr>
        <w:t>Modificación</w:t>
      </w:r>
      <w:proofErr w:type="spellEnd"/>
      <w:r w:rsidRPr="00EC1D8F">
        <w:rPr>
          <w:rFonts w:ascii="Arial" w:hAnsi="Arial" w:cs="Arial"/>
          <w:bCs/>
          <w:sz w:val="22"/>
          <w:szCs w:val="22"/>
        </w:rPr>
        <w:t xml:space="preserve"> de la </w:t>
      </w:r>
      <w:proofErr w:type="spellStart"/>
      <w:r w:rsidRPr="00EC1D8F">
        <w:rPr>
          <w:rFonts w:ascii="Arial" w:hAnsi="Arial" w:cs="Arial"/>
          <w:bCs/>
          <w:sz w:val="22"/>
          <w:szCs w:val="22"/>
        </w:rPr>
        <w:t>Declaración</w:t>
      </w:r>
      <w:proofErr w:type="spellEnd"/>
      <w:r w:rsidRPr="00EC1D8F">
        <w:rPr>
          <w:rFonts w:ascii="Arial" w:hAnsi="Arial" w:cs="Arial"/>
          <w:bCs/>
          <w:sz w:val="22"/>
          <w:szCs w:val="22"/>
        </w:rPr>
        <w:t xml:space="preserve"> de </w:t>
      </w:r>
      <w:proofErr w:type="spellStart"/>
      <w:r w:rsidRPr="00EC1D8F">
        <w:rPr>
          <w:rFonts w:ascii="Arial" w:hAnsi="Arial" w:cs="Arial"/>
          <w:bCs/>
          <w:sz w:val="22"/>
          <w:szCs w:val="22"/>
        </w:rPr>
        <w:t>Impacto</w:t>
      </w:r>
      <w:proofErr w:type="spellEnd"/>
      <w:r w:rsidRPr="00EC1D8F">
        <w:rPr>
          <w:rFonts w:ascii="Arial" w:hAnsi="Arial" w:cs="Arial"/>
          <w:bCs/>
          <w:sz w:val="22"/>
          <w:szCs w:val="22"/>
        </w:rPr>
        <w:t xml:space="preserve"> </w:t>
      </w:r>
      <w:proofErr w:type="spellStart"/>
      <w:r w:rsidRPr="00EC1D8F">
        <w:rPr>
          <w:rFonts w:ascii="Arial" w:hAnsi="Arial" w:cs="Arial"/>
          <w:bCs/>
          <w:sz w:val="22"/>
          <w:szCs w:val="22"/>
        </w:rPr>
        <w:t>Ambiental</w:t>
      </w:r>
      <w:proofErr w:type="spellEnd"/>
      <w:r w:rsidRPr="00EC1D8F">
        <w:rPr>
          <w:rFonts w:ascii="Arial" w:hAnsi="Arial" w:cs="Arial"/>
          <w:bCs/>
          <w:sz w:val="22"/>
          <w:szCs w:val="22"/>
        </w:rPr>
        <w:t xml:space="preserve"> (MDIA). https://cdn.www.gob.pe/uploads/document/file/5570968/4953739-4_-3623184-11-12-23.pdf?v=1702999621</w:t>
      </w:r>
    </w:p>
    <w:p w14:paraId="1F318449" w14:textId="2C80DB61" w:rsidR="00087026" w:rsidRPr="00722E56" w:rsidRDefault="00087026" w:rsidP="00087026">
      <w:pPr>
        <w:ind w:left="142" w:hanging="142"/>
        <w:jc w:val="both"/>
        <w:rPr>
          <w:rFonts w:ascii="Arial" w:hAnsi="Arial" w:cs="Arial"/>
          <w:bCs/>
          <w:sz w:val="22"/>
          <w:szCs w:val="22"/>
          <w:lang w:val="es-PE"/>
        </w:rPr>
      </w:pPr>
      <w:r w:rsidRPr="00EC1D8F">
        <w:rPr>
          <w:rFonts w:ascii="Arial" w:hAnsi="Arial" w:cs="Arial"/>
          <w:bCs/>
          <w:sz w:val="22"/>
          <w:szCs w:val="22"/>
        </w:rPr>
        <w:t xml:space="preserve">Muñoz-Martín, J. (2013). </w:t>
      </w:r>
      <w:r w:rsidRPr="00722E56">
        <w:rPr>
          <w:rFonts w:ascii="Arial" w:hAnsi="Arial" w:cs="Arial"/>
          <w:bCs/>
          <w:sz w:val="22"/>
          <w:szCs w:val="22"/>
          <w:lang w:val="es-PE"/>
        </w:rPr>
        <w:t>Ética empresarial, Responsabilidad Social Corporativa (RSC) y Creación de Valor Compartido (CVC). GCG: Revista de Globalización, Competitividad y Gobernabilidad, 7(3), 76–88.</w:t>
      </w:r>
    </w:p>
    <w:p w14:paraId="49ACA22F"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 xml:space="preserve">Nussbaum, M. C. (2011). </w:t>
      </w:r>
      <w:r w:rsidRPr="00B73A0A">
        <w:rPr>
          <w:rFonts w:ascii="Arial" w:hAnsi="Arial" w:cs="Arial"/>
          <w:bCs/>
          <w:sz w:val="22"/>
          <w:szCs w:val="22"/>
          <w:lang w:val="en-US"/>
        </w:rPr>
        <w:t xml:space="preserve">Creating Capabilities: The Human Development Approach. </w:t>
      </w:r>
      <w:r w:rsidRPr="00722E56">
        <w:rPr>
          <w:rFonts w:ascii="Arial" w:hAnsi="Arial" w:cs="Arial"/>
          <w:bCs/>
          <w:sz w:val="22"/>
          <w:szCs w:val="22"/>
          <w:lang w:val="es-PE"/>
        </w:rPr>
        <w:t xml:space="preserve">Cambridge, MA: Harvard </w:t>
      </w:r>
      <w:proofErr w:type="spellStart"/>
      <w:r w:rsidRPr="00722E56">
        <w:rPr>
          <w:rFonts w:ascii="Arial" w:hAnsi="Arial" w:cs="Arial"/>
          <w:bCs/>
          <w:sz w:val="22"/>
          <w:szCs w:val="22"/>
          <w:lang w:val="es-PE"/>
        </w:rPr>
        <w:t>University</w:t>
      </w:r>
      <w:proofErr w:type="spellEnd"/>
      <w:r w:rsidRPr="00722E56">
        <w:rPr>
          <w:rFonts w:ascii="Arial" w:hAnsi="Arial" w:cs="Arial"/>
          <w:bCs/>
          <w:sz w:val="22"/>
          <w:szCs w:val="22"/>
          <w:lang w:val="es-PE"/>
        </w:rPr>
        <w:t xml:space="preserve"> </w:t>
      </w:r>
      <w:proofErr w:type="spellStart"/>
      <w:r w:rsidRPr="00722E56">
        <w:rPr>
          <w:rFonts w:ascii="Arial" w:hAnsi="Arial" w:cs="Arial"/>
          <w:bCs/>
          <w:sz w:val="22"/>
          <w:szCs w:val="22"/>
          <w:lang w:val="es-PE"/>
        </w:rPr>
        <w:t>Press</w:t>
      </w:r>
      <w:proofErr w:type="spellEnd"/>
      <w:r w:rsidRPr="00722E56">
        <w:rPr>
          <w:rFonts w:ascii="Arial" w:hAnsi="Arial" w:cs="Arial"/>
          <w:bCs/>
          <w:sz w:val="22"/>
          <w:szCs w:val="22"/>
          <w:lang w:val="es-PE"/>
        </w:rPr>
        <w:t>.</w:t>
      </w:r>
    </w:p>
    <w:p w14:paraId="7ED6D1B7"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OCMAL. (2024). El 35% de los conflictos sociales del país están relacionados con la minería. https://www.business-humanrights.org/es/%C3%BAltimas-noticias/per%C3%BA-el-35-de-los-conflictos-sociales-del-pa%C3%ADs-est%C3%A1n-relacionados-con-la-miner%C3%ADa/</w:t>
      </w:r>
    </w:p>
    <w:p w14:paraId="12386839"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OECD. (2023). Handbook on Environmental Due Diligence in Mineral Supply Chains. https://www.oecd.org/content/dam/oecd/en/publications/reports/2023/09/handbook-on-environmental-due-diligence-in-mineral-supply-chains_ed05507f/cef843bf-en.pdf</w:t>
      </w:r>
    </w:p>
    <w:p w14:paraId="1903073C"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 xml:space="preserve">Organismo de Evaluación y Fiscalización Ambiental (OEFA). (2023). Hacia un mejor desempeño de las consultoras ambientales. </w:t>
      </w:r>
      <w:r w:rsidRPr="00722E56">
        <w:rPr>
          <w:rFonts w:ascii="Arial" w:hAnsi="Arial" w:cs="Arial"/>
          <w:bCs/>
          <w:sz w:val="22"/>
          <w:szCs w:val="22"/>
          <w:lang w:val="es-PE"/>
        </w:rPr>
        <w:t>https://cdn.www.gob.pe/uploads/document/file/5415642/4841272-hacia-un-mejor-desempeno-de-las-consultoras-ambientales.pdf</w:t>
      </w:r>
    </w:p>
    <w:p w14:paraId="243948F0"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Osinergmin. (2024a). Informe de seguimiento de proyectos en construcción, abril 2024. https://www.osinergmin.gob.pe/newweb/uploads/Publico/MapaSEIN/informes/proyectos/construccion/202404.pdf</w:t>
      </w:r>
    </w:p>
    <w:p w14:paraId="44AFE53F"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Osinergmin. (2024b). Reporte de supervisión del sector eléctrico 2024. https://www.osinergmin.gob.pe/seccion/centro_documental/electricidad/Documentos/Reportes/Osinergmin-DSE-RGE-CD-969-09-10-15-10-2024.pdf</w:t>
      </w:r>
    </w:p>
    <w:p w14:paraId="2AFA755C" w14:textId="77777777" w:rsidR="00087026" w:rsidRPr="00B73A0A" w:rsidRDefault="00087026" w:rsidP="00087026">
      <w:pPr>
        <w:ind w:left="142" w:hanging="142"/>
        <w:jc w:val="both"/>
        <w:rPr>
          <w:rFonts w:ascii="Arial" w:hAnsi="Arial" w:cs="Arial"/>
          <w:bCs/>
          <w:sz w:val="22"/>
          <w:szCs w:val="22"/>
          <w:lang w:val="en-US"/>
        </w:rPr>
      </w:pPr>
      <w:r w:rsidRPr="00722E56">
        <w:rPr>
          <w:rFonts w:ascii="Arial" w:hAnsi="Arial" w:cs="Arial"/>
          <w:bCs/>
          <w:sz w:val="22"/>
          <w:szCs w:val="22"/>
          <w:lang w:val="es-PE"/>
        </w:rPr>
        <w:t xml:space="preserve">Porter, M. E., &amp; Kramer, M. R. (2011). La creación de valor compartido. </w:t>
      </w:r>
      <w:r w:rsidRPr="00B73A0A">
        <w:rPr>
          <w:rFonts w:ascii="Arial" w:hAnsi="Arial" w:cs="Arial"/>
          <w:bCs/>
          <w:sz w:val="22"/>
          <w:szCs w:val="22"/>
          <w:lang w:val="en-US"/>
        </w:rPr>
        <w:t>Harvard Business Review América Latina, 3–18.</w:t>
      </w:r>
    </w:p>
    <w:p w14:paraId="65750B3C"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Rogers, E. M. (1962). Diffusion of Innovations. New York: The Free Press.</w:t>
      </w:r>
    </w:p>
    <w:p w14:paraId="4C2D2392" w14:textId="45C6D446" w:rsidR="00541ABB" w:rsidRPr="00541ABB" w:rsidRDefault="00541ABB" w:rsidP="00541ABB">
      <w:pPr>
        <w:ind w:left="142" w:hanging="142"/>
        <w:jc w:val="both"/>
        <w:rPr>
          <w:rFonts w:ascii="Arial" w:hAnsi="Arial" w:cs="Arial"/>
          <w:bCs/>
          <w:sz w:val="22"/>
          <w:szCs w:val="22"/>
          <w:lang w:val="es-PE"/>
        </w:rPr>
      </w:pPr>
      <w:r w:rsidRPr="00541ABB">
        <w:rPr>
          <w:rFonts w:ascii="Arial" w:hAnsi="Arial" w:cs="Arial"/>
          <w:bCs/>
          <w:sz w:val="22"/>
          <w:szCs w:val="22"/>
          <w:lang w:val="es-PE"/>
        </w:rPr>
        <w:t>RPP Noticias. (2012). En lo que va del año hay 18 muertos por cupos en construcción civil. RPP Noticias. https://rpp.pe/lima/actualidad/en-lo-que-va-del-ano-hay-18-muertos-por-cupos-en-construccion-civil-noticia-530874#google_vignette.</w:t>
      </w:r>
    </w:p>
    <w:p w14:paraId="563CDB35"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Sáenz, C. (2022). Modelo de gestión social para la industria minera: un estudio del caso peruano. Revista Minería. https://revistamineria.com.pe/raiz/modelo-de-gestion-social-para-la-industria-minera.-un-estudio-del-caso-peruano</w:t>
      </w:r>
    </w:p>
    <w:p w14:paraId="77B254FF"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Sáenz, C. (2023). Corporate social responsibility strategies beyond the sphere of influence: Cases from the Peruvian mining industry. Resources Policy, 80, 103187. https://doi.org/10.1016/j.resourpol.2022.103187</w:t>
      </w:r>
    </w:p>
    <w:p w14:paraId="0F73A530"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Sáenz, C. (2023). Creating shared value strategies to reach the United Nations sustainable development goals: Evidence from the mining industry. The Extractive Industries and Society, 14, 101255. https://doi.org/10.1016/j.exis.2023.101255</w:t>
      </w:r>
    </w:p>
    <w:p w14:paraId="6294E14D" w14:textId="77777777" w:rsidR="00087026" w:rsidRPr="00722E56" w:rsidRDefault="00087026" w:rsidP="00087026">
      <w:pPr>
        <w:ind w:left="142" w:hanging="142"/>
        <w:jc w:val="both"/>
        <w:rPr>
          <w:rFonts w:ascii="Arial" w:hAnsi="Arial" w:cs="Arial"/>
          <w:bCs/>
          <w:sz w:val="22"/>
          <w:szCs w:val="22"/>
          <w:lang w:val="es-PE"/>
        </w:rPr>
      </w:pPr>
      <w:r w:rsidRPr="00B73A0A">
        <w:rPr>
          <w:rFonts w:ascii="Arial" w:hAnsi="Arial" w:cs="Arial"/>
          <w:bCs/>
          <w:sz w:val="22"/>
          <w:szCs w:val="22"/>
          <w:lang w:val="en-US"/>
        </w:rPr>
        <w:t xml:space="preserve">Sen, A. (1993). Capability and well-being. En M. Nussbaum &amp; A. Sen (Eds.), The Quality of Life (pp. 30–53). </w:t>
      </w:r>
      <w:r w:rsidRPr="00722E56">
        <w:rPr>
          <w:rFonts w:ascii="Arial" w:hAnsi="Arial" w:cs="Arial"/>
          <w:bCs/>
          <w:sz w:val="22"/>
          <w:szCs w:val="22"/>
          <w:lang w:val="es-PE"/>
        </w:rPr>
        <w:t xml:space="preserve">Oxford: Clarendon </w:t>
      </w:r>
      <w:proofErr w:type="spellStart"/>
      <w:r w:rsidRPr="00722E56">
        <w:rPr>
          <w:rFonts w:ascii="Arial" w:hAnsi="Arial" w:cs="Arial"/>
          <w:bCs/>
          <w:sz w:val="22"/>
          <w:szCs w:val="22"/>
          <w:lang w:val="es-PE"/>
        </w:rPr>
        <w:t>Press</w:t>
      </w:r>
      <w:proofErr w:type="spellEnd"/>
      <w:r w:rsidRPr="00722E56">
        <w:rPr>
          <w:rFonts w:ascii="Arial" w:hAnsi="Arial" w:cs="Arial"/>
          <w:bCs/>
          <w:sz w:val="22"/>
          <w:szCs w:val="22"/>
          <w:lang w:val="es-PE"/>
        </w:rPr>
        <w:t>.</w:t>
      </w:r>
    </w:p>
    <w:p w14:paraId="04943007"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Sociedad Nacional de Minería, Petróleo y Energía (SNMPE). (2021). Minera Las Bambas insta al diálogo por bloqueos en corredor vial sur. https://www.desdeadentro.pe/2021/09/minera-las-bambas-insta-al-dialogo-por-bloqueos-en-corredor-vial-sur/</w:t>
      </w:r>
    </w:p>
    <w:p w14:paraId="440322FB"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Sociedad Nacional de Minería, Petróleo y Energía (SNMPE). (2024). La transición energética y el futuro del sector minero-energético en el Perú. https://www.desdeadentro.pe/2024/05/la-transicion-energetica-y-el-futuro-del-sector-minero-energetico-en-el-peru-perspectivas-y-desafios/</w:t>
      </w:r>
    </w:p>
    <w:p w14:paraId="4761D7FE"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lastRenderedPageBreak/>
        <w:t xml:space="preserve">Sociedad Nacional de Minería, Petróleo y Energía (SNMPE). (2025). </w:t>
      </w:r>
      <w:proofErr w:type="spellStart"/>
      <w:r w:rsidRPr="00722E56">
        <w:rPr>
          <w:rFonts w:ascii="Arial" w:hAnsi="Arial" w:cs="Arial"/>
          <w:bCs/>
          <w:sz w:val="22"/>
          <w:szCs w:val="22"/>
          <w:lang w:val="es-PE"/>
        </w:rPr>
        <w:t>Kallpa</w:t>
      </w:r>
      <w:proofErr w:type="spellEnd"/>
      <w:r w:rsidRPr="00722E56">
        <w:rPr>
          <w:rFonts w:ascii="Arial" w:hAnsi="Arial" w:cs="Arial"/>
          <w:bCs/>
          <w:sz w:val="22"/>
          <w:szCs w:val="22"/>
          <w:lang w:val="es-PE"/>
        </w:rPr>
        <w:t xml:space="preserve"> contará con 300 MW de generación solar provenientes de la Central San Martín. https://www.desdeadentro.pe/2025/06/kallpa-contara-con-300-mw-de-generacion-solar-provenientes-de-la-central-san-martin-en-arequipa/</w:t>
      </w:r>
    </w:p>
    <w:p w14:paraId="0FA7F8D4" w14:textId="77777777" w:rsidR="00087026" w:rsidRPr="00722E56" w:rsidRDefault="00087026" w:rsidP="00087026">
      <w:pPr>
        <w:ind w:left="142" w:hanging="142"/>
        <w:jc w:val="both"/>
        <w:rPr>
          <w:rFonts w:ascii="Arial" w:hAnsi="Arial" w:cs="Arial"/>
          <w:bCs/>
          <w:sz w:val="22"/>
          <w:szCs w:val="22"/>
          <w:lang w:val="es-PE"/>
        </w:rPr>
      </w:pPr>
      <w:r w:rsidRPr="00722E56">
        <w:rPr>
          <w:rFonts w:ascii="Arial" w:hAnsi="Arial" w:cs="Arial"/>
          <w:bCs/>
          <w:sz w:val="22"/>
          <w:szCs w:val="22"/>
          <w:lang w:val="es-PE"/>
        </w:rPr>
        <w:t>Sociedad Nacional de Minería, Petróleo y Energía (SNMPE). (2025). Central Solar San Martín inicia operación comercial en Arequipa. https://www.desdeadentro.pe/2025/06/central-solar-san-martin-solar-inicia-operacion-comercial-en-arequipa/</w:t>
      </w:r>
    </w:p>
    <w:p w14:paraId="1E150B47" w14:textId="77777777" w:rsidR="00750EFB" w:rsidRDefault="00750EFB" w:rsidP="00087026">
      <w:pPr>
        <w:ind w:left="142" w:hanging="142"/>
        <w:jc w:val="both"/>
        <w:rPr>
          <w:rFonts w:ascii="Arial" w:hAnsi="Arial" w:cs="Arial"/>
          <w:bCs/>
          <w:sz w:val="22"/>
          <w:szCs w:val="22"/>
          <w:lang w:val="en-US"/>
        </w:rPr>
      </w:pPr>
      <w:proofErr w:type="spellStart"/>
      <w:r w:rsidRPr="00750EFB">
        <w:rPr>
          <w:rFonts w:ascii="Arial" w:hAnsi="Arial" w:cs="Arial"/>
          <w:bCs/>
          <w:sz w:val="22"/>
          <w:szCs w:val="22"/>
          <w:lang w:val="en-US"/>
        </w:rPr>
        <w:t>Tapaninaho</w:t>
      </w:r>
      <w:proofErr w:type="spellEnd"/>
      <w:r w:rsidRPr="00750EFB">
        <w:rPr>
          <w:rFonts w:ascii="Arial" w:hAnsi="Arial" w:cs="Arial"/>
          <w:bCs/>
          <w:sz w:val="22"/>
          <w:szCs w:val="22"/>
          <w:lang w:val="en-US"/>
        </w:rPr>
        <w:t xml:space="preserve">, R., &amp; Heikkinen, A. (2022). Value creation in circular economy business for sustainability: A stakeholder relationship perspective. Business Strategy and the Environment. https://doi.org/10.1002/bse.3002. </w:t>
      </w:r>
    </w:p>
    <w:p w14:paraId="3A01906B" w14:textId="7F669953"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 xml:space="preserve">Tufte, T. (2017). Communication and Social Change: A Citizen Perspective. Polity Press. </w:t>
      </w:r>
    </w:p>
    <w:p w14:paraId="690E2393" w14:textId="77777777" w:rsidR="00087026" w:rsidRPr="00B73A0A" w:rsidRDefault="00087026" w:rsidP="00087026">
      <w:pPr>
        <w:ind w:left="142" w:hanging="142"/>
        <w:jc w:val="both"/>
        <w:rPr>
          <w:rFonts w:ascii="Arial" w:hAnsi="Arial" w:cs="Arial"/>
          <w:bCs/>
          <w:sz w:val="22"/>
          <w:szCs w:val="22"/>
          <w:lang w:val="en-US"/>
        </w:rPr>
      </w:pPr>
      <w:proofErr w:type="spellStart"/>
      <w:r w:rsidRPr="00B73A0A">
        <w:rPr>
          <w:rFonts w:ascii="Arial" w:hAnsi="Arial" w:cs="Arial"/>
          <w:bCs/>
          <w:sz w:val="22"/>
          <w:szCs w:val="22"/>
          <w:lang w:val="en-US"/>
        </w:rPr>
        <w:t>Waisbord</w:t>
      </w:r>
      <w:proofErr w:type="spellEnd"/>
      <w:r w:rsidRPr="00B73A0A">
        <w:rPr>
          <w:rFonts w:ascii="Arial" w:hAnsi="Arial" w:cs="Arial"/>
          <w:bCs/>
          <w:sz w:val="22"/>
          <w:szCs w:val="22"/>
          <w:lang w:val="en-US"/>
        </w:rPr>
        <w:t>, S. (2001). Family Tree of Theories, Methodologies and Strategies in Development Communication: Convergences and Differences. Rockefeller Foundation.</w:t>
      </w:r>
    </w:p>
    <w:p w14:paraId="5E779BE9"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Yang, T., &amp; Rubin, J. (2019). How do I survive due diligence? Fairfield County Business Journal, 55(4), 17.</w:t>
      </w:r>
    </w:p>
    <w:p w14:paraId="2DA52DDC" w14:textId="77777777" w:rsidR="00087026" w:rsidRPr="00B73A0A" w:rsidRDefault="00087026" w:rsidP="00087026">
      <w:pPr>
        <w:ind w:left="142" w:hanging="142"/>
        <w:jc w:val="both"/>
        <w:rPr>
          <w:rFonts w:ascii="Arial" w:hAnsi="Arial" w:cs="Arial"/>
          <w:bCs/>
          <w:sz w:val="22"/>
          <w:szCs w:val="22"/>
          <w:lang w:val="en-US"/>
        </w:rPr>
      </w:pPr>
      <w:r w:rsidRPr="00B73A0A">
        <w:rPr>
          <w:rFonts w:ascii="Arial" w:hAnsi="Arial" w:cs="Arial"/>
          <w:bCs/>
          <w:sz w:val="22"/>
          <w:szCs w:val="22"/>
          <w:lang w:val="en-US"/>
        </w:rPr>
        <w:t>Zhou, G., Liu, L., &amp; Luo, S. (2022). Sustainable development, ESG performance and company market value: Mediating effect of financial performance. Business Strategy and the Environment, 31(3), 1160–1177. https://doi.org/10.1002/bse.3089</w:t>
      </w:r>
    </w:p>
    <w:p w14:paraId="62B19025" w14:textId="34DD2032" w:rsidR="00087026" w:rsidRDefault="00087026" w:rsidP="00087026">
      <w:pPr>
        <w:ind w:left="142" w:hanging="142"/>
        <w:jc w:val="both"/>
        <w:rPr>
          <w:rFonts w:ascii="Arial" w:hAnsi="Arial" w:cs="Arial"/>
          <w:bCs/>
          <w:sz w:val="22"/>
          <w:szCs w:val="22"/>
          <w:lang w:val="en-US"/>
        </w:rPr>
      </w:pPr>
      <w:proofErr w:type="spellStart"/>
      <w:r w:rsidRPr="00B73A0A">
        <w:rPr>
          <w:rFonts w:ascii="Arial" w:hAnsi="Arial" w:cs="Arial"/>
          <w:bCs/>
          <w:sz w:val="22"/>
          <w:szCs w:val="22"/>
          <w:lang w:val="en-US"/>
        </w:rPr>
        <w:t>Zelestra</w:t>
      </w:r>
      <w:proofErr w:type="spellEnd"/>
      <w:r w:rsidRPr="00B73A0A">
        <w:rPr>
          <w:rFonts w:ascii="Arial" w:hAnsi="Arial" w:cs="Arial"/>
          <w:bCs/>
          <w:sz w:val="22"/>
          <w:szCs w:val="22"/>
          <w:lang w:val="en-US"/>
        </w:rPr>
        <w:t xml:space="preserve">. (2025). </w:t>
      </w:r>
      <w:proofErr w:type="spellStart"/>
      <w:r w:rsidRPr="00B73A0A">
        <w:rPr>
          <w:rFonts w:ascii="Arial" w:hAnsi="Arial" w:cs="Arial"/>
          <w:bCs/>
          <w:sz w:val="22"/>
          <w:szCs w:val="22"/>
          <w:lang w:val="en-US"/>
        </w:rPr>
        <w:t>Zelestra</w:t>
      </w:r>
      <w:proofErr w:type="spellEnd"/>
      <w:r w:rsidRPr="00B73A0A">
        <w:rPr>
          <w:rFonts w:ascii="Arial" w:hAnsi="Arial" w:cs="Arial"/>
          <w:bCs/>
          <w:sz w:val="22"/>
          <w:szCs w:val="22"/>
          <w:lang w:val="en-US"/>
        </w:rPr>
        <w:t xml:space="preserve"> announces full commercial operation of Peru’s largest solar plant, the 300 </w:t>
      </w:r>
      <w:proofErr w:type="spellStart"/>
      <w:r w:rsidRPr="00B73A0A">
        <w:rPr>
          <w:rFonts w:ascii="Arial" w:hAnsi="Arial" w:cs="Arial"/>
          <w:bCs/>
          <w:sz w:val="22"/>
          <w:szCs w:val="22"/>
          <w:lang w:val="en-US"/>
        </w:rPr>
        <w:t>MWdc</w:t>
      </w:r>
      <w:proofErr w:type="spellEnd"/>
      <w:r w:rsidRPr="00B73A0A">
        <w:rPr>
          <w:rFonts w:ascii="Arial" w:hAnsi="Arial" w:cs="Arial"/>
          <w:bCs/>
          <w:sz w:val="22"/>
          <w:szCs w:val="22"/>
          <w:lang w:val="en-US"/>
        </w:rPr>
        <w:t xml:space="preserve"> San Martín Project. https://zelestra.energy/zelestra-announces-full-commercial-operation-of-perus-largest-solar-plant-the-300-mwdc-san-martin-project/</w:t>
      </w:r>
    </w:p>
    <w:p w14:paraId="47D42B2E"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7D1064D1"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7297995C"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7983F3F0"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5FEC7B85"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2E18BC8"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4A25F0A8"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666E9F99"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04B9E41"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38B49703"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68DDBACA"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30946B6F"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5DFAF6FE"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2B537FE7"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6CCF0AE9"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5633FEBC"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24BF7AAC"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6D19FC0F"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FCFF398"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7818C3BD"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2B99B6E6"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01301E1"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348B1702"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7BA3B605"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31AB57A3"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66CF314D"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52ED3234"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D3D2A0B"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1F7BDBAD"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45D74665"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1CDA58E3"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07D52E40" w14:textId="77777777" w:rsidR="00645C9C" w:rsidRPr="00AC3B9A" w:rsidRDefault="00645C9C" w:rsidP="00B73A0A">
      <w:pPr>
        <w:widowControl w:val="0"/>
        <w:autoSpaceDE w:val="0"/>
        <w:autoSpaceDN w:val="0"/>
        <w:adjustRightInd w:val="0"/>
        <w:jc w:val="both"/>
        <w:rPr>
          <w:rFonts w:ascii="Arial" w:hAnsi="Arial" w:cs="Arial"/>
          <w:bCs/>
          <w:sz w:val="22"/>
          <w:szCs w:val="22"/>
          <w:lang w:val="en-US"/>
        </w:rPr>
      </w:pPr>
    </w:p>
    <w:p w14:paraId="1A2FD6ED" w14:textId="76E344D9" w:rsidR="00180629" w:rsidRPr="00B73A0A" w:rsidRDefault="00087026" w:rsidP="00B73A0A">
      <w:pPr>
        <w:widowControl w:val="0"/>
        <w:autoSpaceDE w:val="0"/>
        <w:autoSpaceDN w:val="0"/>
        <w:adjustRightInd w:val="0"/>
        <w:jc w:val="both"/>
        <w:rPr>
          <w:rFonts w:ascii="Arial" w:hAnsi="Arial" w:cs="Arial"/>
          <w:b/>
          <w:sz w:val="22"/>
          <w:szCs w:val="22"/>
          <w:lang w:val="es-PE"/>
        </w:rPr>
      </w:pPr>
      <w:r w:rsidRPr="00B73A0A">
        <w:rPr>
          <w:rFonts w:ascii="Arial" w:hAnsi="Arial" w:cs="Arial"/>
          <w:b/>
          <w:sz w:val="22"/>
          <w:szCs w:val="22"/>
          <w:lang w:val="es-PE"/>
        </w:rPr>
        <w:t>Gianfranco Vigo</w:t>
      </w:r>
    </w:p>
    <w:p w14:paraId="593CF034" w14:textId="249D6D12" w:rsidR="00180629" w:rsidRPr="00B73A0A" w:rsidRDefault="00B73A0A" w:rsidP="00B73A0A">
      <w:pPr>
        <w:widowControl w:val="0"/>
        <w:autoSpaceDE w:val="0"/>
        <w:autoSpaceDN w:val="0"/>
        <w:adjustRightInd w:val="0"/>
        <w:jc w:val="both"/>
        <w:rPr>
          <w:rFonts w:ascii="Arial" w:hAnsi="Arial" w:cs="Arial"/>
          <w:bCs/>
          <w:sz w:val="22"/>
          <w:szCs w:val="22"/>
          <w:lang w:val="es-PE"/>
        </w:rPr>
      </w:pPr>
      <w:r w:rsidRPr="00B73A0A">
        <w:rPr>
          <w:rFonts w:ascii="Arial" w:hAnsi="Arial" w:cs="Arial"/>
          <w:bCs/>
          <w:sz w:val="22"/>
          <w:szCs w:val="22"/>
          <w:lang w:val="es-PE"/>
        </w:rPr>
        <w:t>Comunicador para el desarrollo por la PUCP, con Maestría en Relaciones Comunitarias y Gestión de Conflictos Socioambientales por la UNC. Cuenta con casi 10 años de experiencia en el sector minero-energético, incluyendo proyectos para USAID y empresas líderes del rubro. Ha seguido especializaciones en ESAN y CENTRUM PUCP. Actualmente se desempeña como Gestor Social en la Central Hidroeléctrica Cerro del Águila (</w:t>
      </w:r>
      <w:proofErr w:type="spellStart"/>
      <w:r w:rsidRPr="00B73A0A">
        <w:rPr>
          <w:rFonts w:ascii="Arial" w:hAnsi="Arial" w:cs="Arial"/>
          <w:bCs/>
          <w:sz w:val="22"/>
          <w:szCs w:val="22"/>
          <w:lang w:val="es-PE"/>
        </w:rPr>
        <w:t>Kallpa</w:t>
      </w:r>
      <w:proofErr w:type="spellEnd"/>
      <w:r w:rsidRPr="00B73A0A">
        <w:rPr>
          <w:rFonts w:ascii="Arial" w:hAnsi="Arial" w:cs="Arial"/>
          <w:bCs/>
          <w:sz w:val="22"/>
          <w:szCs w:val="22"/>
          <w:lang w:val="es-PE"/>
        </w:rPr>
        <w:t xml:space="preserve"> Generación), donde </w:t>
      </w:r>
      <w:r w:rsidR="00CB4532">
        <w:rPr>
          <w:rFonts w:ascii="Arial" w:hAnsi="Arial" w:cs="Arial"/>
          <w:bCs/>
          <w:sz w:val="22"/>
          <w:szCs w:val="22"/>
          <w:lang w:val="es-PE"/>
        </w:rPr>
        <w:t xml:space="preserve">diseña e implementa </w:t>
      </w:r>
      <w:r w:rsidRPr="00B73A0A">
        <w:rPr>
          <w:rFonts w:ascii="Arial" w:hAnsi="Arial" w:cs="Arial"/>
          <w:bCs/>
          <w:sz w:val="22"/>
          <w:szCs w:val="22"/>
          <w:lang w:val="es-PE"/>
        </w:rPr>
        <w:t>procesos de relacionamiento comunitario, intervención social y sostenibilidad territorial.</w:t>
      </w: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sectPr w:rsidR="001F29E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2650" w14:textId="77777777" w:rsidR="00E2132F" w:rsidRDefault="00E2132F" w:rsidP="004D469A">
      <w:r>
        <w:separator/>
      </w:r>
    </w:p>
  </w:endnote>
  <w:endnote w:type="continuationSeparator" w:id="0">
    <w:p w14:paraId="03D7A853" w14:textId="77777777" w:rsidR="00E2132F" w:rsidRDefault="00E2132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CDDA" w14:textId="77777777" w:rsidR="00E2132F" w:rsidRDefault="00E2132F" w:rsidP="004D469A">
      <w:r>
        <w:separator/>
      </w:r>
    </w:p>
  </w:footnote>
  <w:footnote w:type="continuationSeparator" w:id="0">
    <w:p w14:paraId="56B77D5B" w14:textId="77777777" w:rsidR="00E2132F" w:rsidRDefault="00E2132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r>
      <w:rPr>
        <w:sz w:val="18"/>
      </w:rPr>
      <w:t>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8D4D43"/>
    <w:multiLevelType w:val="hybridMultilevel"/>
    <w:tmpl w:val="867005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0"/>
  </w:num>
  <w:num w:numId="2" w16cid:durableId="280839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318B"/>
    <w:rsid w:val="00047A63"/>
    <w:rsid w:val="00057373"/>
    <w:rsid w:val="000703C0"/>
    <w:rsid w:val="00087026"/>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96FB2"/>
    <w:rsid w:val="001A607C"/>
    <w:rsid w:val="001B2427"/>
    <w:rsid w:val="001B3D61"/>
    <w:rsid w:val="001D0826"/>
    <w:rsid w:val="001D5AA2"/>
    <w:rsid w:val="001F29ED"/>
    <w:rsid w:val="001F63C4"/>
    <w:rsid w:val="001F7167"/>
    <w:rsid w:val="00205A18"/>
    <w:rsid w:val="00212742"/>
    <w:rsid w:val="002201FE"/>
    <w:rsid w:val="00232224"/>
    <w:rsid w:val="002419CB"/>
    <w:rsid w:val="002525E1"/>
    <w:rsid w:val="00252B85"/>
    <w:rsid w:val="002641B3"/>
    <w:rsid w:val="002827F4"/>
    <w:rsid w:val="002A29DF"/>
    <w:rsid w:val="002A52B1"/>
    <w:rsid w:val="002A5DFE"/>
    <w:rsid w:val="002A766D"/>
    <w:rsid w:val="002B26C7"/>
    <w:rsid w:val="002B5475"/>
    <w:rsid w:val="002B6669"/>
    <w:rsid w:val="002C3EBB"/>
    <w:rsid w:val="002D1C36"/>
    <w:rsid w:val="002D240B"/>
    <w:rsid w:val="002F02FA"/>
    <w:rsid w:val="003062F2"/>
    <w:rsid w:val="00307578"/>
    <w:rsid w:val="00314F9E"/>
    <w:rsid w:val="00324786"/>
    <w:rsid w:val="00337295"/>
    <w:rsid w:val="00344C46"/>
    <w:rsid w:val="003608C3"/>
    <w:rsid w:val="00363841"/>
    <w:rsid w:val="0036489F"/>
    <w:rsid w:val="00381D7F"/>
    <w:rsid w:val="003B66C8"/>
    <w:rsid w:val="003B6E44"/>
    <w:rsid w:val="003B73F0"/>
    <w:rsid w:val="003C6D44"/>
    <w:rsid w:val="003D271C"/>
    <w:rsid w:val="003D3A4A"/>
    <w:rsid w:val="003F080D"/>
    <w:rsid w:val="0040485C"/>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B7115"/>
    <w:rsid w:val="004C3B69"/>
    <w:rsid w:val="004D0689"/>
    <w:rsid w:val="004D469A"/>
    <w:rsid w:val="004D59AC"/>
    <w:rsid w:val="004E233B"/>
    <w:rsid w:val="005218B6"/>
    <w:rsid w:val="00522C8C"/>
    <w:rsid w:val="00540653"/>
    <w:rsid w:val="00541ABB"/>
    <w:rsid w:val="005505E2"/>
    <w:rsid w:val="005631EB"/>
    <w:rsid w:val="005754A7"/>
    <w:rsid w:val="005A1CBB"/>
    <w:rsid w:val="005A352B"/>
    <w:rsid w:val="005B08EB"/>
    <w:rsid w:val="005D5C2A"/>
    <w:rsid w:val="005D673A"/>
    <w:rsid w:val="005E3684"/>
    <w:rsid w:val="006044D7"/>
    <w:rsid w:val="006050E9"/>
    <w:rsid w:val="006178C0"/>
    <w:rsid w:val="00622FDA"/>
    <w:rsid w:val="00631DC1"/>
    <w:rsid w:val="006423FA"/>
    <w:rsid w:val="00645C9C"/>
    <w:rsid w:val="00645FA1"/>
    <w:rsid w:val="00650F70"/>
    <w:rsid w:val="006535A5"/>
    <w:rsid w:val="00661FE9"/>
    <w:rsid w:val="0066746B"/>
    <w:rsid w:val="00671435"/>
    <w:rsid w:val="00671ED9"/>
    <w:rsid w:val="006833D8"/>
    <w:rsid w:val="006975E0"/>
    <w:rsid w:val="006A08B5"/>
    <w:rsid w:val="006A12C3"/>
    <w:rsid w:val="006C188D"/>
    <w:rsid w:val="006D0F12"/>
    <w:rsid w:val="006D256B"/>
    <w:rsid w:val="006E49B3"/>
    <w:rsid w:val="006F2731"/>
    <w:rsid w:val="006F6A1B"/>
    <w:rsid w:val="006F7FF3"/>
    <w:rsid w:val="00707530"/>
    <w:rsid w:val="00712097"/>
    <w:rsid w:val="007150A0"/>
    <w:rsid w:val="00720C40"/>
    <w:rsid w:val="00722E56"/>
    <w:rsid w:val="0072535F"/>
    <w:rsid w:val="007373B8"/>
    <w:rsid w:val="00750EFB"/>
    <w:rsid w:val="00751F0F"/>
    <w:rsid w:val="00755D2F"/>
    <w:rsid w:val="007937FD"/>
    <w:rsid w:val="007A1D98"/>
    <w:rsid w:val="007A3FCB"/>
    <w:rsid w:val="007B0955"/>
    <w:rsid w:val="007B6BEA"/>
    <w:rsid w:val="007C23EB"/>
    <w:rsid w:val="007D0CBA"/>
    <w:rsid w:val="007D2A73"/>
    <w:rsid w:val="007F5F63"/>
    <w:rsid w:val="00800D1B"/>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607C8"/>
    <w:rsid w:val="00975533"/>
    <w:rsid w:val="00977B12"/>
    <w:rsid w:val="009A68FA"/>
    <w:rsid w:val="009B19B2"/>
    <w:rsid w:val="009D3326"/>
    <w:rsid w:val="009D7B7E"/>
    <w:rsid w:val="009E12DE"/>
    <w:rsid w:val="009E3508"/>
    <w:rsid w:val="00A01021"/>
    <w:rsid w:val="00A05DB9"/>
    <w:rsid w:val="00A06D7F"/>
    <w:rsid w:val="00A14F68"/>
    <w:rsid w:val="00A201D7"/>
    <w:rsid w:val="00A25141"/>
    <w:rsid w:val="00A41007"/>
    <w:rsid w:val="00A47944"/>
    <w:rsid w:val="00A534CB"/>
    <w:rsid w:val="00A63A13"/>
    <w:rsid w:val="00A64A25"/>
    <w:rsid w:val="00A72724"/>
    <w:rsid w:val="00A9689C"/>
    <w:rsid w:val="00AA4DC5"/>
    <w:rsid w:val="00AA73E2"/>
    <w:rsid w:val="00AB5936"/>
    <w:rsid w:val="00AC3B9A"/>
    <w:rsid w:val="00AE6C05"/>
    <w:rsid w:val="00AF2A3B"/>
    <w:rsid w:val="00AF3FFE"/>
    <w:rsid w:val="00AF51EF"/>
    <w:rsid w:val="00B12D23"/>
    <w:rsid w:val="00B31337"/>
    <w:rsid w:val="00B32C80"/>
    <w:rsid w:val="00B37EDA"/>
    <w:rsid w:val="00B529EF"/>
    <w:rsid w:val="00B533B2"/>
    <w:rsid w:val="00B53F71"/>
    <w:rsid w:val="00B656AE"/>
    <w:rsid w:val="00B73A0A"/>
    <w:rsid w:val="00B87F71"/>
    <w:rsid w:val="00B951CF"/>
    <w:rsid w:val="00BA086E"/>
    <w:rsid w:val="00BA65D9"/>
    <w:rsid w:val="00BC4D43"/>
    <w:rsid w:val="00BD20B8"/>
    <w:rsid w:val="00BF491E"/>
    <w:rsid w:val="00C17BFC"/>
    <w:rsid w:val="00C200FC"/>
    <w:rsid w:val="00C249F1"/>
    <w:rsid w:val="00C41CD8"/>
    <w:rsid w:val="00C6710D"/>
    <w:rsid w:val="00C90525"/>
    <w:rsid w:val="00CA3055"/>
    <w:rsid w:val="00CA54CA"/>
    <w:rsid w:val="00CB3683"/>
    <w:rsid w:val="00CB4532"/>
    <w:rsid w:val="00CB609F"/>
    <w:rsid w:val="00CD32FC"/>
    <w:rsid w:val="00CD49AC"/>
    <w:rsid w:val="00CE075D"/>
    <w:rsid w:val="00D07BEB"/>
    <w:rsid w:val="00D30982"/>
    <w:rsid w:val="00D34811"/>
    <w:rsid w:val="00D409A3"/>
    <w:rsid w:val="00D528A1"/>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0296"/>
    <w:rsid w:val="00EC1D8F"/>
    <w:rsid w:val="00EC5D28"/>
    <w:rsid w:val="00ED4000"/>
    <w:rsid w:val="00EE71EA"/>
    <w:rsid w:val="00EF36BD"/>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B214E"/>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977B12"/>
    <w:rPr>
      <w:color w:val="605E5C"/>
      <w:shd w:val="clear" w:color="auto" w:fill="E1DFDD"/>
    </w:rPr>
  </w:style>
  <w:style w:type="table" w:styleId="Tablaconcuadrcula">
    <w:name w:val="Table Grid"/>
    <w:basedOn w:val="Tablanormal"/>
    <w:uiPriority w:val="39"/>
    <w:rsid w:val="00800D1B"/>
    <w:rPr>
      <w:rFonts w:asciiTheme="minorHAnsi" w:eastAsiaTheme="minorHAnsi" w:hAnsiTheme="minorHAnsi" w:cstheme="minorBidi"/>
      <w:kern w:val="2"/>
      <w:sz w:val="22"/>
      <w:szCs w:val="2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533B2"/>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1187">
      <w:bodyDiv w:val="1"/>
      <w:marLeft w:val="0"/>
      <w:marRight w:val="0"/>
      <w:marTop w:val="0"/>
      <w:marBottom w:val="0"/>
      <w:divBdr>
        <w:top w:val="none" w:sz="0" w:space="0" w:color="auto"/>
        <w:left w:val="none" w:sz="0" w:space="0" w:color="auto"/>
        <w:bottom w:val="none" w:sz="0" w:space="0" w:color="auto"/>
        <w:right w:val="none" w:sz="0" w:space="0" w:color="auto"/>
      </w:divBdr>
    </w:div>
    <w:div w:id="127018085">
      <w:bodyDiv w:val="1"/>
      <w:marLeft w:val="0"/>
      <w:marRight w:val="0"/>
      <w:marTop w:val="0"/>
      <w:marBottom w:val="0"/>
      <w:divBdr>
        <w:top w:val="none" w:sz="0" w:space="0" w:color="auto"/>
        <w:left w:val="none" w:sz="0" w:space="0" w:color="auto"/>
        <w:bottom w:val="none" w:sz="0" w:space="0" w:color="auto"/>
        <w:right w:val="none" w:sz="0" w:space="0" w:color="auto"/>
      </w:divBdr>
    </w:div>
    <w:div w:id="298152044">
      <w:bodyDiv w:val="1"/>
      <w:marLeft w:val="0"/>
      <w:marRight w:val="0"/>
      <w:marTop w:val="0"/>
      <w:marBottom w:val="0"/>
      <w:divBdr>
        <w:top w:val="none" w:sz="0" w:space="0" w:color="auto"/>
        <w:left w:val="none" w:sz="0" w:space="0" w:color="auto"/>
        <w:bottom w:val="none" w:sz="0" w:space="0" w:color="auto"/>
        <w:right w:val="none" w:sz="0" w:space="0" w:color="auto"/>
      </w:divBdr>
    </w:div>
    <w:div w:id="313724179">
      <w:bodyDiv w:val="1"/>
      <w:marLeft w:val="0"/>
      <w:marRight w:val="0"/>
      <w:marTop w:val="0"/>
      <w:marBottom w:val="0"/>
      <w:divBdr>
        <w:top w:val="none" w:sz="0" w:space="0" w:color="auto"/>
        <w:left w:val="none" w:sz="0" w:space="0" w:color="auto"/>
        <w:bottom w:val="none" w:sz="0" w:space="0" w:color="auto"/>
        <w:right w:val="none" w:sz="0" w:space="0" w:color="auto"/>
      </w:divBdr>
    </w:div>
    <w:div w:id="329216147">
      <w:bodyDiv w:val="1"/>
      <w:marLeft w:val="0"/>
      <w:marRight w:val="0"/>
      <w:marTop w:val="0"/>
      <w:marBottom w:val="0"/>
      <w:divBdr>
        <w:top w:val="none" w:sz="0" w:space="0" w:color="auto"/>
        <w:left w:val="none" w:sz="0" w:space="0" w:color="auto"/>
        <w:bottom w:val="none" w:sz="0" w:space="0" w:color="auto"/>
        <w:right w:val="none" w:sz="0" w:space="0" w:color="auto"/>
      </w:divBdr>
    </w:div>
    <w:div w:id="369039433">
      <w:bodyDiv w:val="1"/>
      <w:marLeft w:val="0"/>
      <w:marRight w:val="0"/>
      <w:marTop w:val="0"/>
      <w:marBottom w:val="0"/>
      <w:divBdr>
        <w:top w:val="none" w:sz="0" w:space="0" w:color="auto"/>
        <w:left w:val="none" w:sz="0" w:space="0" w:color="auto"/>
        <w:bottom w:val="none" w:sz="0" w:space="0" w:color="auto"/>
        <w:right w:val="none" w:sz="0" w:space="0" w:color="auto"/>
      </w:divBdr>
    </w:div>
    <w:div w:id="388384409">
      <w:bodyDiv w:val="1"/>
      <w:marLeft w:val="0"/>
      <w:marRight w:val="0"/>
      <w:marTop w:val="0"/>
      <w:marBottom w:val="0"/>
      <w:divBdr>
        <w:top w:val="none" w:sz="0" w:space="0" w:color="auto"/>
        <w:left w:val="none" w:sz="0" w:space="0" w:color="auto"/>
        <w:bottom w:val="none" w:sz="0" w:space="0" w:color="auto"/>
        <w:right w:val="none" w:sz="0" w:space="0" w:color="auto"/>
      </w:divBdr>
    </w:div>
    <w:div w:id="504369490">
      <w:bodyDiv w:val="1"/>
      <w:marLeft w:val="0"/>
      <w:marRight w:val="0"/>
      <w:marTop w:val="0"/>
      <w:marBottom w:val="0"/>
      <w:divBdr>
        <w:top w:val="none" w:sz="0" w:space="0" w:color="auto"/>
        <w:left w:val="none" w:sz="0" w:space="0" w:color="auto"/>
        <w:bottom w:val="none" w:sz="0" w:space="0" w:color="auto"/>
        <w:right w:val="none" w:sz="0" w:space="0" w:color="auto"/>
      </w:divBdr>
    </w:div>
    <w:div w:id="650981749">
      <w:bodyDiv w:val="1"/>
      <w:marLeft w:val="0"/>
      <w:marRight w:val="0"/>
      <w:marTop w:val="0"/>
      <w:marBottom w:val="0"/>
      <w:divBdr>
        <w:top w:val="none" w:sz="0" w:space="0" w:color="auto"/>
        <w:left w:val="none" w:sz="0" w:space="0" w:color="auto"/>
        <w:bottom w:val="none" w:sz="0" w:space="0" w:color="auto"/>
        <w:right w:val="none" w:sz="0" w:space="0" w:color="auto"/>
      </w:divBdr>
    </w:div>
    <w:div w:id="658732040">
      <w:bodyDiv w:val="1"/>
      <w:marLeft w:val="0"/>
      <w:marRight w:val="0"/>
      <w:marTop w:val="0"/>
      <w:marBottom w:val="0"/>
      <w:divBdr>
        <w:top w:val="none" w:sz="0" w:space="0" w:color="auto"/>
        <w:left w:val="none" w:sz="0" w:space="0" w:color="auto"/>
        <w:bottom w:val="none" w:sz="0" w:space="0" w:color="auto"/>
        <w:right w:val="none" w:sz="0" w:space="0" w:color="auto"/>
      </w:divBdr>
    </w:div>
    <w:div w:id="873730018">
      <w:bodyDiv w:val="1"/>
      <w:marLeft w:val="0"/>
      <w:marRight w:val="0"/>
      <w:marTop w:val="0"/>
      <w:marBottom w:val="0"/>
      <w:divBdr>
        <w:top w:val="none" w:sz="0" w:space="0" w:color="auto"/>
        <w:left w:val="none" w:sz="0" w:space="0" w:color="auto"/>
        <w:bottom w:val="none" w:sz="0" w:space="0" w:color="auto"/>
        <w:right w:val="none" w:sz="0" w:space="0" w:color="auto"/>
      </w:divBdr>
    </w:div>
    <w:div w:id="881476237">
      <w:bodyDiv w:val="1"/>
      <w:marLeft w:val="0"/>
      <w:marRight w:val="0"/>
      <w:marTop w:val="0"/>
      <w:marBottom w:val="0"/>
      <w:divBdr>
        <w:top w:val="none" w:sz="0" w:space="0" w:color="auto"/>
        <w:left w:val="none" w:sz="0" w:space="0" w:color="auto"/>
        <w:bottom w:val="none" w:sz="0" w:space="0" w:color="auto"/>
        <w:right w:val="none" w:sz="0" w:space="0" w:color="auto"/>
      </w:divBdr>
    </w:div>
    <w:div w:id="1037779356">
      <w:bodyDiv w:val="1"/>
      <w:marLeft w:val="0"/>
      <w:marRight w:val="0"/>
      <w:marTop w:val="0"/>
      <w:marBottom w:val="0"/>
      <w:divBdr>
        <w:top w:val="none" w:sz="0" w:space="0" w:color="auto"/>
        <w:left w:val="none" w:sz="0" w:space="0" w:color="auto"/>
        <w:bottom w:val="none" w:sz="0" w:space="0" w:color="auto"/>
        <w:right w:val="none" w:sz="0" w:space="0" w:color="auto"/>
      </w:divBdr>
    </w:div>
    <w:div w:id="1071804650">
      <w:bodyDiv w:val="1"/>
      <w:marLeft w:val="0"/>
      <w:marRight w:val="0"/>
      <w:marTop w:val="0"/>
      <w:marBottom w:val="0"/>
      <w:divBdr>
        <w:top w:val="none" w:sz="0" w:space="0" w:color="auto"/>
        <w:left w:val="none" w:sz="0" w:space="0" w:color="auto"/>
        <w:bottom w:val="none" w:sz="0" w:space="0" w:color="auto"/>
        <w:right w:val="none" w:sz="0" w:space="0" w:color="auto"/>
      </w:divBdr>
    </w:div>
    <w:div w:id="1233154800">
      <w:bodyDiv w:val="1"/>
      <w:marLeft w:val="0"/>
      <w:marRight w:val="0"/>
      <w:marTop w:val="0"/>
      <w:marBottom w:val="0"/>
      <w:divBdr>
        <w:top w:val="none" w:sz="0" w:space="0" w:color="auto"/>
        <w:left w:val="none" w:sz="0" w:space="0" w:color="auto"/>
        <w:bottom w:val="none" w:sz="0" w:space="0" w:color="auto"/>
        <w:right w:val="none" w:sz="0" w:space="0" w:color="auto"/>
      </w:divBdr>
    </w:div>
    <w:div w:id="1356350928">
      <w:bodyDiv w:val="1"/>
      <w:marLeft w:val="0"/>
      <w:marRight w:val="0"/>
      <w:marTop w:val="0"/>
      <w:marBottom w:val="0"/>
      <w:divBdr>
        <w:top w:val="none" w:sz="0" w:space="0" w:color="auto"/>
        <w:left w:val="none" w:sz="0" w:space="0" w:color="auto"/>
        <w:bottom w:val="none" w:sz="0" w:space="0" w:color="auto"/>
        <w:right w:val="none" w:sz="0" w:space="0" w:color="auto"/>
      </w:divBdr>
    </w:div>
    <w:div w:id="1471902114">
      <w:bodyDiv w:val="1"/>
      <w:marLeft w:val="0"/>
      <w:marRight w:val="0"/>
      <w:marTop w:val="0"/>
      <w:marBottom w:val="0"/>
      <w:divBdr>
        <w:top w:val="none" w:sz="0" w:space="0" w:color="auto"/>
        <w:left w:val="none" w:sz="0" w:space="0" w:color="auto"/>
        <w:bottom w:val="none" w:sz="0" w:space="0" w:color="auto"/>
        <w:right w:val="none" w:sz="0" w:space="0" w:color="auto"/>
      </w:divBdr>
    </w:div>
    <w:div w:id="1727991547">
      <w:bodyDiv w:val="1"/>
      <w:marLeft w:val="0"/>
      <w:marRight w:val="0"/>
      <w:marTop w:val="0"/>
      <w:marBottom w:val="0"/>
      <w:divBdr>
        <w:top w:val="none" w:sz="0" w:space="0" w:color="auto"/>
        <w:left w:val="none" w:sz="0" w:space="0" w:color="auto"/>
        <w:bottom w:val="none" w:sz="0" w:space="0" w:color="auto"/>
        <w:right w:val="none" w:sz="0" w:space="0" w:color="auto"/>
      </w:divBdr>
    </w:div>
    <w:div w:id="1960917158">
      <w:bodyDiv w:val="1"/>
      <w:marLeft w:val="0"/>
      <w:marRight w:val="0"/>
      <w:marTop w:val="0"/>
      <w:marBottom w:val="0"/>
      <w:divBdr>
        <w:top w:val="none" w:sz="0" w:space="0" w:color="auto"/>
        <w:left w:val="none" w:sz="0" w:space="0" w:color="auto"/>
        <w:bottom w:val="none" w:sz="0" w:space="0" w:color="auto"/>
        <w:right w:val="none" w:sz="0" w:space="0" w:color="auto"/>
      </w:divBdr>
    </w:div>
    <w:div w:id="20253974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18</Pages>
  <Words>12821</Words>
  <Characters>70517</Characters>
  <Application>Microsoft Office Word</Application>
  <DocSecurity>0</DocSecurity>
  <Lines>587</Lines>
  <Paragraphs>166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83172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Gianfranco Vigo</cp:lastModifiedBy>
  <cp:revision>31</cp:revision>
  <cp:lastPrinted>2015-02-13T19:19:00Z</cp:lastPrinted>
  <dcterms:created xsi:type="dcterms:W3CDTF">2025-07-18T03:54:00Z</dcterms:created>
  <dcterms:modified xsi:type="dcterms:W3CDTF">2025-07-19T04:48:00Z</dcterms:modified>
</cp:coreProperties>
</file>