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C58A" w14:textId="06D9B695" w:rsidR="00DE79C2" w:rsidRPr="00C31EBB" w:rsidRDefault="00DE79C2" w:rsidP="00DE79C2">
      <w:pPr>
        <w:jc w:val="both"/>
        <w:rPr>
          <w:rFonts w:ascii="Arial" w:hAnsi="Arial" w:cs="Arial"/>
          <w:b/>
          <w:bCs/>
          <w:sz w:val="20"/>
          <w:szCs w:val="20"/>
        </w:rPr>
      </w:pPr>
      <w:r w:rsidRPr="00C31EBB">
        <w:rPr>
          <w:rFonts w:ascii="Arial" w:hAnsi="Arial" w:cs="Arial"/>
          <w:b/>
          <w:bCs/>
          <w:sz w:val="20"/>
          <w:szCs w:val="20"/>
        </w:rPr>
        <w:t xml:space="preserve">OPTIMIZACIÓN DE COSTOS DE CARGUIO Y TRANSPORTE </w:t>
      </w:r>
      <w:r w:rsidR="004C2D60" w:rsidRPr="00C31EBB">
        <w:rPr>
          <w:rFonts w:ascii="Arial" w:hAnsi="Arial" w:cs="Arial"/>
          <w:b/>
          <w:bCs/>
          <w:sz w:val="20"/>
          <w:szCs w:val="20"/>
        </w:rPr>
        <w:t xml:space="preserve">PARA MINERÍA SUPERFICIAL, </w:t>
      </w:r>
      <w:r w:rsidRPr="00C31EBB">
        <w:rPr>
          <w:rFonts w:ascii="Arial" w:hAnsi="Arial" w:cs="Arial"/>
          <w:b/>
          <w:bCs/>
          <w:sz w:val="20"/>
          <w:szCs w:val="20"/>
        </w:rPr>
        <w:t xml:space="preserve">MEDIANTE UN MODELO PREDICTIVO DE FRAGMENTACIÓN CON MACHINE LEARNING </w:t>
      </w:r>
    </w:p>
    <w:p w14:paraId="2A7950E7" w14:textId="156B1A20" w:rsidR="00F72D8F" w:rsidRPr="00C70C5F" w:rsidRDefault="00F72D8F" w:rsidP="00C85A9F">
      <w:pPr>
        <w:jc w:val="both"/>
        <w:rPr>
          <w:rFonts w:ascii="Arial" w:hAnsi="Arial" w:cs="Arial"/>
          <w:b/>
          <w:bCs/>
          <w:sz w:val="20"/>
          <w:szCs w:val="20"/>
        </w:rPr>
      </w:pPr>
      <w:r w:rsidRPr="00C70C5F">
        <w:rPr>
          <w:rFonts w:ascii="Arial" w:hAnsi="Arial" w:cs="Arial"/>
          <w:b/>
          <w:bCs/>
          <w:i/>
          <w:iCs/>
          <w:sz w:val="20"/>
          <w:szCs w:val="20"/>
        </w:rPr>
        <w:t>Tema:</w:t>
      </w:r>
      <w:r w:rsidRPr="00C70C5F">
        <w:rPr>
          <w:rFonts w:ascii="Arial" w:hAnsi="Arial" w:cs="Arial"/>
          <w:b/>
          <w:bCs/>
          <w:sz w:val="20"/>
          <w:szCs w:val="20"/>
        </w:rPr>
        <w:t xml:space="preserve"> </w:t>
      </w:r>
      <w:r w:rsidR="00A875F8" w:rsidRPr="00C70C5F">
        <w:rPr>
          <w:rFonts w:ascii="Arial" w:hAnsi="Arial" w:cs="Arial"/>
          <w:i/>
          <w:iCs/>
          <w:sz w:val="20"/>
          <w:szCs w:val="20"/>
        </w:rPr>
        <w:t>Optimización de procesos en Minería con Analítica de datos (Aplicaciones de IA, Simulación y Gemelos Digitales, IOT).</w:t>
      </w:r>
    </w:p>
    <w:p w14:paraId="2AE9F0B6" w14:textId="188DFA87" w:rsidR="00F72D8F" w:rsidRPr="00C70C5F" w:rsidRDefault="00F72D8F" w:rsidP="00C85A9F">
      <w:pPr>
        <w:jc w:val="both"/>
        <w:rPr>
          <w:rFonts w:ascii="Arial" w:hAnsi="Arial" w:cs="Arial"/>
          <w:b/>
          <w:bCs/>
          <w:i/>
          <w:iCs/>
          <w:sz w:val="20"/>
          <w:szCs w:val="20"/>
        </w:rPr>
      </w:pPr>
      <w:r w:rsidRPr="00C70C5F">
        <w:rPr>
          <w:rFonts w:ascii="Arial" w:hAnsi="Arial" w:cs="Arial"/>
          <w:b/>
          <w:bCs/>
          <w:i/>
          <w:iCs/>
          <w:sz w:val="20"/>
          <w:szCs w:val="20"/>
        </w:rPr>
        <w:t xml:space="preserve">Categoría: </w:t>
      </w:r>
      <w:r w:rsidR="00A875F8" w:rsidRPr="00C70C5F">
        <w:rPr>
          <w:rFonts w:ascii="Arial" w:hAnsi="Arial" w:cs="Arial"/>
          <w:i/>
          <w:iCs/>
          <w:sz w:val="20"/>
          <w:szCs w:val="20"/>
        </w:rPr>
        <w:t>Minería 4.0</w:t>
      </w:r>
    </w:p>
    <w:p w14:paraId="5F23096C" w14:textId="1470AD28" w:rsidR="00C85A9F" w:rsidRPr="00C70C5F" w:rsidRDefault="00C85A9F" w:rsidP="00F9583B">
      <w:pPr>
        <w:jc w:val="both"/>
        <w:rPr>
          <w:rFonts w:ascii="Arial" w:hAnsi="Arial" w:cs="Arial"/>
          <w:i/>
          <w:iCs/>
          <w:sz w:val="20"/>
          <w:szCs w:val="20"/>
        </w:rPr>
      </w:pPr>
      <w:r w:rsidRPr="00C70C5F">
        <w:rPr>
          <w:rFonts w:ascii="Arial" w:hAnsi="Arial" w:cs="Arial"/>
          <w:b/>
          <w:bCs/>
          <w:i/>
          <w:iCs/>
          <w:sz w:val="20"/>
          <w:szCs w:val="20"/>
        </w:rPr>
        <w:t>Palabra claves:</w:t>
      </w:r>
      <w:r w:rsidRPr="00C70C5F">
        <w:rPr>
          <w:rFonts w:ascii="Arial" w:hAnsi="Arial" w:cs="Arial"/>
          <w:i/>
          <w:iCs/>
          <w:sz w:val="20"/>
          <w:szCs w:val="20"/>
        </w:rPr>
        <w:t xml:space="preserve"> Fragmentación, Mine to Mill, Carguío y transporte, Machine Learning, Analítica de datos, Optimización operativa</w:t>
      </w:r>
    </w:p>
    <w:p w14:paraId="07D90969" w14:textId="77777777" w:rsidR="00C70C5F" w:rsidRPr="00C70C5F" w:rsidRDefault="00C70C5F" w:rsidP="00C70C5F">
      <w:pPr>
        <w:jc w:val="both"/>
        <w:rPr>
          <w:rFonts w:ascii="Arial" w:hAnsi="Arial" w:cs="Arial"/>
          <w:i/>
          <w:iCs/>
          <w:sz w:val="20"/>
          <w:szCs w:val="20"/>
        </w:rPr>
      </w:pPr>
      <w:r w:rsidRPr="00C70C5F">
        <w:rPr>
          <w:rFonts w:ascii="Arial" w:hAnsi="Arial" w:cs="Arial"/>
          <w:i/>
          <w:iCs/>
          <w:sz w:val="20"/>
          <w:szCs w:val="20"/>
        </w:rPr>
        <w:t>Humberto Sanchez Berrospi¹ y Benjamín Cuadros Chavez²</w:t>
      </w:r>
    </w:p>
    <w:p w14:paraId="2C4AAFD4" w14:textId="18EA7F2F" w:rsidR="00C70C5F" w:rsidRPr="000B3012" w:rsidRDefault="00C70C5F" w:rsidP="00C70C5F">
      <w:pPr>
        <w:jc w:val="both"/>
        <w:rPr>
          <w:rFonts w:ascii="Arial" w:hAnsi="Arial" w:cs="Arial"/>
          <w:i/>
          <w:iCs/>
          <w:sz w:val="20"/>
          <w:szCs w:val="20"/>
        </w:rPr>
      </w:pPr>
      <w:r w:rsidRPr="000B3012">
        <w:rPr>
          <w:rFonts w:ascii="Arial" w:hAnsi="Arial" w:cs="Arial"/>
          <w:i/>
          <w:iCs/>
          <w:sz w:val="20"/>
          <w:szCs w:val="20"/>
        </w:rPr>
        <w:t xml:space="preserve">¹ Humberto Sanchez Berrospi, </w:t>
      </w:r>
      <w:r w:rsidR="000B3012" w:rsidRPr="000B3012">
        <w:rPr>
          <w:rFonts w:ascii="Arial" w:hAnsi="Arial" w:cs="Arial"/>
          <w:i/>
          <w:iCs/>
          <w:sz w:val="20"/>
          <w:szCs w:val="20"/>
        </w:rPr>
        <w:t>Universidad Peruana de Ciencias Aplicada</w:t>
      </w:r>
      <w:r w:rsidR="000B3012">
        <w:rPr>
          <w:rFonts w:ascii="Arial" w:hAnsi="Arial" w:cs="Arial"/>
          <w:i/>
          <w:iCs/>
          <w:sz w:val="20"/>
          <w:szCs w:val="20"/>
        </w:rPr>
        <w:t>s</w:t>
      </w:r>
      <w:r w:rsidRPr="000B3012">
        <w:rPr>
          <w:rFonts w:ascii="Arial" w:hAnsi="Arial" w:cs="Arial"/>
          <w:i/>
          <w:iCs/>
          <w:sz w:val="20"/>
          <w:szCs w:val="20"/>
        </w:rPr>
        <w:t xml:space="preserve">, </w:t>
      </w:r>
      <w:r w:rsidR="007E5D0A">
        <w:rPr>
          <w:rFonts w:ascii="Arial" w:hAnsi="Arial" w:cs="Arial"/>
          <w:i/>
          <w:iCs/>
          <w:sz w:val="20"/>
          <w:szCs w:val="20"/>
        </w:rPr>
        <w:t>Docente,</w:t>
      </w:r>
      <w:r w:rsidRPr="000B3012">
        <w:rPr>
          <w:rFonts w:ascii="Arial" w:hAnsi="Arial" w:cs="Arial"/>
          <w:i/>
          <w:iCs/>
          <w:sz w:val="20"/>
          <w:szCs w:val="20"/>
        </w:rPr>
        <w:t xml:space="preserve"> humberto.sanchez@</w:t>
      </w:r>
      <w:r w:rsidR="007E5D0A">
        <w:rPr>
          <w:rFonts w:ascii="Arial" w:hAnsi="Arial" w:cs="Arial"/>
          <w:i/>
          <w:iCs/>
          <w:sz w:val="20"/>
          <w:szCs w:val="20"/>
        </w:rPr>
        <w:t>upc.edu.pe</w:t>
      </w:r>
      <w:r w:rsidRPr="000B3012">
        <w:rPr>
          <w:rFonts w:ascii="Arial" w:hAnsi="Arial" w:cs="Arial"/>
          <w:i/>
          <w:iCs/>
          <w:sz w:val="20"/>
          <w:szCs w:val="20"/>
        </w:rPr>
        <w:t xml:space="preserve">, +51 989 063 879, Lima-Perú.  </w:t>
      </w:r>
    </w:p>
    <w:p w14:paraId="0FDC47B7" w14:textId="3437F8A9" w:rsidR="00C70C5F" w:rsidRPr="007E5D0A" w:rsidRDefault="00C70C5F" w:rsidP="00C70C5F">
      <w:pPr>
        <w:jc w:val="both"/>
        <w:rPr>
          <w:rFonts w:ascii="Arial" w:hAnsi="Arial" w:cs="Arial"/>
          <w:i/>
          <w:iCs/>
          <w:sz w:val="20"/>
          <w:szCs w:val="20"/>
        </w:rPr>
      </w:pPr>
      <w:r w:rsidRPr="007E5D0A">
        <w:rPr>
          <w:rFonts w:ascii="Arial" w:hAnsi="Arial" w:cs="Arial"/>
          <w:i/>
          <w:iCs/>
          <w:sz w:val="20"/>
          <w:szCs w:val="20"/>
        </w:rPr>
        <w:t xml:space="preserve">²   Benjamin Jhoan Cuadros Chavez, </w:t>
      </w:r>
      <w:r w:rsidR="007E5D0A" w:rsidRPr="007E5D0A">
        <w:rPr>
          <w:rFonts w:ascii="Arial" w:hAnsi="Arial" w:cs="Arial"/>
          <w:i/>
          <w:iCs/>
          <w:sz w:val="20"/>
          <w:szCs w:val="20"/>
        </w:rPr>
        <w:t>Universidad Peruana de Ciencias Ap</w:t>
      </w:r>
      <w:r w:rsidR="007E5D0A">
        <w:rPr>
          <w:rFonts w:ascii="Arial" w:hAnsi="Arial" w:cs="Arial"/>
          <w:i/>
          <w:iCs/>
          <w:sz w:val="20"/>
          <w:szCs w:val="20"/>
        </w:rPr>
        <w:t>licadas</w:t>
      </w:r>
      <w:r w:rsidRPr="007E5D0A">
        <w:rPr>
          <w:rFonts w:ascii="Arial" w:hAnsi="Arial" w:cs="Arial"/>
          <w:i/>
          <w:iCs/>
          <w:sz w:val="20"/>
          <w:szCs w:val="20"/>
        </w:rPr>
        <w:t xml:space="preserve">, </w:t>
      </w:r>
      <w:r w:rsidR="007E5D0A">
        <w:rPr>
          <w:rFonts w:ascii="Arial" w:hAnsi="Arial" w:cs="Arial"/>
          <w:i/>
          <w:iCs/>
          <w:sz w:val="20"/>
          <w:szCs w:val="20"/>
        </w:rPr>
        <w:t>Bachiller</w:t>
      </w:r>
      <w:r w:rsidRPr="007E5D0A">
        <w:rPr>
          <w:rFonts w:ascii="Arial" w:hAnsi="Arial" w:cs="Arial"/>
          <w:i/>
          <w:iCs/>
          <w:sz w:val="20"/>
          <w:szCs w:val="20"/>
        </w:rPr>
        <w:t xml:space="preserve">, </w:t>
      </w:r>
      <w:r w:rsidR="007E5D0A">
        <w:rPr>
          <w:rFonts w:ascii="Arial" w:hAnsi="Arial" w:cs="Arial"/>
          <w:i/>
          <w:iCs/>
          <w:sz w:val="20"/>
          <w:szCs w:val="20"/>
        </w:rPr>
        <w:t>u20181d675@upc.edu.pe</w:t>
      </w:r>
      <w:r w:rsidRPr="007E5D0A">
        <w:rPr>
          <w:rFonts w:ascii="Arial" w:hAnsi="Arial" w:cs="Arial"/>
          <w:i/>
          <w:iCs/>
          <w:sz w:val="20"/>
          <w:szCs w:val="20"/>
        </w:rPr>
        <w:t xml:space="preserve">, + 51 934 222 272, Lima-Perú.   </w:t>
      </w:r>
    </w:p>
    <w:p w14:paraId="3EAD752F" w14:textId="77777777" w:rsidR="00C70C5F" w:rsidRPr="007E5D0A" w:rsidRDefault="00C70C5F" w:rsidP="00C70C5F">
      <w:pPr>
        <w:jc w:val="both"/>
        <w:rPr>
          <w:rFonts w:ascii="Arial" w:hAnsi="Arial" w:cs="Arial"/>
          <w:i/>
          <w:iCs/>
          <w:sz w:val="20"/>
          <w:szCs w:val="20"/>
        </w:rPr>
      </w:pPr>
    </w:p>
    <w:p w14:paraId="10B7EDBB" w14:textId="77777777" w:rsidR="00C70C5F" w:rsidRPr="00C70C5F" w:rsidRDefault="00C70C5F" w:rsidP="00C70C5F">
      <w:pPr>
        <w:jc w:val="both"/>
        <w:rPr>
          <w:rFonts w:ascii="Arial" w:hAnsi="Arial" w:cs="Arial"/>
          <w:i/>
          <w:iCs/>
          <w:sz w:val="20"/>
          <w:szCs w:val="20"/>
          <w:vertAlign w:val="superscript"/>
        </w:rPr>
      </w:pPr>
      <w:r w:rsidRPr="00C70C5F">
        <w:rPr>
          <w:rFonts w:ascii="Arial" w:hAnsi="Arial" w:cs="Arial"/>
          <w:b/>
          <w:bCs/>
          <w:i/>
          <w:iCs/>
          <w:sz w:val="20"/>
          <w:szCs w:val="20"/>
          <w:vertAlign w:val="superscript"/>
        </w:rPr>
        <w:t>1</w:t>
      </w:r>
      <w:r w:rsidRPr="00C70C5F">
        <w:rPr>
          <w:rFonts w:ascii="Arial" w:hAnsi="Arial" w:cs="Arial"/>
          <w:b/>
          <w:bCs/>
          <w:i/>
          <w:iCs/>
          <w:sz w:val="20"/>
          <w:szCs w:val="20"/>
        </w:rPr>
        <w:t>Reseña profesional:</w:t>
      </w:r>
      <w:r w:rsidRPr="00C70C5F">
        <w:rPr>
          <w:sz w:val="20"/>
          <w:szCs w:val="20"/>
        </w:rPr>
        <w:t xml:space="preserve"> </w:t>
      </w:r>
      <w:r w:rsidRPr="00C70C5F">
        <w:rPr>
          <w:rFonts w:ascii="Arial" w:hAnsi="Arial" w:cs="Arial"/>
          <w:i/>
          <w:iCs/>
          <w:sz w:val="20"/>
          <w:szCs w:val="20"/>
        </w:rPr>
        <w:t>Ingeniero de Minas colegiado, SME member, MAusIMM, MBA en administración Estratégica de Empresas por CENTRUM PUCP. Especialista en Planificación Minera, con 16 años de experiencia en minería superficial y subterránea, desarrollando proyectos en Perú, Colombia, Honduras y Chile, en las áreas de planeamiento, operación e ingeniería de proyectos. Actualmente laboro como Business Development Manager en Hexagon Mining, y en anteriores empresas en Planeamiento estratégico y Operaciones como Minsur - San Rafael y Proyecto B2, Jinzhao Mining Peru – Proyecto Pampa de Pongo, Worley Parsons, Minera Aruntani, Cia Minera Nexa Resources y Cia Minera Buenaventura.</w:t>
      </w:r>
    </w:p>
    <w:p w14:paraId="6D5494BE" w14:textId="46345684" w:rsidR="00C70C5F" w:rsidRPr="00C70C5F" w:rsidRDefault="00C70C5F" w:rsidP="00C70C5F">
      <w:pPr>
        <w:jc w:val="both"/>
        <w:rPr>
          <w:rFonts w:ascii="Arial" w:hAnsi="Arial" w:cs="Arial"/>
          <w:i/>
          <w:iCs/>
          <w:sz w:val="20"/>
          <w:szCs w:val="20"/>
        </w:rPr>
      </w:pPr>
      <w:r w:rsidRPr="00C70C5F">
        <w:rPr>
          <w:rFonts w:ascii="Arial" w:hAnsi="Arial" w:cs="Arial"/>
          <w:b/>
          <w:bCs/>
          <w:i/>
          <w:iCs/>
          <w:sz w:val="20"/>
          <w:szCs w:val="20"/>
          <w:vertAlign w:val="superscript"/>
        </w:rPr>
        <w:t>2</w:t>
      </w:r>
      <w:r w:rsidRPr="00C70C5F">
        <w:rPr>
          <w:rFonts w:ascii="Arial" w:hAnsi="Arial" w:cs="Arial"/>
          <w:b/>
          <w:bCs/>
          <w:i/>
          <w:iCs/>
          <w:sz w:val="20"/>
          <w:szCs w:val="20"/>
        </w:rPr>
        <w:t>Reseña profesional:</w:t>
      </w:r>
      <w:r w:rsidRPr="00C70C5F">
        <w:rPr>
          <w:rFonts w:ascii="Arial" w:hAnsi="Arial" w:cs="Arial"/>
          <w:i/>
          <w:iCs/>
          <w:sz w:val="20"/>
          <w:szCs w:val="20"/>
        </w:rPr>
        <w:t xml:space="preserve"> Bachiller en Ingeniería de Gestión Minera egresado de la Universidad Peruana de Ciencias Aplicadas, SME member. Experiencia en soporte técnico y consultoría en soluciones de planificación minera, brindando capacitación y acompañamiento a clientes en operaciones como Pan American Silver, Quilla Resources, </w:t>
      </w:r>
      <w:proofErr w:type="spellStart"/>
      <w:r w:rsidRPr="00C70C5F">
        <w:rPr>
          <w:rFonts w:ascii="Arial" w:hAnsi="Arial" w:cs="Arial"/>
          <w:i/>
          <w:iCs/>
          <w:sz w:val="20"/>
          <w:szCs w:val="20"/>
        </w:rPr>
        <w:t>Newmont</w:t>
      </w:r>
      <w:proofErr w:type="spellEnd"/>
      <w:r w:rsidRPr="00C70C5F">
        <w:rPr>
          <w:rFonts w:ascii="Arial" w:hAnsi="Arial" w:cs="Arial"/>
          <w:i/>
          <w:iCs/>
          <w:sz w:val="20"/>
          <w:szCs w:val="20"/>
        </w:rPr>
        <w:t xml:space="preserve">, Hudbay, Las Bambas y </w:t>
      </w:r>
      <w:proofErr w:type="spellStart"/>
      <w:r w:rsidRPr="00C70C5F">
        <w:rPr>
          <w:rFonts w:ascii="Arial" w:hAnsi="Arial" w:cs="Arial"/>
          <w:i/>
          <w:iCs/>
          <w:sz w:val="20"/>
          <w:szCs w:val="20"/>
        </w:rPr>
        <w:t>Hochschild</w:t>
      </w:r>
      <w:proofErr w:type="spellEnd"/>
      <w:r w:rsidRPr="00C70C5F">
        <w:rPr>
          <w:rFonts w:ascii="Arial" w:hAnsi="Arial" w:cs="Arial"/>
          <w:i/>
          <w:iCs/>
          <w:sz w:val="20"/>
          <w:szCs w:val="20"/>
        </w:rPr>
        <w:t xml:space="preserve">. </w:t>
      </w:r>
      <w:r w:rsidR="00835733" w:rsidRPr="00107014">
        <w:rPr>
          <w:rFonts w:ascii="Arial" w:hAnsi="Arial" w:cs="Arial"/>
          <w:i/>
          <w:iCs/>
          <w:sz w:val="22"/>
          <w:szCs w:val="22"/>
        </w:rPr>
        <w:t>Parte del equipo de implementación de soluciones de software y hardware para la gestión de operaciones mineras con enfoque en Short Interval Control (SIC)</w:t>
      </w:r>
      <w:r w:rsidR="00835733">
        <w:rPr>
          <w:rFonts w:ascii="Arial" w:hAnsi="Arial" w:cs="Arial"/>
          <w:i/>
          <w:iCs/>
          <w:sz w:val="22"/>
          <w:szCs w:val="22"/>
        </w:rPr>
        <w:t>.</w:t>
      </w:r>
    </w:p>
    <w:p w14:paraId="339DD2D9" w14:textId="77777777" w:rsidR="00C70C5F" w:rsidRDefault="00C70C5F" w:rsidP="00A875F8">
      <w:pPr>
        <w:rPr>
          <w:rFonts w:ascii="Arial" w:hAnsi="Arial" w:cs="Arial"/>
          <w:sz w:val="22"/>
          <w:szCs w:val="22"/>
        </w:rPr>
      </w:pPr>
    </w:p>
    <w:p w14:paraId="3C7F2ED2" w14:textId="7D989687" w:rsidR="00C31EBB" w:rsidRPr="00231BA4" w:rsidRDefault="00231BA4" w:rsidP="00231BA4">
      <w:pPr>
        <w:jc w:val="both"/>
        <w:rPr>
          <w:rFonts w:ascii="Arial" w:hAnsi="Arial" w:cs="Arial"/>
          <w:b/>
          <w:bCs/>
          <w:color w:val="000000" w:themeColor="text1"/>
          <w:sz w:val="22"/>
          <w:szCs w:val="22"/>
          <w:lang w:val="es-ES"/>
        </w:rPr>
      </w:pPr>
      <w:r w:rsidRPr="00827F1A">
        <w:rPr>
          <w:rFonts w:ascii="Arial" w:hAnsi="Arial" w:cs="Arial"/>
          <w:b/>
          <w:bCs/>
          <w:color w:val="000000" w:themeColor="text1"/>
          <w:sz w:val="22"/>
          <w:szCs w:val="22"/>
          <w:lang w:val="es-ES"/>
        </w:rPr>
        <w:t>Resumen</w:t>
      </w:r>
      <w:r>
        <w:rPr>
          <w:rFonts w:ascii="Arial" w:hAnsi="Arial" w:cs="Arial"/>
          <w:b/>
          <w:bCs/>
          <w:color w:val="000000" w:themeColor="text1"/>
          <w:sz w:val="22"/>
          <w:szCs w:val="22"/>
          <w:lang w:val="es-ES"/>
        </w:rPr>
        <w:t xml:space="preserve"> de informe técnico</w:t>
      </w:r>
    </w:p>
    <w:p w14:paraId="24D7A153" w14:textId="39C502FD" w:rsidR="002A7326" w:rsidRPr="000F6342" w:rsidRDefault="002A7326" w:rsidP="00F9583B">
      <w:pPr>
        <w:spacing w:line="360" w:lineRule="auto"/>
        <w:jc w:val="both"/>
        <w:rPr>
          <w:rFonts w:ascii="Arial" w:hAnsi="Arial" w:cs="Arial"/>
          <w:sz w:val="22"/>
          <w:szCs w:val="22"/>
        </w:rPr>
      </w:pPr>
      <w:r w:rsidRPr="000F6342">
        <w:rPr>
          <w:rFonts w:ascii="Arial" w:hAnsi="Arial" w:cs="Arial"/>
          <w:sz w:val="22"/>
          <w:szCs w:val="22"/>
        </w:rPr>
        <w:t>En el ámbito de la minería a cielo abierto, la toma de decisiones estratégicas exige una visión integral de todo el proceso productivo, desde el frente de minado hasta la planta de procesamiento. Sin embargo, a pesar del avance tecnológico y de la gran cantidad de datos generados por áreas como geología, operaciones, planeamiento, sistemas de gestión de flota (FMS) y planta, gran parte de esta información sigue siendo gestionada de forma aislada. Esto limita el análisis transversal necesario para optimizar la cadena completa de valor.</w:t>
      </w:r>
    </w:p>
    <w:p w14:paraId="718579E7" w14:textId="23E4B18D" w:rsidR="002A7326" w:rsidRPr="00A827EA" w:rsidRDefault="008E1C02" w:rsidP="00F9583B">
      <w:pPr>
        <w:spacing w:line="360" w:lineRule="auto"/>
        <w:jc w:val="both"/>
        <w:rPr>
          <w:rFonts w:ascii="Arial" w:hAnsi="Arial" w:cs="Arial"/>
          <w:sz w:val="22"/>
          <w:szCs w:val="22"/>
        </w:rPr>
      </w:pPr>
      <w:r w:rsidRPr="000F6342">
        <w:rPr>
          <w:rFonts w:ascii="Arial" w:hAnsi="Arial" w:cs="Arial"/>
          <w:sz w:val="22"/>
          <w:szCs w:val="22"/>
        </w:rPr>
        <w:t>Se ha identificado</w:t>
      </w:r>
      <w:r w:rsidRPr="00A827EA">
        <w:rPr>
          <w:rFonts w:ascii="Arial" w:hAnsi="Arial" w:cs="Arial"/>
          <w:sz w:val="22"/>
          <w:szCs w:val="22"/>
        </w:rPr>
        <w:t xml:space="preserve"> que la fragmentación del material resultante de la voladura no solo afecta los procesos de conminución (chancado y molienda) y el consumo energético en planta, sino que también impacta directamente en los costos operativos de carguío y transporte. Una fragmentación deficiente disminuye la eficiencia volumétrica del balde </w:t>
      </w:r>
      <w:r w:rsidRPr="00A827EA">
        <w:rPr>
          <w:rFonts w:ascii="Arial" w:hAnsi="Arial" w:cs="Arial"/>
          <w:sz w:val="22"/>
          <w:szCs w:val="22"/>
        </w:rPr>
        <w:lastRenderedPageBreak/>
        <w:t>de las palas y limita la capacidad efectiva de carga de los camiones. Por el contrario, una fragmentación óptima mejora la densidad de carga, reduce los tiempos de ciclo, disminuye el consumo energético y prolonga la vida útil de los equipos.</w:t>
      </w:r>
    </w:p>
    <w:p w14:paraId="7BB44EE4" w14:textId="6DC91C27" w:rsidR="002A7326" w:rsidRPr="00A827EA" w:rsidRDefault="00ED7058" w:rsidP="00F9583B">
      <w:pPr>
        <w:spacing w:line="360" w:lineRule="auto"/>
        <w:jc w:val="both"/>
        <w:rPr>
          <w:rFonts w:ascii="Arial" w:hAnsi="Arial" w:cs="Arial"/>
          <w:sz w:val="22"/>
          <w:szCs w:val="22"/>
        </w:rPr>
      </w:pPr>
      <w:r w:rsidRPr="00A827EA">
        <w:rPr>
          <w:rFonts w:ascii="Arial" w:hAnsi="Arial" w:cs="Arial"/>
          <w:sz w:val="22"/>
          <w:szCs w:val="22"/>
        </w:rPr>
        <w:t>Tradicionalmente, estos efectos se han analizado de manera parcial, sin establecer conexiones cuantitativas claras entre la calidad de la fragmentación y su impacto económico en las etapas intermedias del proceso. Frente a esta problemática, y bajo el enfoque Mine to Mill, el presente estudio propone optimizar los costos de carguío y transporte mediante la predicción de la fragmentación utilizando técnicas de Machine Learning y análisis multivariable.</w:t>
      </w:r>
    </w:p>
    <w:p w14:paraId="741C7428" w14:textId="68E9F11E" w:rsidR="00654BDE" w:rsidRPr="00A827EA" w:rsidRDefault="009A0065" w:rsidP="00F9583B">
      <w:pPr>
        <w:spacing w:line="360" w:lineRule="auto"/>
        <w:jc w:val="both"/>
        <w:rPr>
          <w:rFonts w:ascii="Arial" w:hAnsi="Arial" w:cs="Arial"/>
          <w:sz w:val="22"/>
          <w:szCs w:val="22"/>
        </w:rPr>
      </w:pPr>
      <w:r w:rsidRPr="00A827EA">
        <w:rPr>
          <w:rFonts w:ascii="Arial" w:hAnsi="Arial" w:cs="Arial"/>
          <w:sz w:val="22"/>
          <w:szCs w:val="22"/>
        </w:rPr>
        <w:t xml:space="preserve">La metodología aplicada se estructuró en cinco fases principales, que abarcaron desde la recopilación y el procesamiento de datos históricos hasta la estimación de los costos operativos asociados a las operaciones de carguío y </w:t>
      </w:r>
      <w:r w:rsidR="00C46BAC">
        <w:rPr>
          <w:rFonts w:ascii="Arial" w:hAnsi="Arial" w:cs="Arial"/>
          <w:sz w:val="22"/>
          <w:szCs w:val="22"/>
        </w:rPr>
        <w:t>transporte</w:t>
      </w:r>
      <w:r w:rsidRPr="00A827EA">
        <w:rPr>
          <w:rFonts w:ascii="Arial" w:hAnsi="Arial" w:cs="Arial"/>
          <w:sz w:val="22"/>
          <w:szCs w:val="22"/>
        </w:rPr>
        <w:t>. En primer lugar, se consolidó una base de datos histórica de campañas de perforación y voladura, que incluyó parámetros técnicos como burden, espaciamiento, longitud de taladro, altura de banco, tipo y características del explosivo, y factor de carga, entre otros. Asimismo, se integraron parámetros geológicos relevantes, como el tipo de roca, rock factor, densidad y dureza del macizo rocoso. Estos datos fueron procesados, eliminando registros incompletos o atípicos, y posteriormente normalizados para asegurar su consistencia y facilitar su uso en el desarrollo de modelos predictivos.</w:t>
      </w:r>
    </w:p>
    <w:p w14:paraId="0A5F3037" w14:textId="6C34B7EF" w:rsidR="00F9583B" w:rsidRPr="00A827EA" w:rsidRDefault="00213BD8" w:rsidP="00F9583B">
      <w:pPr>
        <w:spacing w:line="360" w:lineRule="auto"/>
        <w:jc w:val="both"/>
        <w:rPr>
          <w:rFonts w:ascii="Arial" w:hAnsi="Arial" w:cs="Arial"/>
          <w:sz w:val="22"/>
          <w:szCs w:val="22"/>
        </w:rPr>
      </w:pPr>
      <w:r w:rsidRPr="00A827EA">
        <w:rPr>
          <w:rFonts w:ascii="Arial" w:hAnsi="Arial" w:cs="Arial"/>
          <w:sz w:val="22"/>
          <w:szCs w:val="22"/>
        </w:rPr>
        <w:t>De manera complementaria, se incorporó información granulométrica real post-voladura, obtenida mediante sistemas de fotogrametría digital instalados en los equipos de carguío. Esta tecnología permitió capturar la distribución de tamaños de fragmentos mediante percentiles representativos (P10, P20, P30, hasta P80 y P90), así como el tamaño total del material. La información, registrada con fecha y hora, permitió asociar cada resultado a un proyecto específico de voladura, validando la precisión de los modelos desarrollados.</w:t>
      </w:r>
      <w:r w:rsidR="00A2013C" w:rsidRPr="00A827EA">
        <w:rPr>
          <w:rFonts w:ascii="Arial" w:hAnsi="Arial" w:cs="Arial"/>
          <w:sz w:val="22"/>
          <w:szCs w:val="22"/>
        </w:rPr>
        <w:t xml:space="preserve"> Además, se integraron datos operacionales extraídos del sistema de gestión de flota (FMS), incluyendo variables tanto de las palas como de los camiones. En el caso de las palas, se recopilaron coordenadas (X, Y, Z) de cada baldada, fecha y hora de carguío, identificación del equipo</w:t>
      </w:r>
      <w:r w:rsidR="008B426A" w:rsidRPr="00A827EA">
        <w:rPr>
          <w:rFonts w:ascii="Arial" w:hAnsi="Arial" w:cs="Arial"/>
          <w:sz w:val="22"/>
          <w:szCs w:val="22"/>
        </w:rPr>
        <w:t xml:space="preserve">, tipo de </w:t>
      </w:r>
      <w:r w:rsidR="00916FD3" w:rsidRPr="00A827EA">
        <w:rPr>
          <w:rFonts w:ascii="Arial" w:hAnsi="Arial" w:cs="Arial"/>
          <w:sz w:val="22"/>
          <w:szCs w:val="22"/>
        </w:rPr>
        <w:t>material y tonelaje cargados</w:t>
      </w:r>
      <w:r w:rsidR="00A2013C" w:rsidRPr="00A827EA">
        <w:rPr>
          <w:rFonts w:ascii="Arial" w:hAnsi="Arial" w:cs="Arial"/>
          <w:sz w:val="22"/>
          <w:szCs w:val="22"/>
        </w:rPr>
        <w:t xml:space="preserve"> por ciclo. Para los camiones, se registró el equipo utilizado, los tiempos de inicio y fin del acarreo, las toneladas transportadas y el tipo de material movilizado. Esta integración permitió establecer una trazabilidad completa entre las características del material fragmentado y el desempeño de las operaciones de carguío y transporte.</w:t>
      </w:r>
    </w:p>
    <w:p w14:paraId="412A4CEC" w14:textId="0D7B918E" w:rsidR="004B2C5C" w:rsidRPr="00A827EA" w:rsidRDefault="004B2C5C" w:rsidP="006B2978">
      <w:pPr>
        <w:spacing w:line="360" w:lineRule="auto"/>
        <w:jc w:val="both"/>
        <w:rPr>
          <w:rFonts w:ascii="Arial" w:hAnsi="Arial" w:cs="Arial"/>
          <w:sz w:val="22"/>
          <w:szCs w:val="22"/>
        </w:rPr>
      </w:pPr>
      <w:r w:rsidRPr="00A827EA">
        <w:rPr>
          <w:rFonts w:ascii="Arial" w:hAnsi="Arial" w:cs="Arial"/>
          <w:sz w:val="22"/>
          <w:szCs w:val="22"/>
        </w:rPr>
        <w:t xml:space="preserve">Con la información consolidada, se desarrollaron modelos predictivos de fragmentación utilizando técnicas avanzadas de Machine Learning, como regresión múltiple, </w:t>
      </w:r>
      <w:proofErr w:type="spellStart"/>
      <w:r w:rsidRPr="00A827EA">
        <w:rPr>
          <w:rFonts w:ascii="Arial" w:hAnsi="Arial" w:cs="Arial"/>
          <w:sz w:val="22"/>
          <w:szCs w:val="22"/>
        </w:rPr>
        <w:t>Random</w:t>
      </w:r>
      <w:proofErr w:type="spellEnd"/>
      <w:r w:rsidRPr="00A827EA">
        <w:rPr>
          <w:rFonts w:ascii="Arial" w:hAnsi="Arial" w:cs="Arial"/>
          <w:sz w:val="22"/>
          <w:szCs w:val="22"/>
        </w:rPr>
        <w:t xml:space="preserve"> </w:t>
      </w:r>
      <w:r w:rsidRPr="00A827EA">
        <w:rPr>
          <w:rFonts w:ascii="Arial" w:hAnsi="Arial" w:cs="Arial"/>
          <w:sz w:val="22"/>
          <w:szCs w:val="22"/>
        </w:rPr>
        <w:lastRenderedPageBreak/>
        <w:t xml:space="preserve">Forest y modelos de ensamble. Los modelos fueron entrenados con el 70% de la base de datos y validados con el 30% restante. La selección del mejor modelo se realizó en función de métricas de desempeño como el coeficiente de determinación (R²) y el error cuadrático medio (RMSE). Posteriormente, se implementó un segundo modelo que correlacionó los resultados de la fragmentación con los indicadores operacionales de carguío y </w:t>
      </w:r>
      <w:r w:rsidR="00887173">
        <w:rPr>
          <w:rFonts w:ascii="Arial" w:hAnsi="Arial" w:cs="Arial"/>
          <w:sz w:val="22"/>
          <w:szCs w:val="22"/>
        </w:rPr>
        <w:t>transporte</w:t>
      </w:r>
      <w:r w:rsidRPr="00A827EA">
        <w:rPr>
          <w:rFonts w:ascii="Arial" w:hAnsi="Arial" w:cs="Arial"/>
          <w:sz w:val="22"/>
          <w:szCs w:val="22"/>
        </w:rPr>
        <w:t>, logrando así una visión integral del impacto de la fragmentación en el desempeño logístico.</w:t>
      </w:r>
    </w:p>
    <w:p w14:paraId="4B4F854E" w14:textId="77777777" w:rsidR="00AF4C39" w:rsidRPr="00AF4C39" w:rsidRDefault="00AF4C39" w:rsidP="00AF4C39">
      <w:pPr>
        <w:spacing w:line="360" w:lineRule="auto"/>
        <w:jc w:val="both"/>
        <w:rPr>
          <w:rFonts w:ascii="Arial" w:hAnsi="Arial" w:cs="Arial"/>
          <w:sz w:val="22"/>
          <w:szCs w:val="22"/>
        </w:rPr>
      </w:pPr>
      <w:r w:rsidRPr="00AF4C39">
        <w:rPr>
          <w:rFonts w:ascii="Arial" w:hAnsi="Arial" w:cs="Arial"/>
          <w:sz w:val="22"/>
          <w:szCs w:val="22"/>
        </w:rPr>
        <w:t>Adicionalmente, se estimaron los costos unitarios por tonelada transportada, considerando variables como el consumo de combustible, los tiempos de ciclo, la productividad por equipo y los costos de mantenimiento. A través de un análisis de regresión multivariable, se establecieron correlaciones entre los percentiles P80 y P50 y los costos de carguío y transporte, lo que permitió cuantificar el efecto de la fragmentación sobre la eficiencia operativa.</w:t>
      </w:r>
    </w:p>
    <w:p w14:paraId="2685683F" w14:textId="7DD572AF" w:rsidR="006B2978" w:rsidRPr="00A827EA" w:rsidRDefault="00AF4C39" w:rsidP="006B2978">
      <w:pPr>
        <w:spacing w:line="360" w:lineRule="auto"/>
        <w:jc w:val="both"/>
        <w:rPr>
          <w:rFonts w:ascii="Arial" w:hAnsi="Arial" w:cs="Arial"/>
          <w:sz w:val="22"/>
          <w:szCs w:val="22"/>
        </w:rPr>
      </w:pPr>
      <w:r w:rsidRPr="00AF4C39">
        <w:rPr>
          <w:rFonts w:ascii="Arial" w:hAnsi="Arial" w:cs="Arial"/>
          <w:sz w:val="22"/>
          <w:szCs w:val="22"/>
        </w:rPr>
        <w:t xml:space="preserve">Se realizó también un análisis de sensibilidad para evaluar el impacto de distintos escenarios de fragmentación sobre los costos operativos de carguío y </w:t>
      </w:r>
      <w:r w:rsidR="00944ACC">
        <w:rPr>
          <w:rFonts w:ascii="Arial" w:hAnsi="Arial" w:cs="Arial"/>
          <w:sz w:val="22"/>
          <w:szCs w:val="22"/>
        </w:rPr>
        <w:t>transporte</w:t>
      </w:r>
      <w:r w:rsidRPr="00AF4C39">
        <w:rPr>
          <w:rFonts w:ascii="Arial" w:hAnsi="Arial" w:cs="Arial"/>
          <w:sz w:val="22"/>
          <w:szCs w:val="22"/>
        </w:rPr>
        <w:t>. Este análisis consideró variables clave como el factor de carga, asociado al diseño de la voladura, y el rock factor, que integra las características geológicas y geotécnicas del macizo rocoso.</w:t>
      </w:r>
      <w:r w:rsidRPr="00A827EA">
        <w:rPr>
          <w:rFonts w:ascii="Arial" w:hAnsi="Arial" w:cs="Arial"/>
          <w:sz w:val="22"/>
          <w:szCs w:val="22"/>
        </w:rPr>
        <w:t xml:space="preserve"> </w:t>
      </w:r>
      <w:r w:rsidR="006B2978" w:rsidRPr="00A827EA">
        <w:rPr>
          <w:rFonts w:ascii="Arial" w:hAnsi="Arial" w:cs="Arial"/>
          <w:sz w:val="22"/>
          <w:szCs w:val="22"/>
        </w:rPr>
        <w:t>El objetivo fue identificar el punto de equilibrio entre el incremento en los costos de perforación y voladura, generado por el uso de mayores factores de carga o por los ajustes en los diseños de malla, y la reducción acumulada en los costos de las operaciones</w:t>
      </w:r>
      <w:r w:rsidR="00944ACC">
        <w:rPr>
          <w:rFonts w:ascii="Arial" w:hAnsi="Arial" w:cs="Arial"/>
          <w:sz w:val="22"/>
          <w:szCs w:val="22"/>
        </w:rPr>
        <w:t xml:space="preserve"> de carguío y acarreo</w:t>
      </w:r>
    </w:p>
    <w:p w14:paraId="152FE6FE" w14:textId="39744368" w:rsidR="00932A29" w:rsidRPr="00A827EA" w:rsidRDefault="006549CD" w:rsidP="00932A29">
      <w:pPr>
        <w:spacing w:line="360" w:lineRule="auto"/>
        <w:jc w:val="both"/>
        <w:rPr>
          <w:rFonts w:ascii="Arial" w:hAnsi="Arial" w:cs="Arial"/>
          <w:sz w:val="22"/>
          <w:szCs w:val="22"/>
        </w:rPr>
      </w:pPr>
      <w:r w:rsidRPr="00A827EA">
        <w:rPr>
          <w:rFonts w:ascii="Arial" w:hAnsi="Arial" w:cs="Arial"/>
          <w:sz w:val="22"/>
          <w:szCs w:val="22"/>
        </w:rPr>
        <w:t xml:space="preserve">Como resultado de la aplicación del modelo predictivo en condiciones operativas reales, se logró una reducción progresiva </w:t>
      </w:r>
      <w:r w:rsidR="00B71983" w:rsidRPr="00A827EA">
        <w:rPr>
          <w:rFonts w:ascii="Arial" w:hAnsi="Arial" w:cs="Arial"/>
          <w:sz w:val="22"/>
          <w:szCs w:val="22"/>
        </w:rPr>
        <w:t>desde</w:t>
      </w:r>
      <w:r w:rsidRPr="00A827EA">
        <w:rPr>
          <w:rFonts w:ascii="Arial" w:hAnsi="Arial" w:cs="Arial"/>
          <w:sz w:val="22"/>
          <w:szCs w:val="22"/>
        </w:rPr>
        <w:t xml:space="preserve"> un 2% en los costos asociados a las operaciones de carguío y transporte, efecto atribuible a una fragmentación más controlada y adecuada del material volado. </w:t>
      </w:r>
      <w:r w:rsidR="00932A29" w:rsidRPr="00A827EA">
        <w:rPr>
          <w:rFonts w:ascii="Arial" w:hAnsi="Arial" w:cs="Arial"/>
          <w:sz w:val="22"/>
          <w:szCs w:val="22"/>
        </w:rPr>
        <w:t>Si bien el ajuste del factor de carga representa un incremento inicial en los costos de perforación y voladura, este demostró ser una inversión rentable. Los beneficios observados incluyen mejoras en la eficiencia energética, reducción del desgaste de componentes críticos en los equipos móviles y aumento de la productividad en las etapas de carguío, acarreo, chancado y procesamiento.</w:t>
      </w:r>
    </w:p>
    <w:p w14:paraId="69BD5831" w14:textId="0A1667FE" w:rsidR="00932A29" w:rsidRPr="00932A29" w:rsidRDefault="00932A29" w:rsidP="00932A29">
      <w:pPr>
        <w:spacing w:line="360" w:lineRule="auto"/>
        <w:jc w:val="both"/>
        <w:rPr>
          <w:rFonts w:ascii="Arial" w:hAnsi="Arial" w:cs="Arial"/>
          <w:sz w:val="22"/>
          <w:szCs w:val="22"/>
        </w:rPr>
      </w:pPr>
      <w:r w:rsidRPr="00932A29">
        <w:rPr>
          <w:rFonts w:ascii="Arial" w:hAnsi="Arial" w:cs="Arial"/>
          <w:sz w:val="22"/>
          <w:szCs w:val="22"/>
        </w:rPr>
        <w:t xml:space="preserve">Estos resultados reafirman la importancia de adoptar un enfoque integrador y basado en datos para </w:t>
      </w:r>
      <w:r w:rsidR="00AD3B25">
        <w:rPr>
          <w:rFonts w:ascii="Arial" w:hAnsi="Arial" w:cs="Arial"/>
          <w:sz w:val="22"/>
          <w:szCs w:val="22"/>
        </w:rPr>
        <w:t xml:space="preserve">la </w:t>
      </w:r>
      <w:r w:rsidR="00960903">
        <w:rPr>
          <w:rFonts w:ascii="Arial" w:hAnsi="Arial" w:cs="Arial"/>
          <w:sz w:val="22"/>
          <w:szCs w:val="22"/>
        </w:rPr>
        <w:t>reducción</w:t>
      </w:r>
      <w:r w:rsidR="00AD3B25">
        <w:rPr>
          <w:rFonts w:ascii="Arial" w:hAnsi="Arial" w:cs="Arial"/>
          <w:sz w:val="22"/>
          <w:szCs w:val="22"/>
        </w:rPr>
        <w:t xml:space="preserve"> de los costos de </w:t>
      </w:r>
      <w:r w:rsidR="00944ACC">
        <w:rPr>
          <w:rFonts w:ascii="Arial" w:hAnsi="Arial" w:cs="Arial"/>
          <w:sz w:val="22"/>
          <w:szCs w:val="22"/>
        </w:rPr>
        <w:t>carguío</w:t>
      </w:r>
      <w:r w:rsidR="00AD3B25">
        <w:rPr>
          <w:rFonts w:ascii="Arial" w:hAnsi="Arial" w:cs="Arial"/>
          <w:sz w:val="22"/>
          <w:szCs w:val="22"/>
        </w:rPr>
        <w:t xml:space="preserve"> y transporte mediante la </w:t>
      </w:r>
      <w:r w:rsidRPr="00932A29">
        <w:rPr>
          <w:rFonts w:ascii="Arial" w:hAnsi="Arial" w:cs="Arial"/>
          <w:sz w:val="22"/>
          <w:szCs w:val="22"/>
        </w:rPr>
        <w:t>optimiza</w:t>
      </w:r>
      <w:r w:rsidR="00AD3B25">
        <w:rPr>
          <w:rFonts w:ascii="Arial" w:hAnsi="Arial" w:cs="Arial"/>
          <w:sz w:val="22"/>
          <w:szCs w:val="22"/>
        </w:rPr>
        <w:t>ción de</w:t>
      </w:r>
      <w:r w:rsidR="00A678B4">
        <w:rPr>
          <w:rFonts w:ascii="Arial" w:hAnsi="Arial" w:cs="Arial"/>
          <w:sz w:val="22"/>
          <w:szCs w:val="22"/>
        </w:rPr>
        <w:t xml:space="preserve">l </w:t>
      </w:r>
      <w:r w:rsidRPr="00932A29">
        <w:rPr>
          <w:rFonts w:ascii="Arial" w:hAnsi="Arial" w:cs="Arial"/>
          <w:sz w:val="22"/>
          <w:szCs w:val="22"/>
        </w:rPr>
        <w:t>diseño de voladuras, permitiendo maximizar el valor en toda la cadena productiva, desde la perforación hasta la planta de procesamiento.</w:t>
      </w:r>
    </w:p>
    <w:p w14:paraId="240A9B12" w14:textId="77777777" w:rsidR="00F9583B" w:rsidRDefault="00F9583B" w:rsidP="00F9583B">
      <w:pPr>
        <w:jc w:val="both"/>
      </w:pPr>
    </w:p>
    <w:sectPr w:rsidR="00F958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64E8E"/>
    <w:multiLevelType w:val="hybridMultilevel"/>
    <w:tmpl w:val="5E148D68"/>
    <w:lvl w:ilvl="0" w:tplc="30AEDFDC">
      <w:start w:val="1"/>
      <w:numFmt w:val="decimal"/>
      <w:lvlText w:val="%1."/>
      <w:lvlJc w:val="left"/>
      <w:pPr>
        <w:ind w:left="720" w:hanging="360"/>
      </w:pPr>
      <w:rPr>
        <w:rFonts w:ascii="Arial Nova" w:eastAsiaTheme="minorHAnsi" w:hAnsi="Arial Nova" w:cs="Arial"/>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6933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83B"/>
    <w:rsid w:val="00077BEB"/>
    <w:rsid w:val="000B3012"/>
    <w:rsid w:val="000F6342"/>
    <w:rsid w:val="00110C0D"/>
    <w:rsid w:val="0011714D"/>
    <w:rsid w:val="001661CC"/>
    <w:rsid w:val="00170BE3"/>
    <w:rsid w:val="00173B45"/>
    <w:rsid w:val="001C331E"/>
    <w:rsid w:val="001D173A"/>
    <w:rsid w:val="001E1F3B"/>
    <w:rsid w:val="00213BD8"/>
    <w:rsid w:val="00231BA4"/>
    <w:rsid w:val="00243BFB"/>
    <w:rsid w:val="00245678"/>
    <w:rsid w:val="0024632F"/>
    <w:rsid w:val="00250AA7"/>
    <w:rsid w:val="002A7326"/>
    <w:rsid w:val="00350F7C"/>
    <w:rsid w:val="00371F7A"/>
    <w:rsid w:val="003B1915"/>
    <w:rsid w:val="003D64BB"/>
    <w:rsid w:val="003E5AFC"/>
    <w:rsid w:val="00444522"/>
    <w:rsid w:val="004477A1"/>
    <w:rsid w:val="00450CF7"/>
    <w:rsid w:val="00480BB7"/>
    <w:rsid w:val="004A6715"/>
    <w:rsid w:val="004B2C5C"/>
    <w:rsid w:val="004C2D60"/>
    <w:rsid w:val="004D797D"/>
    <w:rsid w:val="004F06A5"/>
    <w:rsid w:val="00513865"/>
    <w:rsid w:val="00517BF6"/>
    <w:rsid w:val="0053566A"/>
    <w:rsid w:val="00560B30"/>
    <w:rsid w:val="00582D1B"/>
    <w:rsid w:val="0065155A"/>
    <w:rsid w:val="006549CD"/>
    <w:rsid w:val="00654BDE"/>
    <w:rsid w:val="006B2978"/>
    <w:rsid w:val="007570C0"/>
    <w:rsid w:val="00781C38"/>
    <w:rsid w:val="007E5D0A"/>
    <w:rsid w:val="007F0208"/>
    <w:rsid w:val="00835733"/>
    <w:rsid w:val="00874198"/>
    <w:rsid w:val="00887173"/>
    <w:rsid w:val="008A0104"/>
    <w:rsid w:val="008B426A"/>
    <w:rsid w:val="008D22F3"/>
    <w:rsid w:val="008E1C02"/>
    <w:rsid w:val="00916FD3"/>
    <w:rsid w:val="00932A29"/>
    <w:rsid w:val="00944ACC"/>
    <w:rsid w:val="00960903"/>
    <w:rsid w:val="009A0065"/>
    <w:rsid w:val="00A10E1D"/>
    <w:rsid w:val="00A11066"/>
    <w:rsid w:val="00A2013C"/>
    <w:rsid w:val="00A22123"/>
    <w:rsid w:val="00A65403"/>
    <w:rsid w:val="00A678B4"/>
    <w:rsid w:val="00A827EA"/>
    <w:rsid w:val="00A869A4"/>
    <w:rsid w:val="00A875F8"/>
    <w:rsid w:val="00AD3B25"/>
    <w:rsid w:val="00AF4C39"/>
    <w:rsid w:val="00B71983"/>
    <w:rsid w:val="00B9409A"/>
    <w:rsid w:val="00B940A8"/>
    <w:rsid w:val="00BD7956"/>
    <w:rsid w:val="00BF6B51"/>
    <w:rsid w:val="00C31EBB"/>
    <w:rsid w:val="00C46BAC"/>
    <w:rsid w:val="00C70C5F"/>
    <w:rsid w:val="00C85A9F"/>
    <w:rsid w:val="00CA7879"/>
    <w:rsid w:val="00D21016"/>
    <w:rsid w:val="00DD42CA"/>
    <w:rsid w:val="00DE79C2"/>
    <w:rsid w:val="00E619DC"/>
    <w:rsid w:val="00ED7058"/>
    <w:rsid w:val="00F11033"/>
    <w:rsid w:val="00F7292C"/>
    <w:rsid w:val="00F72D8F"/>
    <w:rsid w:val="00F958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A3C4"/>
  <w15:chartTrackingRefBased/>
  <w15:docId w15:val="{D36AFDA7-8ED6-421C-9BAE-E48B04D7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5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5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58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58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58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58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58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58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58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58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58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58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58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58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58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58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58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583B"/>
    <w:rPr>
      <w:rFonts w:eastAsiaTheme="majorEastAsia" w:cstheme="majorBidi"/>
      <w:color w:val="272727" w:themeColor="text1" w:themeTint="D8"/>
    </w:rPr>
  </w:style>
  <w:style w:type="paragraph" w:styleId="Ttulo">
    <w:name w:val="Title"/>
    <w:basedOn w:val="Normal"/>
    <w:next w:val="Normal"/>
    <w:link w:val="TtuloCar"/>
    <w:uiPriority w:val="10"/>
    <w:qFormat/>
    <w:rsid w:val="00F95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58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58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58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583B"/>
    <w:pPr>
      <w:spacing w:before="160"/>
      <w:jc w:val="center"/>
    </w:pPr>
    <w:rPr>
      <w:i/>
      <w:iCs/>
      <w:color w:val="404040" w:themeColor="text1" w:themeTint="BF"/>
    </w:rPr>
  </w:style>
  <w:style w:type="character" w:customStyle="1" w:styleId="CitaCar">
    <w:name w:val="Cita Car"/>
    <w:basedOn w:val="Fuentedeprrafopredeter"/>
    <w:link w:val="Cita"/>
    <w:uiPriority w:val="29"/>
    <w:rsid w:val="00F9583B"/>
    <w:rPr>
      <w:i/>
      <w:iCs/>
      <w:color w:val="404040" w:themeColor="text1" w:themeTint="BF"/>
    </w:rPr>
  </w:style>
  <w:style w:type="paragraph" w:styleId="Prrafodelista">
    <w:name w:val="List Paragraph"/>
    <w:basedOn w:val="Normal"/>
    <w:uiPriority w:val="34"/>
    <w:qFormat/>
    <w:rsid w:val="00F9583B"/>
    <w:pPr>
      <w:ind w:left="720"/>
      <w:contextualSpacing/>
    </w:pPr>
  </w:style>
  <w:style w:type="character" w:styleId="nfasisintenso">
    <w:name w:val="Intense Emphasis"/>
    <w:basedOn w:val="Fuentedeprrafopredeter"/>
    <w:uiPriority w:val="21"/>
    <w:qFormat/>
    <w:rsid w:val="00F9583B"/>
    <w:rPr>
      <w:i/>
      <w:iCs/>
      <w:color w:val="0F4761" w:themeColor="accent1" w:themeShade="BF"/>
    </w:rPr>
  </w:style>
  <w:style w:type="paragraph" w:styleId="Citadestacada">
    <w:name w:val="Intense Quote"/>
    <w:basedOn w:val="Normal"/>
    <w:next w:val="Normal"/>
    <w:link w:val="CitadestacadaCar"/>
    <w:uiPriority w:val="30"/>
    <w:qFormat/>
    <w:rsid w:val="00F95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583B"/>
    <w:rPr>
      <w:i/>
      <w:iCs/>
      <w:color w:val="0F4761" w:themeColor="accent1" w:themeShade="BF"/>
    </w:rPr>
  </w:style>
  <w:style w:type="character" w:styleId="Referenciaintensa">
    <w:name w:val="Intense Reference"/>
    <w:basedOn w:val="Fuentedeprrafopredeter"/>
    <w:uiPriority w:val="32"/>
    <w:qFormat/>
    <w:rsid w:val="00F9583B"/>
    <w:rPr>
      <w:b/>
      <w:bCs/>
      <w:smallCaps/>
      <w:color w:val="0F4761" w:themeColor="accent1" w:themeShade="BF"/>
      <w:spacing w:val="5"/>
    </w:rPr>
  </w:style>
  <w:style w:type="paragraph" w:styleId="NormalWeb">
    <w:name w:val="Normal (Web)"/>
    <w:basedOn w:val="Normal"/>
    <w:uiPriority w:val="99"/>
    <w:semiHidden/>
    <w:unhideWhenUsed/>
    <w:rsid w:val="00F9583B"/>
    <w:rPr>
      <w:rFonts w:ascii="Times New Roman" w:hAnsi="Times New Roman" w:cs="Times New Roman"/>
    </w:rPr>
  </w:style>
  <w:style w:type="character" w:styleId="Hipervnculo">
    <w:name w:val="Hyperlink"/>
    <w:basedOn w:val="Fuentedeprrafopredeter"/>
    <w:uiPriority w:val="99"/>
    <w:unhideWhenUsed/>
    <w:rsid w:val="00D21016"/>
    <w:rPr>
      <w:color w:val="467886" w:themeColor="hyperlink"/>
      <w:u w:val="single"/>
    </w:rPr>
  </w:style>
  <w:style w:type="character" w:styleId="Mencinsinresolver">
    <w:name w:val="Unresolved Mention"/>
    <w:basedOn w:val="Fuentedeprrafopredeter"/>
    <w:uiPriority w:val="99"/>
    <w:semiHidden/>
    <w:unhideWhenUsed/>
    <w:rsid w:val="00D21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87297">
      <w:bodyDiv w:val="1"/>
      <w:marLeft w:val="0"/>
      <w:marRight w:val="0"/>
      <w:marTop w:val="0"/>
      <w:marBottom w:val="0"/>
      <w:divBdr>
        <w:top w:val="none" w:sz="0" w:space="0" w:color="auto"/>
        <w:left w:val="none" w:sz="0" w:space="0" w:color="auto"/>
        <w:bottom w:val="none" w:sz="0" w:space="0" w:color="auto"/>
        <w:right w:val="none" w:sz="0" w:space="0" w:color="auto"/>
      </w:divBdr>
    </w:div>
    <w:div w:id="145366212">
      <w:bodyDiv w:val="1"/>
      <w:marLeft w:val="0"/>
      <w:marRight w:val="0"/>
      <w:marTop w:val="0"/>
      <w:marBottom w:val="0"/>
      <w:divBdr>
        <w:top w:val="none" w:sz="0" w:space="0" w:color="auto"/>
        <w:left w:val="none" w:sz="0" w:space="0" w:color="auto"/>
        <w:bottom w:val="none" w:sz="0" w:space="0" w:color="auto"/>
        <w:right w:val="none" w:sz="0" w:space="0" w:color="auto"/>
      </w:divBdr>
    </w:div>
    <w:div w:id="184711192">
      <w:bodyDiv w:val="1"/>
      <w:marLeft w:val="0"/>
      <w:marRight w:val="0"/>
      <w:marTop w:val="0"/>
      <w:marBottom w:val="0"/>
      <w:divBdr>
        <w:top w:val="none" w:sz="0" w:space="0" w:color="auto"/>
        <w:left w:val="none" w:sz="0" w:space="0" w:color="auto"/>
        <w:bottom w:val="none" w:sz="0" w:space="0" w:color="auto"/>
        <w:right w:val="none" w:sz="0" w:space="0" w:color="auto"/>
      </w:divBdr>
    </w:div>
    <w:div w:id="347608727">
      <w:bodyDiv w:val="1"/>
      <w:marLeft w:val="0"/>
      <w:marRight w:val="0"/>
      <w:marTop w:val="0"/>
      <w:marBottom w:val="0"/>
      <w:divBdr>
        <w:top w:val="none" w:sz="0" w:space="0" w:color="auto"/>
        <w:left w:val="none" w:sz="0" w:space="0" w:color="auto"/>
        <w:bottom w:val="none" w:sz="0" w:space="0" w:color="auto"/>
        <w:right w:val="none" w:sz="0" w:space="0" w:color="auto"/>
      </w:divBdr>
    </w:div>
    <w:div w:id="365373822">
      <w:bodyDiv w:val="1"/>
      <w:marLeft w:val="0"/>
      <w:marRight w:val="0"/>
      <w:marTop w:val="0"/>
      <w:marBottom w:val="0"/>
      <w:divBdr>
        <w:top w:val="none" w:sz="0" w:space="0" w:color="auto"/>
        <w:left w:val="none" w:sz="0" w:space="0" w:color="auto"/>
        <w:bottom w:val="none" w:sz="0" w:space="0" w:color="auto"/>
        <w:right w:val="none" w:sz="0" w:space="0" w:color="auto"/>
      </w:divBdr>
    </w:div>
    <w:div w:id="778913771">
      <w:bodyDiv w:val="1"/>
      <w:marLeft w:val="0"/>
      <w:marRight w:val="0"/>
      <w:marTop w:val="0"/>
      <w:marBottom w:val="0"/>
      <w:divBdr>
        <w:top w:val="none" w:sz="0" w:space="0" w:color="auto"/>
        <w:left w:val="none" w:sz="0" w:space="0" w:color="auto"/>
        <w:bottom w:val="none" w:sz="0" w:space="0" w:color="auto"/>
        <w:right w:val="none" w:sz="0" w:space="0" w:color="auto"/>
      </w:divBdr>
    </w:div>
    <w:div w:id="892885553">
      <w:bodyDiv w:val="1"/>
      <w:marLeft w:val="0"/>
      <w:marRight w:val="0"/>
      <w:marTop w:val="0"/>
      <w:marBottom w:val="0"/>
      <w:divBdr>
        <w:top w:val="none" w:sz="0" w:space="0" w:color="auto"/>
        <w:left w:val="none" w:sz="0" w:space="0" w:color="auto"/>
        <w:bottom w:val="none" w:sz="0" w:space="0" w:color="auto"/>
        <w:right w:val="none" w:sz="0" w:space="0" w:color="auto"/>
      </w:divBdr>
    </w:div>
    <w:div w:id="1073822448">
      <w:bodyDiv w:val="1"/>
      <w:marLeft w:val="0"/>
      <w:marRight w:val="0"/>
      <w:marTop w:val="0"/>
      <w:marBottom w:val="0"/>
      <w:divBdr>
        <w:top w:val="none" w:sz="0" w:space="0" w:color="auto"/>
        <w:left w:val="none" w:sz="0" w:space="0" w:color="auto"/>
        <w:bottom w:val="none" w:sz="0" w:space="0" w:color="auto"/>
        <w:right w:val="none" w:sz="0" w:space="0" w:color="auto"/>
      </w:divBdr>
    </w:div>
    <w:div w:id="1194657170">
      <w:bodyDiv w:val="1"/>
      <w:marLeft w:val="0"/>
      <w:marRight w:val="0"/>
      <w:marTop w:val="0"/>
      <w:marBottom w:val="0"/>
      <w:divBdr>
        <w:top w:val="none" w:sz="0" w:space="0" w:color="auto"/>
        <w:left w:val="none" w:sz="0" w:space="0" w:color="auto"/>
        <w:bottom w:val="none" w:sz="0" w:space="0" w:color="auto"/>
        <w:right w:val="none" w:sz="0" w:space="0" w:color="auto"/>
      </w:divBdr>
    </w:div>
    <w:div w:id="1209950557">
      <w:bodyDiv w:val="1"/>
      <w:marLeft w:val="0"/>
      <w:marRight w:val="0"/>
      <w:marTop w:val="0"/>
      <w:marBottom w:val="0"/>
      <w:divBdr>
        <w:top w:val="none" w:sz="0" w:space="0" w:color="auto"/>
        <w:left w:val="none" w:sz="0" w:space="0" w:color="auto"/>
        <w:bottom w:val="none" w:sz="0" w:space="0" w:color="auto"/>
        <w:right w:val="none" w:sz="0" w:space="0" w:color="auto"/>
      </w:divBdr>
    </w:div>
    <w:div w:id="1308827011">
      <w:bodyDiv w:val="1"/>
      <w:marLeft w:val="0"/>
      <w:marRight w:val="0"/>
      <w:marTop w:val="0"/>
      <w:marBottom w:val="0"/>
      <w:divBdr>
        <w:top w:val="none" w:sz="0" w:space="0" w:color="auto"/>
        <w:left w:val="none" w:sz="0" w:space="0" w:color="auto"/>
        <w:bottom w:val="none" w:sz="0" w:space="0" w:color="auto"/>
        <w:right w:val="none" w:sz="0" w:space="0" w:color="auto"/>
      </w:divBdr>
    </w:div>
    <w:div w:id="1388070459">
      <w:bodyDiv w:val="1"/>
      <w:marLeft w:val="0"/>
      <w:marRight w:val="0"/>
      <w:marTop w:val="0"/>
      <w:marBottom w:val="0"/>
      <w:divBdr>
        <w:top w:val="none" w:sz="0" w:space="0" w:color="auto"/>
        <w:left w:val="none" w:sz="0" w:space="0" w:color="auto"/>
        <w:bottom w:val="none" w:sz="0" w:space="0" w:color="auto"/>
        <w:right w:val="none" w:sz="0" w:space="0" w:color="auto"/>
      </w:divBdr>
    </w:div>
    <w:div w:id="1417282211">
      <w:bodyDiv w:val="1"/>
      <w:marLeft w:val="0"/>
      <w:marRight w:val="0"/>
      <w:marTop w:val="0"/>
      <w:marBottom w:val="0"/>
      <w:divBdr>
        <w:top w:val="none" w:sz="0" w:space="0" w:color="auto"/>
        <w:left w:val="none" w:sz="0" w:space="0" w:color="auto"/>
        <w:bottom w:val="none" w:sz="0" w:space="0" w:color="auto"/>
        <w:right w:val="none" w:sz="0" w:space="0" w:color="auto"/>
      </w:divBdr>
    </w:div>
    <w:div w:id="1420712342">
      <w:bodyDiv w:val="1"/>
      <w:marLeft w:val="0"/>
      <w:marRight w:val="0"/>
      <w:marTop w:val="0"/>
      <w:marBottom w:val="0"/>
      <w:divBdr>
        <w:top w:val="none" w:sz="0" w:space="0" w:color="auto"/>
        <w:left w:val="none" w:sz="0" w:space="0" w:color="auto"/>
        <w:bottom w:val="none" w:sz="0" w:space="0" w:color="auto"/>
        <w:right w:val="none" w:sz="0" w:space="0" w:color="auto"/>
      </w:divBdr>
    </w:div>
    <w:div w:id="1433628311">
      <w:bodyDiv w:val="1"/>
      <w:marLeft w:val="0"/>
      <w:marRight w:val="0"/>
      <w:marTop w:val="0"/>
      <w:marBottom w:val="0"/>
      <w:divBdr>
        <w:top w:val="none" w:sz="0" w:space="0" w:color="auto"/>
        <w:left w:val="none" w:sz="0" w:space="0" w:color="auto"/>
        <w:bottom w:val="none" w:sz="0" w:space="0" w:color="auto"/>
        <w:right w:val="none" w:sz="0" w:space="0" w:color="auto"/>
      </w:divBdr>
    </w:div>
    <w:div w:id="1526862795">
      <w:bodyDiv w:val="1"/>
      <w:marLeft w:val="0"/>
      <w:marRight w:val="0"/>
      <w:marTop w:val="0"/>
      <w:marBottom w:val="0"/>
      <w:divBdr>
        <w:top w:val="none" w:sz="0" w:space="0" w:color="auto"/>
        <w:left w:val="none" w:sz="0" w:space="0" w:color="auto"/>
        <w:bottom w:val="none" w:sz="0" w:space="0" w:color="auto"/>
        <w:right w:val="none" w:sz="0" w:space="0" w:color="auto"/>
      </w:divBdr>
    </w:div>
    <w:div w:id="1564370737">
      <w:bodyDiv w:val="1"/>
      <w:marLeft w:val="0"/>
      <w:marRight w:val="0"/>
      <w:marTop w:val="0"/>
      <w:marBottom w:val="0"/>
      <w:divBdr>
        <w:top w:val="none" w:sz="0" w:space="0" w:color="auto"/>
        <w:left w:val="none" w:sz="0" w:space="0" w:color="auto"/>
        <w:bottom w:val="none" w:sz="0" w:space="0" w:color="auto"/>
        <w:right w:val="none" w:sz="0" w:space="0" w:color="auto"/>
      </w:divBdr>
    </w:div>
    <w:div w:id="1647928423">
      <w:bodyDiv w:val="1"/>
      <w:marLeft w:val="0"/>
      <w:marRight w:val="0"/>
      <w:marTop w:val="0"/>
      <w:marBottom w:val="0"/>
      <w:divBdr>
        <w:top w:val="none" w:sz="0" w:space="0" w:color="auto"/>
        <w:left w:val="none" w:sz="0" w:space="0" w:color="auto"/>
        <w:bottom w:val="none" w:sz="0" w:space="0" w:color="auto"/>
        <w:right w:val="none" w:sz="0" w:space="0" w:color="auto"/>
      </w:divBdr>
    </w:div>
    <w:div w:id="1737900225">
      <w:bodyDiv w:val="1"/>
      <w:marLeft w:val="0"/>
      <w:marRight w:val="0"/>
      <w:marTop w:val="0"/>
      <w:marBottom w:val="0"/>
      <w:divBdr>
        <w:top w:val="none" w:sz="0" w:space="0" w:color="auto"/>
        <w:left w:val="none" w:sz="0" w:space="0" w:color="auto"/>
        <w:bottom w:val="none" w:sz="0" w:space="0" w:color="auto"/>
        <w:right w:val="none" w:sz="0" w:space="0" w:color="auto"/>
      </w:divBdr>
    </w:div>
    <w:div w:id="1785420751">
      <w:bodyDiv w:val="1"/>
      <w:marLeft w:val="0"/>
      <w:marRight w:val="0"/>
      <w:marTop w:val="0"/>
      <w:marBottom w:val="0"/>
      <w:divBdr>
        <w:top w:val="none" w:sz="0" w:space="0" w:color="auto"/>
        <w:left w:val="none" w:sz="0" w:space="0" w:color="auto"/>
        <w:bottom w:val="none" w:sz="0" w:space="0" w:color="auto"/>
        <w:right w:val="none" w:sz="0" w:space="0" w:color="auto"/>
      </w:divBdr>
    </w:div>
    <w:div w:id="1896041712">
      <w:bodyDiv w:val="1"/>
      <w:marLeft w:val="0"/>
      <w:marRight w:val="0"/>
      <w:marTop w:val="0"/>
      <w:marBottom w:val="0"/>
      <w:divBdr>
        <w:top w:val="none" w:sz="0" w:space="0" w:color="auto"/>
        <w:left w:val="none" w:sz="0" w:space="0" w:color="auto"/>
        <w:bottom w:val="none" w:sz="0" w:space="0" w:color="auto"/>
        <w:right w:val="none" w:sz="0" w:space="0" w:color="auto"/>
      </w:divBdr>
    </w:div>
    <w:div w:id="2042851968">
      <w:bodyDiv w:val="1"/>
      <w:marLeft w:val="0"/>
      <w:marRight w:val="0"/>
      <w:marTop w:val="0"/>
      <w:marBottom w:val="0"/>
      <w:divBdr>
        <w:top w:val="none" w:sz="0" w:space="0" w:color="auto"/>
        <w:left w:val="none" w:sz="0" w:space="0" w:color="auto"/>
        <w:bottom w:val="none" w:sz="0" w:space="0" w:color="auto"/>
        <w:right w:val="none" w:sz="0" w:space="0" w:color="auto"/>
      </w:divBdr>
    </w:div>
    <w:div w:id="2070877677">
      <w:bodyDiv w:val="1"/>
      <w:marLeft w:val="0"/>
      <w:marRight w:val="0"/>
      <w:marTop w:val="0"/>
      <w:marBottom w:val="0"/>
      <w:divBdr>
        <w:top w:val="none" w:sz="0" w:space="0" w:color="auto"/>
        <w:left w:val="none" w:sz="0" w:space="0" w:color="auto"/>
        <w:bottom w:val="none" w:sz="0" w:space="0" w:color="auto"/>
        <w:right w:val="none" w:sz="0" w:space="0" w:color="auto"/>
      </w:divBdr>
    </w:div>
    <w:div w:id="211081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402</TotalTime>
  <Pages>3</Pages>
  <Words>1288</Words>
  <Characters>7086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CUADROS Benjamin</dc:creator>
  <cp:keywords/>
  <dc:description/>
  <cp:lastModifiedBy>CUADROS Benjamin</cp:lastModifiedBy>
  <cp:revision>72</cp:revision>
  <dcterms:created xsi:type="dcterms:W3CDTF">2025-05-12T00:18:00Z</dcterms:created>
  <dcterms:modified xsi:type="dcterms:W3CDTF">2025-05-13T02:41:00Z</dcterms:modified>
</cp:coreProperties>
</file>