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C6F3" w14:textId="2F9E6ACC" w:rsidR="007E662F" w:rsidRPr="00346F21" w:rsidRDefault="003C6089" w:rsidP="003C6089">
      <w:pPr>
        <w:spacing w:after="0" w:line="360" w:lineRule="auto"/>
        <w:ind w:left="720" w:hanging="360"/>
        <w:jc w:val="center"/>
        <w:rPr>
          <w:rFonts w:ascii="Arial" w:hAnsi="Arial" w:cs="Arial"/>
          <w:b/>
          <w:bCs/>
        </w:rPr>
      </w:pPr>
      <w:r w:rsidRPr="00346F21">
        <w:rPr>
          <w:rFonts w:ascii="Arial" w:hAnsi="Arial" w:cs="Arial"/>
          <w:b/>
          <w:bCs/>
        </w:rPr>
        <w:t>PERUMIN 37 CONVENCIÓN MINERA</w:t>
      </w:r>
    </w:p>
    <w:p w14:paraId="2F19561F" w14:textId="5879A096" w:rsidR="007E662F" w:rsidRPr="00346F21" w:rsidRDefault="003C6089" w:rsidP="003C6089">
      <w:pPr>
        <w:spacing w:line="360" w:lineRule="auto"/>
        <w:ind w:left="720" w:hanging="360"/>
        <w:jc w:val="center"/>
        <w:rPr>
          <w:rFonts w:ascii="Arial" w:hAnsi="Arial" w:cs="Arial"/>
          <w:b/>
          <w:bCs/>
        </w:rPr>
      </w:pPr>
      <w:r w:rsidRPr="00346F21">
        <w:rPr>
          <w:rFonts w:ascii="Arial" w:hAnsi="Arial" w:cs="Arial"/>
          <w:b/>
          <w:bCs/>
        </w:rPr>
        <w:t>FORO DE TECNOLOGÍA, INNOVACIÓN Y SOSTENIBILIDAD CONVOCATORIA DE TRABAJOS TÉCNICOS PREMIO NACIONAL DE MINERÍA</w:t>
      </w:r>
    </w:p>
    <w:p w14:paraId="4E56E9B9" w14:textId="77777777" w:rsidR="00805EFC" w:rsidRPr="00346F21" w:rsidRDefault="00805EFC"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Título del trabajo</w:t>
      </w:r>
    </w:p>
    <w:p w14:paraId="655F4BBF" w14:textId="0CD3C477" w:rsidR="00FA4AEA" w:rsidRPr="007D469B" w:rsidRDefault="00FA4AEA" w:rsidP="003C6089">
      <w:pPr>
        <w:spacing w:after="0" w:line="360" w:lineRule="auto"/>
        <w:ind w:left="426"/>
        <w:jc w:val="both"/>
        <w:rPr>
          <w:rFonts w:ascii="Arial" w:hAnsi="Arial" w:cs="Arial"/>
        </w:rPr>
      </w:pPr>
      <w:r w:rsidRPr="00346F21">
        <w:rPr>
          <w:rFonts w:ascii="Arial" w:hAnsi="Arial" w:cs="Arial"/>
        </w:rPr>
        <w:t xml:space="preserve">El Mecanismo de Quejas y Reclamos de Antapaccay: Un sistema de gestión </w:t>
      </w:r>
      <w:r w:rsidR="000449BE">
        <w:rPr>
          <w:rFonts w:ascii="Arial" w:hAnsi="Arial" w:cs="Arial"/>
        </w:rPr>
        <w:t>i</w:t>
      </w:r>
      <w:r w:rsidRPr="00346F21">
        <w:rPr>
          <w:rFonts w:ascii="Arial" w:hAnsi="Arial" w:cs="Arial"/>
        </w:rPr>
        <w:t xml:space="preserve">ntegrado </w:t>
      </w:r>
      <w:r w:rsidRPr="007D469B">
        <w:rPr>
          <w:rFonts w:ascii="Arial" w:hAnsi="Arial" w:cs="Arial"/>
        </w:rPr>
        <w:t>como herramienta de diálogo y alerta temprana</w:t>
      </w:r>
      <w:r w:rsidRPr="00346F21">
        <w:rPr>
          <w:rFonts w:ascii="Arial" w:hAnsi="Arial" w:cs="Arial"/>
        </w:rPr>
        <w:t xml:space="preserve"> para la </w:t>
      </w:r>
      <w:r w:rsidRPr="007D469B">
        <w:rPr>
          <w:rFonts w:ascii="Arial" w:hAnsi="Arial" w:cs="Arial"/>
        </w:rPr>
        <w:t xml:space="preserve">prevención y </w:t>
      </w:r>
      <w:r w:rsidR="00A3171B">
        <w:rPr>
          <w:rFonts w:ascii="Arial" w:hAnsi="Arial" w:cs="Arial"/>
        </w:rPr>
        <w:t xml:space="preserve">remediación </w:t>
      </w:r>
      <w:r w:rsidRPr="007D469B">
        <w:rPr>
          <w:rFonts w:ascii="Arial" w:hAnsi="Arial" w:cs="Arial"/>
        </w:rPr>
        <w:t>de vulneraciones a Derechos Humanos</w:t>
      </w:r>
      <w:r w:rsidRPr="00346F21">
        <w:rPr>
          <w:rFonts w:ascii="Arial" w:hAnsi="Arial" w:cs="Arial"/>
        </w:rPr>
        <w:t>.</w:t>
      </w:r>
    </w:p>
    <w:p w14:paraId="5BF4DD4A" w14:textId="77777777" w:rsidR="0082532E" w:rsidRPr="00346F21" w:rsidRDefault="0082532E"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Tema</w:t>
      </w:r>
    </w:p>
    <w:p w14:paraId="61B3B409" w14:textId="622F4164" w:rsidR="0082532E" w:rsidRPr="00346F21" w:rsidRDefault="0082532E" w:rsidP="003C6089">
      <w:pPr>
        <w:spacing w:after="0" w:line="360" w:lineRule="auto"/>
        <w:ind w:left="426"/>
        <w:rPr>
          <w:rFonts w:ascii="Arial" w:hAnsi="Arial" w:cs="Arial"/>
        </w:rPr>
      </w:pPr>
      <w:r w:rsidRPr="00346F21">
        <w:rPr>
          <w:rFonts w:ascii="Arial" w:hAnsi="Arial" w:cs="Arial"/>
        </w:rPr>
        <w:t>13. Derechos Humanos y pueblos indígenas.</w:t>
      </w:r>
    </w:p>
    <w:p w14:paraId="0814E918" w14:textId="77777777" w:rsidR="007226E0" w:rsidRPr="00346F21" w:rsidRDefault="00805EFC"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Categoría</w:t>
      </w:r>
      <w:r w:rsidR="007226E0" w:rsidRPr="00346F21">
        <w:rPr>
          <w:rFonts w:ascii="Arial" w:hAnsi="Arial" w:cs="Arial"/>
          <w:b/>
          <w:bCs/>
        </w:rPr>
        <w:t>:</w:t>
      </w:r>
    </w:p>
    <w:p w14:paraId="2626EA40" w14:textId="42E5BD17" w:rsidR="00805EFC" w:rsidRPr="00346F21" w:rsidRDefault="0082532E" w:rsidP="003C6089">
      <w:pPr>
        <w:pStyle w:val="Prrafodelista"/>
        <w:spacing w:after="0" w:line="360" w:lineRule="auto"/>
        <w:ind w:left="426"/>
        <w:rPr>
          <w:rFonts w:ascii="Arial" w:hAnsi="Arial" w:cs="Arial"/>
        </w:rPr>
      </w:pPr>
      <w:r w:rsidRPr="00346F21">
        <w:rPr>
          <w:rFonts w:ascii="Arial" w:hAnsi="Arial" w:cs="Arial"/>
        </w:rPr>
        <w:t>ESG (</w:t>
      </w:r>
      <w:proofErr w:type="spellStart"/>
      <w:r w:rsidRPr="00346F21">
        <w:rPr>
          <w:rFonts w:ascii="Arial" w:hAnsi="Arial" w:cs="Arial"/>
        </w:rPr>
        <w:t>Environmental</w:t>
      </w:r>
      <w:proofErr w:type="spellEnd"/>
      <w:r w:rsidRPr="00346F21">
        <w:rPr>
          <w:rFonts w:ascii="Arial" w:hAnsi="Arial" w:cs="Arial"/>
        </w:rPr>
        <w:t xml:space="preserve">, Social, </w:t>
      </w:r>
      <w:proofErr w:type="spellStart"/>
      <w:r w:rsidRPr="00346F21">
        <w:rPr>
          <w:rFonts w:ascii="Arial" w:hAnsi="Arial" w:cs="Arial"/>
        </w:rPr>
        <w:t>Governance</w:t>
      </w:r>
      <w:proofErr w:type="spellEnd"/>
      <w:r w:rsidRPr="00346F21">
        <w:rPr>
          <w:rFonts w:ascii="Arial" w:hAnsi="Arial" w:cs="Arial"/>
        </w:rPr>
        <w:t>).</w:t>
      </w:r>
    </w:p>
    <w:p w14:paraId="67575C8B" w14:textId="77777777" w:rsidR="00805EFC" w:rsidRPr="00346F21" w:rsidRDefault="00805EFC"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Datos completos del autor(es)</w:t>
      </w:r>
    </w:p>
    <w:p w14:paraId="5B5FE839" w14:textId="44663CF7" w:rsidR="007226E0" w:rsidRDefault="00805EFC" w:rsidP="003C6089">
      <w:pPr>
        <w:pStyle w:val="Prrafodelista"/>
        <w:numPr>
          <w:ilvl w:val="0"/>
          <w:numId w:val="6"/>
        </w:numPr>
        <w:spacing w:after="0" w:line="360" w:lineRule="auto"/>
        <w:ind w:left="709" w:hanging="283"/>
        <w:rPr>
          <w:rFonts w:ascii="Arial" w:hAnsi="Arial" w:cs="Arial"/>
        </w:rPr>
      </w:pPr>
      <w:r w:rsidRPr="00346F21">
        <w:rPr>
          <w:rFonts w:ascii="Arial" w:hAnsi="Arial" w:cs="Arial"/>
        </w:rPr>
        <w:t xml:space="preserve">Carlo Quispe Zapana - Compañía Minera </w:t>
      </w:r>
      <w:proofErr w:type="spellStart"/>
      <w:r w:rsidRPr="00346F21">
        <w:rPr>
          <w:rFonts w:ascii="Arial" w:hAnsi="Arial" w:cs="Arial"/>
        </w:rPr>
        <w:t>Antapacay</w:t>
      </w:r>
      <w:proofErr w:type="spellEnd"/>
      <w:r w:rsidRPr="00346F21">
        <w:rPr>
          <w:rFonts w:ascii="Arial" w:hAnsi="Arial" w:cs="Arial"/>
        </w:rPr>
        <w:t xml:space="preserve"> S.A. – Superintendente de Control Interno –</w:t>
      </w:r>
      <w:r w:rsidR="000449BE">
        <w:rPr>
          <w:rFonts w:ascii="Arial" w:hAnsi="Arial" w:cs="Arial"/>
        </w:rPr>
        <w:t xml:space="preserve"> </w:t>
      </w:r>
      <w:hyperlink r:id="rId6" w:history="1">
        <w:r w:rsidR="007226E0" w:rsidRPr="00346F21">
          <w:rPr>
            <w:rStyle w:val="Hipervnculo"/>
            <w:rFonts w:ascii="Arial" w:hAnsi="Arial" w:cs="Arial"/>
          </w:rPr>
          <w:t>duilio.quispe@glencore.com.pe</w:t>
        </w:r>
      </w:hyperlink>
      <w:r w:rsidR="007226E0" w:rsidRPr="00346F21">
        <w:rPr>
          <w:rFonts w:ascii="Arial" w:hAnsi="Arial" w:cs="Arial"/>
        </w:rPr>
        <w:t xml:space="preserve"> </w:t>
      </w:r>
      <w:r w:rsidR="000449BE">
        <w:rPr>
          <w:rFonts w:ascii="Arial" w:hAnsi="Arial" w:cs="Arial"/>
        </w:rPr>
        <w:t>–</w:t>
      </w:r>
      <w:r w:rsidR="0082532E" w:rsidRPr="00346F21">
        <w:rPr>
          <w:rFonts w:ascii="Arial" w:hAnsi="Arial" w:cs="Arial"/>
        </w:rPr>
        <w:t xml:space="preserve"> 959376681</w:t>
      </w:r>
      <w:r w:rsidR="000449BE">
        <w:rPr>
          <w:rFonts w:ascii="Arial" w:hAnsi="Arial" w:cs="Arial"/>
        </w:rPr>
        <w:t xml:space="preserve"> – Autor.</w:t>
      </w:r>
    </w:p>
    <w:p w14:paraId="3E2E4F41" w14:textId="0AE31340" w:rsidR="000449BE" w:rsidRPr="00346F21" w:rsidRDefault="000449BE" w:rsidP="000449BE">
      <w:pPr>
        <w:pStyle w:val="Prrafodelista"/>
        <w:numPr>
          <w:ilvl w:val="0"/>
          <w:numId w:val="6"/>
        </w:numPr>
        <w:spacing w:after="0" w:line="360" w:lineRule="auto"/>
        <w:ind w:left="709" w:hanging="283"/>
        <w:rPr>
          <w:rFonts w:ascii="Arial" w:hAnsi="Arial" w:cs="Arial"/>
        </w:rPr>
      </w:pPr>
      <w:r w:rsidRPr="00346F21">
        <w:rPr>
          <w:rFonts w:ascii="Arial" w:hAnsi="Arial" w:cs="Arial"/>
        </w:rPr>
        <w:t xml:space="preserve">Geraldine Quispe Andrade – Compañía Minera </w:t>
      </w:r>
      <w:proofErr w:type="spellStart"/>
      <w:r w:rsidRPr="00346F21">
        <w:rPr>
          <w:rFonts w:ascii="Arial" w:hAnsi="Arial" w:cs="Arial"/>
        </w:rPr>
        <w:t>Antapacay</w:t>
      </w:r>
      <w:proofErr w:type="spellEnd"/>
      <w:r w:rsidRPr="00346F21">
        <w:rPr>
          <w:rFonts w:ascii="Arial" w:hAnsi="Arial" w:cs="Arial"/>
        </w:rPr>
        <w:t xml:space="preserve"> S.A. – Coordinador de Quejas y Reclamos - </w:t>
      </w:r>
      <w:hyperlink r:id="rId7" w:history="1">
        <w:r w:rsidRPr="00346F21">
          <w:rPr>
            <w:rStyle w:val="Hipervnculo"/>
            <w:rFonts w:ascii="Arial" w:hAnsi="Arial" w:cs="Arial"/>
          </w:rPr>
          <w:t>geraldine.quispe@glencore.com.pe</w:t>
        </w:r>
      </w:hyperlink>
      <w:r w:rsidRPr="00346F21">
        <w:rPr>
          <w:rFonts w:ascii="Arial" w:hAnsi="Arial" w:cs="Arial"/>
        </w:rPr>
        <w:t xml:space="preserve"> - 983768915</w:t>
      </w:r>
      <w:r>
        <w:rPr>
          <w:rFonts w:ascii="Arial" w:hAnsi="Arial" w:cs="Arial"/>
        </w:rPr>
        <w:t xml:space="preserve"> </w:t>
      </w:r>
      <w:r>
        <w:rPr>
          <w:rFonts w:ascii="Arial" w:hAnsi="Arial" w:cs="Arial"/>
        </w:rPr>
        <w:t>– Autor.</w:t>
      </w:r>
    </w:p>
    <w:p w14:paraId="67F42DE4" w14:textId="376A7A50" w:rsidR="00D80FAB" w:rsidRDefault="00D80FAB" w:rsidP="003C6089">
      <w:pPr>
        <w:pStyle w:val="Prrafodelista"/>
        <w:numPr>
          <w:ilvl w:val="0"/>
          <w:numId w:val="6"/>
        </w:numPr>
        <w:spacing w:after="0" w:line="360" w:lineRule="auto"/>
        <w:ind w:left="709" w:hanging="283"/>
        <w:rPr>
          <w:rFonts w:ascii="Arial" w:hAnsi="Arial" w:cs="Arial"/>
        </w:rPr>
      </w:pPr>
      <w:r>
        <w:rPr>
          <w:rFonts w:ascii="Arial" w:hAnsi="Arial" w:cs="Arial"/>
        </w:rPr>
        <w:t>Magali Candia Alvarado – Compañía Minera Antapaccay S.A. -</w:t>
      </w:r>
      <w:r w:rsidRPr="00D80FAB">
        <w:rPr>
          <w:rFonts w:ascii="Arial" w:hAnsi="Arial" w:cs="Arial"/>
        </w:rPr>
        <w:t xml:space="preserve">Superintendente de DDHH y </w:t>
      </w:r>
      <w:r w:rsidR="000449BE">
        <w:rPr>
          <w:rFonts w:ascii="Arial" w:hAnsi="Arial" w:cs="Arial"/>
        </w:rPr>
        <w:t xml:space="preserve">PPVV </w:t>
      </w:r>
      <w:r w:rsidRPr="00346F21">
        <w:rPr>
          <w:rFonts w:ascii="Arial" w:hAnsi="Arial" w:cs="Arial"/>
        </w:rPr>
        <w:t>–</w:t>
      </w:r>
      <w:r>
        <w:rPr>
          <w:rFonts w:ascii="Arial" w:hAnsi="Arial" w:cs="Arial"/>
        </w:rPr>
        <w:t xml:space="preserve"> </w:t>
      </w:r>
      <w:hyperlink r:id="rId8" w:history="1">
        <w:r w:rsidRPr="00404BD3">
          <w:rPr>
            <w:rStyle w:val="Hipervnculo"/>
            <w:rFonts w:ascii="Arial" w:hAnsi="Arial" w:cs="Arial"/>
          </w:rPr>
          <w:t>magali.candia@glencore.com.pe</w:t>
        </w:r>
      </w:hyperlink>
      <w:r>
        <w:rPr>
          <w:rFonts w:ascii="Arial" w:hAnsi="Arial" w:cs="Arial"/>
        </w:rPr>
        <w:t xml:space="preserve"> –</w:t>
      </w:r>
      <w:r w:rsidR="000449BE">
        <w:t xml:space="preserve"> </w:t>
      </w:r>
      <w:r w:rsidRPr="00D80FAB">
        <w:rPr>
          <w:rFonts w:ascii="Arial" w:hAnsi="Arial" w:cs="Arial"/>
        </w:rPr>
        <w:t>959391923</w:t>
      </w:r>
      <w:r w:rsidR="000449BE">
        <w:rPr>
          <w:rFonts w:ascii="Arial" w:hAnsi="Arial" w:cs="Arial"/>
        </w:rPr>
        <w:t xml:space="preserve"> </w:t>
      </w:r>
      <w:r w:rsidR="000449BE">
        <w:rPr>
          <w:rFonts w:ascii="Arial" w:hAnsi="Arial" w:cs="Arial"/>
        </w:rPr>
        <w:t>–</w:t>
      </w:r>
      <w:r w:rsidR="000449BE">
        <w:rPr>
          <w:rFonts w:ascii="Arial" w:hAnsi="Arial" w:cs="Arial"/>
        </w:rPr>
        <w:t xml:space="preserve"> Co a</w:t>
      </w:r>
      <w:r w:rsidR="000449BE">
        <w:rPr>
          <w:rFonts w:ascii="Arial" w:hAnsi="Arial" w:cs="Arial"/>
        </w:rPr>
        <w:t>utor.</w:t>
      </w:r>
    </w:p>
    <w:p w14:paraId="31106DBB" w14:textId="724196EC" w:rsidR="0082532E" w:rsidRPr="00346F21" w:rsidRDefault="0082532E"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Palabras clave</w:t>
      </w:r>
    </w:p>
    <w:p w14:paraId="31D959E0" w14:textId="22D2C427" w:rsidR="0082532E" w:rsidRPr="00346F21" w:rsidRDefault="00FA4AEA" w:rsidP="00D80FAB">
      <w:pPr>
        <w:pStyle w:val="Prrafodelista"/>
        <w:spacing w:after="0" w:line="360" w:lineRule="auto"/>
        <w:ind w:left="426"/>
        <w:jc w:val="both"/>
        <w:rPr>
          <w:rFonts w:ascii="Arial" w:hAnsi="Arial" w:cs="Arial"/>
        </w:rPr>
      </w:pPr>
      <w:r w:rsidRPr="00346F21">
        <w:rPr>
          <w:rFonts w:ascii="Arial" w:hAnsi="Arial" w:cs="Arial"/>
        </w:rPr>
        <w:t xml:space="preserve">Mecanismo de </w:t>
      </w:r>
      <w:r w:rsidRPr="00346F21">
        <w:rPr>
          <w:rFonts w:ascii="Arial" w:hAnsi="Arial" w:cs="Arial"/>
        </w:rPr>
        <w:t xml:space="preserve">quejas y reclamos, Derechos Humanos, </w:t>
      </w:r>
      <w:r w:rsidR="00D80FAB">
        <w:rPr>
          <w:rFonts w:ascii="Arial" w:hAnsi="Arial" w:cs="Arial"/>
        </w:rPr>
        <w:t>I</w:t>
      </w:r>
      <w:r w:rsidR="007C2CD4">
        <w:rPr>
          <w:rFonts w:ascii="Arial" w:hAnsi="Arial" w:cs="Arial"/>
        </w:rPr>
        <w:t xml:space="preserve">ncidentes sociales, </w:t>
      </w:r>
      <w:r w:rsidRPr="00346F21">
        <w:rPr>
          <w:rFonts w:ascii="Arial" w:hAnsi="Arial" w:cs="Arial"/>
        </w:rPr>
        <w:t>Alerta temprana, Prevención y</w:t>
      </w:r>
      <w:r w:rsidR="00C85F8F">
        <w:rPr>
          <w:rFonts w:ascii="Arial" w:hAnsi="Arial" w:cs="Arial"/>
        </w:rPr>
        <w:t xml:space="preserve"> Remediación.</w:t>
      </w:r>
    </w:p>
    <w:p w14:paraId="767018D0" w14:textId="0A3F14DF" w:rsidR="007E662F" w:rsidRPr="00346F21" w:rsidRDefault="007226E0"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Re</w:t>
      </w:r>
      <w:r w:rsidR="00805EFC" w:rsidRPr="00346F21">
        <w:rPr>
          <w:rFonts w:ascii="Arial" w:hAnsi="Arial" w:cs="Arial"/>
          <w:b/>
          <w:bCs/>
        </w:rPr>
        <w:t>seña profesional de los participantes</w:t>
      </w:r>
    </w:p>
    <w:p w14:paraId="23681E85" w14:textId="7EF7BD79" w:rsidR="007226E0" w:rsidRDefault="00D80FAB" w:rsidP="003C6089">
      <w:pPr>
        <w:pStyle w:val="Prrafodelista"/>
        <w:numPr>
          <w:ilvl w:val="0"/>
          <w:numId w:val="7"/>
        </w:numPr>
        <w:spacing w:after="0" w:line="360" w:lineRule="auto"/>
        <w:ind w:left="709" w:hanging="283"/>
        <w:jc w:val="both"/>
        <w:rPr>
          <w:rFonts w:ascii="Arial" w:hAnsi="Arial" w:cs="Arial"/>
        </w:rPr>
      </w:pPr>
      <w:r w:rsidRPr="00346F21">
        <w:rPr>
          <w:rFonts w:ascii="Arial" w:hAnsi="Arial" w:cs="Arial"/>
        </w:rPr>
        <w:t xml:space="preserve">Carlo Duilio Quispe Zapana </w:t>
      </w:r>
      <w:r>
        <w:rPr>
          <w:rFonts w:ascii="Arial" w:hAnsi="Arial" w:cs="Arial"/>
        </w:rPr>
        <w:t xml:space="preserve">- </w:t>
      </w:r>
      <w:r w:rsidR="007226E0" w:rsidRPr="00346F21">
        <w:rPr>
          <w:rFonts w:ascii="Arial" w:hAnsi="Arial" w:cs="Arial"/>
        </w:rPr>
        <w:t xml:space="preserve">Ingeniero Civil con experiencia en las áreas de Administración, </w:t>
      </w:r>
      <w:r w:rsidR="007C2CD4">
        <w:rPr>
          <w:rFonts w:ascii="Arial" w:hAnsi="Arial" w:cs="Arial"/>
        </w:rPr>
        <w:t xml:space="preserve">Proyectos Sociales, </w:t>
      </w:r>
      <w:r w:rsidR="007226E0" w:rsidRPr="00346F21">
        <w:rPr>
          <w:rFonts w:ascii="Arial" w:hAnsi="Arial" w:cs="Arial"/>
        </w:rPr>
        <w:t>Planta e Ingeniería: Gestión de Contratación de servicios, Supervisión y Control de Proyectos</w:t>
      </w:r>
      <w:r w:rsidR="006A5814">
        <w:rPr>
          <w:rFonts w:ascii="Arial" w:hAnsi="Arial" w:cs="Arial"/>
        </w:rPr>
        <w:t xml:space="preserve">, resolución de </w:t>
      </w:r>
      <w:r w:rsidR="007226E0" w:rsidRPr="00346F21">
        <w:rPr>
          <w:rFonts w:ascii="Arial" w:hAnsi="Arial" w:cs="Arial"/>
        </w:rPr>
        <w:t>conflictos sociales enmarcados dentro de una política de Desarrollo Sostenible y Derechos Humanos.</w:t>
      </w:r>
    </w:p>
    <w:p w14:paraId="574B232D" w14:textId="7994C910" w:rsidR="00D80FAB" w:rsidRPr="0012386F" w:rsidRDefault="00D80FAB" w:rsidP="003C6089">
      <w:pPr>
        <w:pStyle w:val="Prrafodelista"/>
        <w:numPr>
          <w:ilvl w:val="0"/>
          <w:numId w:val="7"/>
        </w:numPr>
        <w:spacing w:after="0" w:line="360" w:lineRule="auto"/>
        <w:ind w:left="709" w:hanging="283"/>
        <w:jc w:val="both"/>
        <w:rPr>
          <w:rFonts w:ascii="Arial" w:hAnsi="Arial" w:cs="Arial"/>
        </w:rPr>
      </w:pPr>
      <w:r w:rsidRPr="0012386F">
        <w:rPr>
          <w:rFonts w:ascii="Arial" w:hAnsi="Arial" w:cs="Arial"/>
        </w:rPr>
        <w:t>Magali Milagros</w:t>
      </w:r>
      <w:r w:rsidR="00E35768">
        <w:rPr>
          <w:rFonts w:ascii="Arial" w:hAnsi="Arial" w:cs="Arial"/>
        </w:rPr>
        <w:t xml:space="preserve"> </w:t>
      </w:r>
      <w:r w:rsidRPr="0012386F">
        <w:rPr>
          <w:rFonts w:ascii="Arial" w:hAnsi="Arial" w:cs="Arial"/>
        </w:rPr>
        <w:t>Candia Alvarado –</w:t>
      </w:r>
      <w:r w:rsidR="0012386F" w:rsidRPr="0012386F">
        <w:rPr>
          <w:rFonts w:ascii="Arial" w:hAnsi="Arial" w:cs="Arial"/>
        </w:rPr>
        <w:t xml:space="preserve"> Licenciada en Trabajo Social, M</w:t>
      </w:r>
      <w:r w:rsidR="00E35768">
        <w:rPr>
          <w:rFonts w:ascii="Arial" w:hAnsi="Arial" w:cs="Arial"/>
        </w:rPr>
        <w:t>áster</w:t>
      </w:r>
      <w:r w:rsidR="0012386F" w:rsidRPr="0012386F">
        <w:rPr>
          <w:rFonts w:ascii="Arial" w:hAnsi="Arial" w:cs="Arial"/>
        </w:rPr>
        <w:t xml:space="preserve"> en Gerencia Social con más</w:t>
      </w:r>
      <w:r w:rsidR="0012386F">
        <w:rPr>
          <w:rFonts w:ascii="Arial" w:hAnsi="Arial" w:cs="Arial"/>
        </w:rPr>
        <w:t xml:space="preserve"> de 15 años trabajando en minería, especialista en gestión de personas y calidad de vida. Derechos Humanos y Principios Voluntarios.</w:t>
      </w:r>
    </w:p>
    <w:p w14:paraId="4981D45E" w14:textId="08D2F846" w:rsidR="007226E0" w:rsidRPr="00346F21" w:rsidRDefault="00D80FAB" w:rsidP="003C6089">
      <w:pPr>
        <w:pStyle w:val="Prrafodelista"/>
        <w:numPr>
          <w:ilvl w:val="0"/>
          <w:numId w:val="7"/>
        </w:numPr>
        <w:spacing w:after="0" w:line="360" w:lineRule="auto"/>
        <w:ind w:left="709" w:hanging="283"/>
        <w:jc w:val="both"/>
        <w:rPr>
          <w:rFonts w:ascii="Arial" w:hAnsi="Arial" w:cs="Arial"/>
        </w:rPr>
      </w:pPr>
      <w:r w:rsidRPr="00346F21">
        <w:rPr>
          <w:rFonts w:ascii="Arial" w:hAnsi="Arial" w:cs="Arial"/>
        </w:rPr>
        <w:t xml:space="preserve">Geraldine </w:t>
      </w:r>
      <w:proofErr w:type="spellStart"/>
      <w:r w:rsidRPr="00346F21">
        <w:rPr>
          <w:rFonts w:ascii="Arial" w:hAnsi="Arial" w:cs="Arial"/>
        </w:rPr>
        <w:t>Lissett</w:t>
      </w:r>
      <w:proofErr w:type="spellEnd"/>
      <w:r w:rsidRPr="00346F21">
        <w:rPr>
          <w:rFonts w:ascii="Arial" w:hAnsi="Arial" w:cs="Arial"/>
        </w:rPr>
        <w:t xml:space="preserve"> Quispe Andrade </w:t>
      </w:r>
      <w:r w:rsidR="0082532E" w:rsidRPr="00346F21">
        <w:rPr>
          <w:rFonts w:ascii="Arial" w:hAnsi="Arial" w:cs="Arial"/>
        </w:rPr>
        <w:t xml:space="preserve">Ingeniera Industrial, Máster en Gestión de Riesgos con experiencia en Sistemas de Gestión y Mecanismos de Quejas y Reclamos y, cumplimiento de estándares </w:t>
      </w:r>
      <w:r w:rsidR="003C6089">
        <w:rPr>
          <w:rFonts w:ascii="Arial" w:hAnsi="Arial" w:cs="Arial"/>
        </w:rPr>
        <w:t>ESG.</w:t>
      </w:r>
    </w:p>
    <w:p w14:paraId="5C9BDAD7" w14:textId="1AADA73B" w:rsidR="00D82297" w:rsidRPr="00346F21" w:rsidRDefault="007226E0" w:rsidP="003C6089">
      <w:pPr>
        <w:pStyle w:val="Prrafodelista"/>
        <w:numPr>
          <w:ilvl w:val="0"/>
          <w:numId w:val="3"/>
        </w:numPr>
        <w:spacing w:after="0" w:line="360" w:lineRule="auto"/>
        <w:ind w:left="426"/>
        <w:rPr>
          <w:rFonts w:ascii="Arial" w:hAnsi="Arial" w:cs="Arial"/>
          <w:b/>
          <w:bCs/>
        </w:rPr>
      </w:pPr>
      <w:r w:rsidRPr="00346F21">
        <w:rPr>
          <w:rFonts w:ascii="Arial" w:hAnsi="Arial" w:cs="Arial"/>
          <w:b/>
          <w:bCs/>
        </w:rPr>
        <w:t>Contenido</w:t>
      </w:r>
    </w:p>
    <w:p w14:paraId="3D33E0FD" w14:textId="0746F6C0" w:rsidR="00FA4AEA" w:rsidRPr="00346F21" w:rsidRDefault="00FA4AEA" w:rsidP="003C6089">
      <w:pPr>
        <w:pStyle w:val="Prrafodelista"/>
        <w:numPr>
          <w:ilvl w:val="0"/>
          <w:numId w:val="9"/>
        </w:numPr>
        <w:tabs>
          <w:tab w:val="left" w:pos="851"/>
        </w:tabs>
        <w:spacing w:after="0" w:line="360" w:lineRule="auto"/>
        <w:rPr>
          <w:rFonts w:ascii="Arial" w:hAnsi="Arial" w:cs="Arial"/>
          <w:b/>
          <w:bCs/>
        </w:rPr>
      </w:pPr>
      <w:r w:rsidRPr="00346F21">
        <w:rPr>
          <w:rFonts w:ascii="Arial" w:hAnsi="Arial" w:cs="Arial"/>
          <w:b/>
          <w:bCs/>
        </w:rPr>
        <w:t>Contexto y planteamiento</w:t>
      </w:r>
    </w:p>
    <w:p w14:paraId="4FD21FD6" w14:textId="24E9A1E7" w:rsidR="00362315" w:rsidRPr="00346F21" w:rsidRDefault="00FA4AEA" w:rsidP="000449BE">
      <w:pPr>
        <w:spacing w:after="0" w:line="360" w:lineRule="auto"/>
        <w:ind w:left="851"/>
        <w:jc w:val="both"/>
        <w:rPr>
          <w:rFonts w:ascii="Arial" w:hAnsi="Arial" w:cs="Arial"/>
        </w:rPr>
      </w:pPr>
      <w:r w:rsidRPr="00346F21">
        <w:rPr>
          <w:rFonts w:ascii="Arial" w:hAnsi="Arial" w:cs="Arial"/>
        </w:rPr>
        <w:t xml:space="preserve">El respeto </w:t>
      </w:r>
      <w:r w:rsidR="00666D8C" w:rsidRPr="00346F21">
        <w:rPr>
          <w:rFonts w:ascii="Arial" w:hAnsi="Arial" w:cs="Arial"/>
        </w:rPr>
        <w:t>de</w:t>
      </w:r>
      <w:r w:rsidRPr="00346F21">
        <w:rPr>
          <w:rFonts w:ascii="Arial" w:hAnsi="Arial" w:cs="Arial"/>
        </w:rPr>
        <w:t xml:space="preserve"> los </w:t>
      </w:r>
      <w:r w:rsidR="003A4860">
        <w:rPr>
          <w:rFonts w:ascii="Arial" w:hAnsi="Arial" w:cs="Arial"/>
        </w:rPr>
        <w:t>D</w:t>
      </w:r>
      <w:r w:rsidRPr="00346F21">
        <w:rPr>
          <w:rFonts w:ascii="Arial" w:hAnsi="Arial" w:cs="Arial"/>
        </w:rPr>
        <w:t xml:space="preserve">erechos </w:t>
      </w:r>
      <w:r w:rsidR="003A4860">
        <w:rPr>
          <w:rFonts w:ascii="Arial" w:hAnsi="Arial" w:cs="Arial"/>
        </w:rPr>
        <w:t>H</w:t>
      </w:r>
      <w:r w:rsidRPr="00346F21">
        <w:rPr>
          <w:rFonts w:ascii="Arial" w:hAnsi="Arial" w:cs="Arial"/>
        </w:rPr>
        <w:t xml:space="preserve">umanos </w:t>
      </w:r>
      <w:r w:rsidR="000449BE">
        <w:rPr>
          <w:rFonts w:ascii="Arial" w:hAnsi="Arial" w:cs="Arial"/>
        </w:rPr>
        <w:t>(en adelante, DDHH),</w:t>
      </w:r>
      <w:r w:rsidRPr="00346F21">
        <w:rPr>
          <w:rFonts w:ascii="Arial" w:hAnsi="Arial" w:cs="Arial"/>
        </w:rPr>
        <w:t>en contextos operativos mineros requiere</w:t>
      </w:r>
      <w:r w:rsidR="00666D8C" w:rsidRPr="00346F21">
        <w:rPr>
          <w:rFonts w:ascii="Arial" w:hAnsi="Arial" w:cs="Arial"/>
        </w:rPr>
        <w:t xml:space="preserve"> una estrategia que se apuntale en un M</w:t>
      </w:r>
      <w:r w:rsidRPr="00346F21">
        <w:rPr>
          <w:rFonts w:ascii="Arial" w:hAnsi="Arial" w:cs="Arial"/>
        </w:rPr>
        <w:t>ecanismos</w:t>
      </w:r>
      <w:r w:rsidR="00666D8C" w:rsidRPr="00346F21">
        <w:rPr>
          <w:rFonts w:ascii="Arial" w:hAnsi="Arial" w:cs="Arial"/>
        </w:rPr>
        <w:t xml:space="preserve"> de Quejas y </w:t>
      </w:r>
      <w:r w:rsidR="00666D8C" w:rsidRPr="00346F21">
        <w:rPr>
          <w:rFonts w:ascii="Arial" w:hAnsi="Arial" w:cs="Arial"/>
        </w:rPr>
        <w:lastRenderedPageBreak/>
        <w:t xml:space="preserve">Reclamos (en adelante, MQRs) </w:t>
      </w:r>
      <w:r w:rsidRPr="00346F21">
        <w:rPr>
          <w:rFonts w:ascii="Arial" w:hAnsi="Arial" w:cs="Arial"/>
        </w:rPr>
        <w:t>efectivo</w:t>
      </w:r>
      <w:r w:rsidR="00666D8C" w:rsidRPr="00346F21">
        <w:rPr>
          <w:rFonts w:ascii="Arial" w:hAnsi="Arial" w:cs="Arial"/>
        </w:rPr>
        <w:t xml:space="preserve"> y accesible a todos sus grupos de interés,</w:t>
      </w:r>
      <w:r w:rsidRPr="00346F21">
        <w:rPr>
          <w:rFonts w:ascii="Arial" w:hAnsi="Arial" w:cs="Arial"/>
        </w:rPr>
        <w:t xml:space="preserve"> que no solo </w:t>
      </w:r>
      <w:r w:rsidR="00666D8C" w:rsidRPr="00346F21">
        <w:rPr>
          <w:rFonts w:ascii="Arial" w:hAnsi="Arial" w:cs="Arial"/>
        </w:rPr>
        <w:t>responda,</w:t>
      </w:r>
      <w:r w:rsidRPr="00346F21">
        <w:rPr>
          <w:rFonts w:ascii="Arial" w:hAnsi="Arial" w:cs="Arial"/>
        </w:rPr>
        <w:t xml:space="preserve"> sino que también prevengan posibles </w:t>
      </w:r>
      <w:r w:rsidR="00666D8C" w:rsidRPr="00346F21">
        <w:rPr>
          <w:rFonts w:ascii="Arial" w:hAnsi="Arial" w:cs="Arial"/>
        </w:rPr>
        <w:t xml:space="preserve">vulneraciones a </w:t>
      </w:r>
      <w:r w:rsidR="003A4860">
        <w:rPr>
          <w:rFonts w:ascii="Arial" w:hAnsi="Arial" w:cs="Arial"/>
        </w:rPr>
        <w:t>DDHH</w:t>
      </w:r>
      <w:r w:rsidR="000449BE">
        <w:rPr>
          <w:rFonts w:ascii="Arial" w:hAnsi="Arial" w:cs="Arial"/>
        </w:rPr>
        <w:t xml:space="preserve"> </w:t>
      </w:r>
      <w:r w:rsidR="00666D8C" w:rsidRPr="00346F21">
        <w:rPr>
          <w:rFonts w:ascii="Arial" w:hAnsi="Arial" w:cs="Arial"/>
        </w:rPr>
        <w:t>y conflictos</w:t>
      </w:r>
      <w:r w:rsidRPr="00346F21">
        <w:rPr>
          <w:rFonts w:ascii="Arial" w:hAnsi="Arial" w:cs="Arial"/>
        </w:rPr>
        <w:t>.</w:t>
      </w:r>
      <w:r w:rsidR="00D80FAB">
        <w:rPr>
          <w:rFonts w:ascii="Arial" w:hAnsi="Arial" w:cs="Arial"/>
        </w:rPr>
        <w:t xml:space="preserve"> </w:t>
      </w:r>
      <w:r w:rsidR="00C2347E">
        <w:rPr>
          <w:rFonts w:ascii="Arial" w:hAnsi="Arial" w:cs="Arial"/>
        </w:rPr>
        <w:t xml:space="preserve">Compañía Minera </w:t>
      </w:r>
      <w:r w:rsidR="00666D8C" w:rsidRPr="00346F21">
        <w:rPr>
          <w:rFonts w:ascii="Arial" w:hAnsi="Arial" w:cs="Arial"/>
        </w:rPr>
        <w:t>Antapaccay</w:t>
      </w:r>
      <w:r w:rsidR="00C2347E">
        <w:rPr>
          <w:rFonts w:ascii="Arial" w:hAnsi="Arial" w:cs="Arial"/>
        </w:rPr>
        <w:t xml:space="preserve"> S.A. (en adelante, Antapaccay) </w:t>
      </w:r>
      <w:r w:rsidR="00666D8C" w:rsidRPr="00346F21">
        <w:rPr>
          <w:rFonts w:ascii="Arial" w:hAnsi="Arial" w:cs="Arial"/>
        </w:rPr>
        <w:t xml:space="preserve">ha implementado su MQRs como un sistema de gestión alineado al ciclo PHVA y a </w:t>
      </w:r>
      <w:r w:rsidRPr="00346F21">
        <w:rPr>
          <w:rFonts w:ascii="Arial" w:hAnsi="Arial" w:cs="Arial"/>
        </w:rPr>
        <w:t>estándares internacionales como los Principios Rectores de las Naciones Unidas y las Normas de Desempeño del IFC</w:t>
      </w:r>
      <w:r w:rsidR="007C2CD4">
        <w:rPr>
          <w:rFonts w:ascii="Arial" w:hAnsi="Arial" w:cs="Arial"/>
        </w:rPr>
        <w:t xml:space="preserve"> y a los propios de su casa matriz GLENCORE</w:t>
      </w:r>
      <w:r w:rsidR="00666D8C" w:rsidRPr="00346F21">
        <w:rPr>
          <w:rFonts w:ascii="Arial" w:hAnsi="Arial" w:cs="Arial"/>
        </w:rPr>
        <w:t xml:space="preserve">. </w:t>
      </w:r>
      <w:r w:rsidR="000449BE" w:rsidRPr="004D4405">
        <w:rPr>
          <w:rFonts w:ascii="Arial" w:eastAsia="Calibri" w:hAnsi="Arial" w:cs="Arial"/>
          <w:lang w:val="es-ES"/>
        </w:rPr>
        <w:t xml:space="preserve">Antapaccay posee un firme compromiso por </w:t>
      </w:r>
      <w:r w:rsidR="000449BE">
        <w:rPr>
          <w:rFonts w:ascii="Arial" w:eastAsia="Calibri" w:hAnsi="Arial" w:cs="Arial"/>
          <w:lang w:val="es-ES"/>
        </w:rPr>
        <w:t>el respeto y promoción de l</w:t>
      </w:r>
      <w:r w:rsidR="000449BE" w:rsidRPr="004D4405">
        <w:rPr>
          <w:rFonts w:ascii="Arial" w:eastAsia="Calibri" w:hAnsi="Arial" w:cs="Arial"/>
          <w:lang w:val="es-ES"/>
        </w:rPr>
        <w:t xml:space="preserve">os </w:t>
      </w:r>
      <w:r w:rsidR="000449BE">
        <w:rPr>
          <w:rFonts w:ascii="Arial" w:eastAsia="Calibri" w:hAnsi="Arial" w:cs="Arial"/>
          <w:lang w:val="es-ES"/>
        </w:rPr>
        <w:t>DDHH, por ello, el MQRs</w:t>
      </w:r>
      <w:r w:rsidR="000449BE" w:rsidRPr="004D4405">
        <w:rPr>
          <w:rFonts w:ascii="Arial" w:eastAsia="Calibri" w:hAnsi="Arial" w:cs="Arial"/>
          <w:lang w:val="es-ES"/>
        </w:rPr>
        <w:t xml:space="preserve"> </w:t>
      </w:r>
      <w:r w:rsidR="000449BE">
        <w:rPr>
          <w:rFonts w:ascii="Arial" w:eastAsia="Calibri" w:hAnsi="Arial" w:cs="Arial"/>
          <w:lang w:val="es-ES"/>
        </w:rPr>
        <w:t>es parte de nuestra política HSEC-HR</w:t>
      </w:r>
      <w:r w:rsidR="000449BE">
        <w:rPr>
          <w:rFonts w:ascii="Arial" w:eastAsia="Calibri" w:hAnsi="Arial" w:cs="Arial"/>
          <w:lang w:val="es-ES"/>
        </w:rPr>
        <w:t>; este</w:t>
      </w:r>
      <w:r w:rsidRPr="00346F21">
        <w:rPr>
          <w:rFonts w:ascii="Arial" w:hAnsi="Arial" w:cs="Arial"/>
        </w:rPr>
        <w:t xml:space="preserve"> enfoque no solo canaliza preocupaciones, sino </w:t>
      </w:r>
      <w:r w:rsidR="007C2CD4" w:rsidRPr="00346F21">
        <w:rPr>
          <w:rFonts w:ascii="Arial" w:hAnsi="Arial" w:cs="Arial"/>
        </w:rPr>
        <w:t>actúa</w:t>
      </w:r>
      <w:r w:rsidRPr="00346F21">
        <w:rPr>
          <w:rFonts w:ascii="Arial" w:hAnsi="Arial" w:cs="Arial"/>
        </w:rPr>
        <w:t xml:space="preserve"> como una herramienta de diálogo y alerta temprana, integrando principios como accesibilidad, transparencia, legitimidad</w:t>
      </w:r>
      <w:r w:rsidR="000449BE">
        <w:rPr>
          <w:rFonts w:ascii="Arial" w:hAnsi="Arial" w:cs="Arial"/>
        </w:rPr>
        <w:t xml:space="preserve">; </w:t>
      </w:r>
      <w:r w:rsidR="00C85F8F">
        <w:rPr>
          <w:rFonts w:ascii="Arial" w:eastAsia="Calibri" w:hAnsi="Arial" w:cs="Arial"/>
          <w:lang w:val="es-ES"/>
        </w:rPr>
        <w:t>fortaleciendo el relacionamiento con</w:t>
      </w:r>
      <w:r w:rsidR="00F57CCC">
        <w:rPr>
          <w:rFonts w:ascii="Arial" w:eastAsia="Calibri" w:hAnsi="Arial" w:cs="Arial"/>
          <w:lang w:val="es-ES"/>
        </w:rPr>
        <w:t xml:space="preserve"> nuestros stakeholders.</w:t>
      </w:r>
    </w:p>
    <w:p w14:paraId="3E46E684" w14:textId="148BAC54" w:rsidR="00FA4AEA" w:rsidRPr="00346F21" w:rsidRDefault="00FA4AEA" w:rsidP="003C6089">
      <w:pPr>
        <w:pStyle w:val="Prrafodelista"/>
        <w:numPr>
          <w:ilvl w:val="0"/>
          <w:numId w:val="9"/>
        </w:numPr>
        <w:tabs>
          <w:tab w:val="left" w:pos="851"/>
        </w:tabs>
        <w:spacing w:after="0" w:line="360" w:lineRule="auto"/>
        <w:rPr>
          <w:rFonts w:ascii="Arial" w:hAnsi="Arial" w:cs="Arial"/>
          <w:b/>
          <w:bCs/>
        </w:rPr>
      </w:pPr>
      <w:r w:rsidRPr="00346F21">
        <w:rPr>
          <w:rFonts w:ascii="Arial" w:hAnsi="Arial" w:cs="Arial"/>
          <w:b/>
          <w:bCs/>
        </w:rPr>
        <w:t>Objetivos del trabajo</w:t>
      </w:r>
    </w:p>
    <w:p w14:paraId="5119FD67" w14:textId="21AEBCFF" w:rsidR="00C2347E" w:rsidRPr="00C2347E" w:rsidRDefault="00C2347E" w:rsidP="003C6089">
      <w:pPr>
        <w:pStyle w:val="Prrafodelista"/>
        <w:spacing w:after="0" w:line="360" w:lineRule="auto"/>
        <w:ind w:left="851"/>
        <w:jc w:val="both"/>
        <w:rPr>
          <w:rFonts w:ascii="Arial" w:hAnsi="Arial" w:cs="Arial"/>
        </w:rPr>
      </w:pPr>
      <w:r w:rsidRPr="00C2347E">
        <w:rPr>
          <w:rFonts w:ascii="Arial" w:hAnsi="Arial" w:cs="Arial"/>
        </w:rPr>
        <w:t xml:space="preserve">La finalidad es exponer cómo Antapaccay diseñó su MQRs como un sistema de gestión basado en el enfoque PHVA, alineado a estándares internacionales, que permite identificar, prevenir y reparar posibles vulneraciones a los </w:t>
      </w:r>
      <w:r w:rsidR="000449BE">
        <w:rPr>
          <w:rFonts w:ascii="Arial" w:hAnsi="Arial" w:cs="Arial"/>
        </w:rPr>
        <w:t>DDHH</w:t>
      </w:r>
      <w:r w:rsidRPr="00C2347E">
        <w:rPr>
          <w:rFonts w:ascii="Arial" w:hAnsi="Arial" w:cs="Arial"/>
        </w:rPr>
        <w:t>.</w:t>
      </w:r>
      <w:r w:rsidR="0071330D">
        <w:rPr>
          <w:rFonts w:ascii="Arial" w:hAnsi="Arial" w:cs="Arial"/>
        </w:rPr>
        <w:t xml:space="preserve"> </w:t>
      </w:r>
      <w:r w:rsidRPr="00C2347E">
        <w:rPr>
          <w:rFonts w:ascii="Arial" w:hAnsi="Arial" w:cs="Arial"/>
        </w:rPr>
        <w:t xml:space="preserve">Su alcance comprende tanto las actividades propias de la empresa como las de sus socios estratégicos, integrando el análisis de riesgos, la trazabilidad de casos, la evaluación de desempeño y la generación de alertas tempranas. Además, </w:t>
      </w:r>
      <w:r w:rsidR="0071330D">
        <w:rPr>
          <w:rFonts w:ascii="Arial" w:hAnsi="Arial" w:cs="Arial"/>
        </w:rPr>
        <w:t xml:space="preserve">funge de </w:t>
      </w:r>
      <w:r w:rsidRPr="00C2347E">
        <w:rPr>
          <w:rFonts w:ascii="Arial" w:hAnsi="Arial" w:cs="Arial"/>
        </w:rPr>
        <w:t xml:space="preserve">herramienta de diálogo y monitoreo </w:t>
      </w:r>
      <w:r w:rsidR="0071330D">
        <w:rPr>
          <w:rFonts w:ascii="Arial" w:hAnsi="Arial" w:cs="Arial"/>
        </w:rPr>
        <w:t>permanente</w:t>
      </w:r>
      <w:r w:rsidRPr="00C2347E">
        <w:rPr>
          <w:rFonts w:ascii="Arial" w:hAnsi="Arial" w:cs="Arial"/>
        </w:rPr>
        <w:t>, orientada a fortalecer la gobernanza social y e</w:t>
      </w:r>
      <w:r w:rsidR="007C2CD4">
        <w:rPr>
          <w:rFonts w:ascii="Arial" w:hAnsi="Arial" w:cs="Arial"/>
        </w:rPr>
        <w:t>l respeto a los</w:t>
      </w:r>
      <w:r w:rsidRPr="00C2347E">
        <w:rPr>
          <w:rFonts w:ascii="Arial" w:hAnsi="Arial" w:cs="Arial"/>
        </w:rPr>
        <w:t xml:space="preserve"> </w:t>
      </w:r>
      <w:r w:rsidR="003A4860">
        <w:rPr>
          <w:rFonts w:ascii="Arial" w:hAnsi="Arial" w:cs="Arial"/>
        </w:rPr>
        <w:t>DDHH</w:t>
      </w:r>
      <w:r w:rsidRPr="00C2347E">
        <w:rPr>
          <w:rFonts w:ascii="Arial" w:hAnsi="Arial" w:cs="Arial"/>
        </w:rPr>
        <w:t>, contribuyendo a sostener la licencia social para operar.</w:t>
      </w:r>
    </w:p>
    <w:p w14:paraId="54998C31" w14:textId="3E11A595" w:rsidR="00FA4AEA" w:rsidRPr="00346F21" w:rsidRDefault="00FA4AEA" w:rsidP="003C6089">
      <w:pPr>
        <w:pStyle w:val="Prrafodelista"/>
        <w:numPr>
          <w:ilvl w:val="0"/>
          <w:numId w:val="9"/>
        </w:numPr>
        <w:tabs>
          <w:tab w:val="left" w:pos="851"/>
        </w:tabs>
        <w:spacing w:after="0" w:line="360" w:lineRule="auto"/>
        <w:rPr>
          <w:rFonts w:ascii="Arial" w:hAnsi="Arial" w:cs="Arial"/>
          <w:b/>
          <w:bCs/>
        </w:rPr>
      </w:pPr>
      <w:r w:rsidRPr="00346F21">
        <w:rPr>
          <w:rFonts w:ascii="Arial" w:hAnsi="Arial" w:cs="Arial"/>
          <w:b/>
          <w:bCs/>
        </w:rPr>
        <w:t>Procedimiento y metodología</w:t>
      </w:r>
    </w:p>
    <w:p w14:paraId="398E9111" w14:textId="0B4EE921" w:rsidR="00346F21" w:rsidRDefault="00F50647" w:rsidP="003A4860">
      <w:pPr>
        <w:pStyle w:val="Prrafodelista"/>
        <w:tabs>
          <w:tab w:val="left" w:pos="851"/>
        </w:tabs>
        <w:spacing w:after="0" w:line="360" w:lineRule="auto"/>
        <w:ind w:left="851"/>
        <w:jc w:val="both"/>
        <w:rPr>
          <w:rFonts w:ascii="Arial" w:hAnsi="Arial" w:cs="Arial"/>
        </w:rPr>
      </w:pPr>
      <w:r w:rsidRPr="00346F21">
        <w:rPr>
          <w:rFonts w:ascii="Arial" w:hAnsi="Arial" w:cs="Arial"/>
        </w:rPr>
        <w:t>El MQRs</w:t>
      </w:r>
      <w:r w:rsidR="003C6089">
        <w:rPr>
          <w:rFonts w:ascii="Arial" w:hAnsi="Arial" w:cs="Arial"/>
        </w:rPr>
        <w:t xml:space="preserve"> fue rediseñado en el </w:t>
      </w:r>
      <w:r w:rsidR="003C4F84" w:rsidRPr="00346F21">
        <w:rPr>
          <w:rFonts w:ascii="Arial" w:hAnsi="Arial" w:cs="Arial"/>
        </w:rPr>
        <w:t xml:space="preserve">2020 </w:t>
      </w:r>
      <w:r w:rsidR="003C6089">
        <w:rPr>
          <w:rFonts w:ascii="Arial" w:hAnsi="Arial" w:cs="Arial"/>
        </w:rPr>
        <w:t xml:space="preserve">como parte de una estrategia de fortalecimiento institucional, </w:t>
      </w:r>
      <w:r w:rsidR="003C6089" w:rsidRPr="003C6089">
        <w:rPr>
          <w:rFonts w:ascii="Arial" w:hAnsi="Arial" w:cs="Arial"/>
        </w:rPr>
        <w:t>trasladando su gestión desde e</w:t>
      </w:r>
      <w:r w:rsidR="003C6089">
        <w:rPr>
          <w:rFonts w:ascii="Arial" w:hAnsi="Arial" w:cs="Arial"/>
        </w:rPr>
        <w:t>l área de Gestión S</w:t>
      </w:r>
      <w:r w:rsidR="003C6089" w:rsidRPr="003C6089">
        <w:rPr>
          <w:rFonts w:ascii="Arial" w:hAnsi="Arial" w:cs="Arial"/>
        </w:rPr>
        <w:t>ocial hacia la Superintendencia de Control Interno – Gerencia de Cumplimiento y Gestión de Riesgos, con el objetivo de garantizar su independencia, trazabilidad y enfoque preventivo</w:t>
      </w:r>
      <w:r w:rsidR="003C6089">
        <w:rPr>
          <w:rFonts w:ascii="Arial" w:hAnsi="Arial" w:cs="Arial"/>
        </w:rPr>
        <w:t xml:space="preserve">. </w:t>
      </w:r>
      <w:r w:rsidR="003C6089" w:rsidRPr="003C6089">
        <w:rPr>
          <w:rFonts w:ascii="Arial" w:hAnsi="Arial" w:cs="Arial"/>
        </w:rPr>
        <w:t>Este rediseño estructuró al MQRs como un sistema de gestión basado en el ciclo PHVA (Planificar, Hacer, Verificar, Actuar), tomando como referencia marcos internacionales como los Principios Rectores de las Naciones Unidas sobre Empresas y Derechos Humanos, las Normas de Desempeño N°</w:t>
      </w:r>
      <w:r w:rsidR="003C6089">
        <w:rPr>
          <w:rFonts w:ascii="Arial" w:hAnsi="Arial" w:cs="Arial"/>
        </w:rPr>
        <w:t xml:space="preserve"> </w:t>
      </w:r>
      <w:r w:rsidR="003C6089" w:rsidRPr="003C6089">
        <w:rPr>
          <w:rFonts w:ascii="Arial" w:hAnsi="Arial" w:cs="Arial"/>
        </w:rPr>
        <w:t>1, 4 y 5 del IFC, la Guía de Conducta Empresarial Responsable de la OCDE</w:t>
      </w:r>
      <w:r w:rsidR="007C2CD4">
        <w:rPr>
          <w:rFonts w:ascii="Arial" w:hAnsi="Arial" w:cs="Arial"/>
        </w:rPr>
        <w:t xml:space="preserve">, </w:t>
      </w:r>
      <w:r w:rsidR="003C6089" w:rsidRPr="003C6089">
        <w:rPr>
          <w:rFonts w:ascii="Arial" w:hAnsi="Arial" w:cs="Arial"/>
        </w:rPr>
        <w:t>ICMM</w:t>
      </w:r>
      <w:r w:rsidR="007C2CD4">
        <w:rPr>
          <w:rFonts w:ascii="Arial" w:hAnsi="Arial" w:cs="Arial"/>
        </w:rPr>
        <w:t xml:space="preserve"> y los propios principios de su casa matriz GLENCORE</w:t>
      </w:r>
      <w:r w:rsidR="003C6089">
        <w:rPr>
          <w:rFonts w:ascii="Arial" w:hAnsi="Arial" w:cs="Arial"/>
        </w:rPr>
        <w:t>.</w:t>
      </w:r>
    </w:p>
    <w:p w14:paraId="5BD03967" w14:textId="691C9423" w:rsidR="003C6089" w:rsidRPr="003C6089" w:rsidRDefault="003C4F84" w:rsidP="003C6089">
      <w:pPr>
        <w:pStyle w:val="Prrafodelista"/>
        <w:numPr>
          <w:ilvl w:val="0"/>
          <w:numId w:val="10"/>
        </w:numPr>
        <w:tabs>
          <w:tab w:val="left" w:pos="851"/>
        </w:tabs>
        <w:spacing w:after="0" w:line="360" w:lineRule="auto"/>
        <w:ind w:left="1276"/>
        <w:jc w:val="both"/>
        <w:rPr>
          <w:rFonts w:ascii="Arial" w:hAnsi="Arial" w:cs="Arial"/>
        </w:rPr>
      </w:pPr>
      <w:r w:rsidRPr="003C4F84">
        <w:rPr>
          <w:rFonts w:ascii="Arial" w:hAnsi="Arial" w:cs="Arial"/>
        </w:rPr>
        <w:t xml:space="preserve">Planificar: </w:t>
      </w:r>
      <w:r w:rsidR="003C6089" w:rsidRPr="003C6089">
        <w:rPr>
          <w:rFonts w:ascii="Arial" w:hAnsi="Arial" w:cs="Arial"/>
        </w:rPr>
        <w:t>Se definieron los principios rectores (accesibilidad, legitimidad, transparencia, compatibilidad con DD.HH</w:t>
      </w:r>
      <w:r w:rsidR="003C6089">
        <w:rPr>
          <w:rFonts w:ascii="Arial" w:hAnsi="Arial" w:cs="Arial"/>
        </w:rPr>
        <w:t>, otros</w:t>
      </w:r>
      <w:r w:rsidR="003C6089" w:rsidRPr="003C6089">
        <w:rPr>
          <w:rFonts w:ascii="Arial" w:hAnsi="Arial" w:cs="Arial"/>
        </w:rPr>
        <w:t>), así como las responsabilidades operativas y estratégicas, desde la Gerencia General hasta el Coordinador de Quejas. Se diseñaron canales accesibles y confidenciales (presencial, línea telefónica</w:t>
      </w:r>
      <w:r w:rsidR="003C6089">
        <w:rPr>
          <w:rFonts w:ascii="Arial" w:hAnsi="Arial" w:cs="Arial"/>
        </w:rPr>
        <w:t xml:space="preserve"> y otros</w:t>
      </w:r>
      <w:r w:rsidR="003C6089" w:rsidRPr="003C6089">
        <w:rPr>
          <w:rFonts w:ascii="Arial" w:hAnsi="Arial" w:cs="Arial"/>
        </w:rPr>
        <w:t>), flujo de atención y criterios de clasificación.</w:t>
      </w:r>
    </w:p>
    <w:p w14:paraId="6037F3C7" w14:textId="09920B8B" w:rsidR="00346F21" w:rsidRDefault="003C4F84" w:rsidP="003C6089">
      <w:pPr>
        <w:pStyle w:val="Prrafodelista"/>
        <w:numPr>
          <w:ilvl w:val="0"/>
          <w:numId w:val="10"/>
        </w:numPr>
        <w:tabs>
          <w:tab w:val="left" w:pos="851"/>
        </w:tabs>
        <w:spacing w:after="0" w:line="360" w:lineRule="auto"/>
        <w:ind w:left="1276"/>
        <w:jc w:val="both"/>
        <w:rPr>
          <w:rFonts w:ascii="Arial" w:hAnsi="Arial" w:cs="Arial"/>
        </w:rPr>
      </w:pPr>
      <w:r w:rsidRPr="003C4F84">
        <w:rPr>
          <w:rFonts w:ascii="Arial" w:hAnsi="Arial" w:cs="Arial"/>
        </w:rPr>
        <w:lastRenderedPageBreak/>
        <w:t>Hacer: Se implement</w:t>
      </w:r>
      <w:r w:rsidR="00346F21">
        <w:rPr>
          <w:rFonts w:ascii="Arial" w:hAnsi="Arial" w:cs="Arial"/>
        </w:rPr>
        <w:t>ó</w:t>
      </w:r>
      <w:r w:rsidRPr="003C4F84">
        <w:rPr>
          <w:rFonts w:ascii="Arial" w:hAnsi="Arial" w:cs="Arial"/>
        </w:rPr>
        <w:t xml:space="preserve"> la atención de las Q</w:t>
      </w:r>
      <w:r w:rsidR="00346F21">
        <w:rPr>
          <w:rFonts w:ascii="Arial" w:hAnsi="Arial" w:cs="Arial"/>
        </w:rPr>
        <w:t>uejas y Reclamos</w:t>
      </w:r>
      <w:r w:rsidRPr="003C4F84">
        <w:rPr>
          <w:rFonts w:ascii="Arial" w:hAnsi="Arial" w:cs="Arial"/>
        </w:rPr>
        <w:t>, desde la recepción hasta el cierre,</w:t>
      </w:r>
      <w:r w:rsidR="00346F21">
        <w:rPr>
          <w:rFonts w:ascii="Arial" w:hAnsi="Arial" w:cs="Arial"/>
        </w:rPr>
        <w:t xml:space="preserve"> incluyendo las etapas de </w:t>
      </w:r>
      <w:r w:rsidRPr="003C4F84">
        <w:rPr>
          <w:rFonts w:ascii="Arial" w:hAnsi="Arial" w:cs="Arial"/>
        </w:rPr>
        <w:t xml:space="preserve">clasificación, análisis de riesgo, investigación y posibles </w:t>
      </w:r>
      <w:r w:rsidR="00346F21">
        <w:rPr>
          <w:rFonts w:ascii="Arial" w:hAnsi="Arial" w:cs="Arial"/>
        </w:rPr>
        <w:t>tipos</w:t>
      </w:r>
      <w:r w:rsidRPr="003C4F84">
        <w:rPr>
          <w:rFonts w:ascii="Arial" w:hAnsi="Arial" w:cs="Arial"/>
        </w:rPr>
        <w:t xml:space="preserve"> de reparación dialogad</w:t>
      </w:r>
      <w:r w:rsidR="00346F21">
        <w:rPr>
          <w:rFonts w:ascii="Arial" w:hAnsi="Arial" w:cs="Arial"/>
        </w:rPr>
        <w:t>os</w:t>
      </w:r>
      <w:r w:rsidRPr="003C4F84">
        <w:rPr>
          <w:rFonts w:ascii="Arial" w:hAnsi="Arial" w:cs="Arial"/>
        </w:rPr>
        <w:t xml:space="preserve"> con el reclamante</w:t>
      </w:r>
      <w:r w:rsidR="000449BE">
        <w:rPr>
          <w:rFonts w:ascii="Arial" w:hAnsi="Arial" w:cs="Arial"/>
        </w:rPr>
        <w:t>.</w:t>
      </w:r>
    </w:p>
    <w:p w14:paraId="2720EAC7" w14:textId="50C4FBFC" w:rsidR="00346F21" w:rsidRDefault="003C4F84" w:rsidP="003C6089">
      <w:pPr>
        <w:pStyle w:val="Prrafodelista"/>
        <w:numPr>
          <w:ilvl w:val="0"/>
          <w:numId w:val="10"/>
        </w:numPr>
        <w:tabs>
          <w:tab w:val="left" w:pos="851"/>
        </w:tabs>
        <w:spacing w:after="0" w:line="360" w:lineRule="auto"/>
        <w:ind w:left="1276"/>
        <w:jc w:val="both"/>
        <w:rPr>
          <w:rFonts w:ascii="Arial" w:hAnsi="Arial" w:cs="Arial"/>
        </w:rPr>
      </w:pPr>
      <w:r w:rsidRPr="003C4F84">
        <w:rPr>
          <w:rFonts w:ascii="Arial" w:hAnsi="Arial" w:cs="Arial"/>
        </w:rPr>
        <w:t>Verificar: Se realiza el seguimiento de indicadores clave (eficiencia</w:t>
      </w:r>
      <w:r w:rsidR="007C2CD4">
        <w:rPr>
          <w:rFonts w:ascii="Arial" w:hAnsi="Arial" w:cs="Arial"/>
        </w:rPr>
        <w:t xml:space="preserve"> y</w:t>
      </w:r>
      <w:r w:rsidRPr="003C4F84">
        <w:rPr>
          <w:rFonts w:ascii="Arial" w:hAnsi="Arial" w:cs="Arial"/>
        </w:rPr>
        <w:t xml:space="preserve"> satisfacción)</w:t>
      </w:r>
      <w:r w:rsidR="00346F21">
        <w:rPr>
          <w:rFonts w:ascii="Arial" w:hAnsi="Arial" w:cs="Arial"/>
        </w:rPr>
        <w:t xml:space="preserve"> desde la alta gerencia </w:t>
      </w:r>
      <w:r w:rsidRPr="003C4F84">
        <w:rPr>
          <w:rFonts w:ascii="Arial" w:hAnsi="Arial" w:cs="Arial"/>
        </w:rPr>
        <w:t>y se generan reportes de tendencias y</w:t>
      </w:r>
      <w:r w:rsidR="00346F21">
        <w:rPr>
          <w:rFonts w:ascii="Arial" w:hAnsi="Arial" w:cs="Arial"/>
        </w:rPr>
        <w:t>,</w:t>
      </w:r>
      <w:r w:rsidRPr="003C4F84">
        <w:rPr>
          <w:rFonts w:ascii="Arial" w:hAnsi="Arial" w:cs="Arial"/>
        </w:rPr>
        <w:t xml:space="preserve"> alertas tempranas que retroalimentan a las áreas responsables.</w:t>
      </w:r>
    </w:p>
    <w:p w14:paraId="4D5F2A7A" w14:textId="3873FA55" w:rsidR="00346F21" w:rsidRDefault="003C4F84" w:rsidP="003C6089">
      <w:pPr>
        <w:pStyle w:val="Prrafodelista"/>
        <w:numPr>
          <w:ilvl w:val="0"/>
          <w:numId w:val="10"/>
        </w:numPr>
        <w:tabs>
          <w:tab w:val="left" w:pos="851"/>
        </w:tabs>
        <w:spacing w:after="0" w:line="360" w:lineRule="auto"/>
        <w:ind w:left="1276"/>
        <w:jc w:val="both"/>
        <w:rPr>
          <w:rFonts w:ascii="Arial" w:hAnsi="Arial" w:cs="Arial"/>
        </w:rPr>
      </w:pPr>
      <w:r w:rsidRPr="00346F21">
        <w:rPr>
          <w:rFonts w:ascii="Arial" w:hAnsi="Arial" w:cs="Arial"/>
        </w:rPr>
        <w:t xml:space="preserve">Actuar: Se </w:t>
      </w:r>
      <w:r w:rsidR="00346F21">
        <w:rPr>
          <w:rFonts w:ascii="Arial" w:hAnsi="Arial" w:cs="Arial"/>
        </w:rPr>
        <w:t>coordinan</w:t>
      </w:r>
      <w:r w:rsidRPr="00346F21">
        <w:rPr>
          <w:rFonts w:ascii="Arial" w:hAnsi="Arial" w:cs="Arial"/>
        </w:rPr>
        <w:t xml:space="preserve"> acciones </w:t>
      </w:r>
      <w:r w:rsidR="006A5814">
        <w:rPr>
          <w:rFonts w:ascii="Arial" w:hAnsi="Arial" w:cs="Arial"/>
        </w:rPr>
        <w:t xml:space="preserve">correctivas, actualización de procesos y fortalecimiento de capacidades en coordinación con </w:t>
      </w:r>
      <w:r w:rsidR="00346F21">
        <w:rPr>
          <w:rFonts w:ascii="Arial" w:hAnsi="Arial" w:cs="Arial"/>
        </w:rPr>
        <w:t>las áreas responsables</w:t>
      </w:r>
      <w:r w:rsidR="006A5814">
        <w:rPr>
          <w:rFonts w:ascii="Arial" w:hAnsi="Arial" w:cs="Arial"/>
        </w:rPr>
        <w:t>.</w:t>
      </w:r>
    </w:p>
    <w:p w14:paraId="0FCF50C0" w14:textId="6AA23E5A" w:rsidR="0042725A" w:rsidRPr="00D80FAB" w:rsidRDefault="00D80FAB" w:rsidP="00D80FAB">
      <w:pPr>
        <w:tabs>
          <w:tab w:val="left" w:pos="851"/>
        </w:tabs>
        <w:spacing w:after="0" w:line="360" w:lineRule="auto"/>
        <w:ind w:left="916"/>
        <w:jc w:val="both"/>
        <w:rPr>
          <w:rFonts w:ascii="Arial" w:hAnsi="Arial" w:cs="Arial"/>
        </w:rPr>
      </w:pPr>
      <w:r>
        <w:rPr>
          <w:rFonts w:ascii="Arial" w:hAnsi="Arial" w:cs="Arial"/>
        </w:rPr>
        <w:t>Como parte de</w:t>
      </w:r>
      <w:r w:rsidR="000449BE">
        <w:rPr>
          <w:rFonts w:ascii="Arial" w:hAnsi="Arial" w:cs="Arial"/>
        </w:rPr>
        <w:t xml:space="preserve"> la</w:t>
      </w:r>
      <w:r>
        <w:rPr>
          <w:rFonts w:ascii="Arial" w:hAnsi="Arial" w:cs="Arial"/>
        </w:rPr>
        <w:t xml:space="preserve"> </w:t>
      </w:r>
      <w:r w:rsidR="0042725A" w:rsidRPr="00D80FAB">
        <w:rPr>
          <w:rFonts w:ascii="Arial" w:hAnsi="Arial" w:cs="Arial"/>
        </w:rPr>
        <w:t>mejora continua</w:t>
      </w:r>
      <w:r>
        <w:rPr>
          <w:rFonts w:ascii="Arial" w:hAnsi="Arial" w:cs="Arial"/>
        </w:rPr>
        <w:t xml:space="preserve">, nos encontramos </w:t>
      </w:r>
      <w:r w:rsidR="000449BE">
        <w:rPr>
          <w:rFonts w:ascii="Arial" w:hAnsi="Arial" w:cs="Arial"/>
        </w:rPr>
        <w:t>en</w:t>
      </w:r>
      <w:r>
        <w:rPr>
          <w:rFonts w:ascii="Arial" w:hAnsi="Arial" w:cs="Arial"/>
        </w:rPr>
        <w:t xml:space="preserve"> el proceso de validación de stakeholders del MQRs</w:t>
      </w:r>
      <w:r w:rsidR="000449BE">
        <w:rPr>
          <w:rFonts w:ascii="Arial" w:hAnsi="Arial" w:cs="Arial"/>
        </w:rPr>
        <w:t xml:space="preserve"> (</w:t>
      </w:r>
      <w:r>
        <w:rPr>
          <w:rFonts w:ascii="Arial" w:hAnsi="Arial" w:cs="Arial"/>
        </w:rPr>
        <w:t xml:space="preserve">ente de escalamiento externo </w:t>
      </w:r>
      <w:r w:rsidR="0042725A" w:rsidRPr="00D80FAB">
        <w:rPr>
          <w:rFonts w:ascii="Arial" w:hAnsi="Arial" w:cs="Arial"/>
        </w:rPr>
        <w:t xml:space="preserve">en la </w:t>
      </w:r>
      <w:r w:rsidR="000449BE">
        <w:rPr>
          <w:rFonts w:ascii="Arial" w:hAnsi="Arial" w:cs="Arial"/>
        </w:rPr>
        <w:t xml:space="preserve">gestión </w:t>
      </w:r>
      <w:r w:rsidR="0042725A" w:rsidRPr="00D80FAB">
        <w:rPr>
          <w:rFonts w:ascii="Arial" w:hAnsi="Arial" w:cs="Arial"/>
        </w:rPr>
        <w:t xml:space="preserve">de QRs </w:t>
      </w:r>
      <w:r>
        <w:rPr>
          <w:rFonts w:ascii="Arial" w:hAnsi="Arial" w:cs="Arial"/>
        </w:rPr>
        <w:t xml:space="preserve">e incremento de canales de atención enfocados en </w:t>
      </w:r>
      <w:r w:rsidR="00C62C59">
        <w:rPr>
          <w:rFonts w:ascii="Arial" w:hAnsi="Arial" w:cs="Arial"/>
        </w:rPr>
        <w:t xml:space="preserve">grupos </w:t>
      </w:r>
      <w:r>
        <w:rPr>
          <w:rFonts w:ascii="Arial" w:hAnsi="Arial" w:cs="Arial"/>
        </w:rPr>
        <w:t>vulnerables</w:t>
      </w:r>
      <w:r w:rsidR="000449BE">
        <w:rPr>
          <w:rFonts w:ascii="Arial" w:hAnsi="Arial" w:cs="Arial"/>
        </w:rPr>
        <w:t>).</w:t>
      </w:r>
    </w:p>
    <w:p w14:paraId="317B50C3" w14:textId="129737F3" w:rsidR="00FA4AEA" w:rsidRPr="00346F21" w:rsidRDefault="00FA4AEA" w:rsidP="003C6089">
      <w:pPr>
        <w:pStyle w:val="Prrafodelista"/>
        <w:numPr>
          <w:ilvl w:val="0"/>
          <w:numId w:val="9"/>
        </w:numPr>
        <w:tabs>
          <w:tab w:val="left" w:pos="851"/>
        </w:tabs>
        <w:spacing w:after="0" w:line="360" w:lineRule="auto"/>
        <w:rPr>
          <w:rFonts w:ascii="Arial" w:hAnsi="Arial" w:cs="Arial"/>
          <w:b/>
          <w:bCs/>
        </w:rPr>
      </w:pPr>
      <w:r w:rsidRPr="00346F21">
        <w:rPr>
          <w:rFonts w:ascii="Arial" w:hAnsi="Arial" w:cs="Arial"/>
          <w:b/>
          <w:bCs/>
        </w:rPr>
        <w:t>Resultados alcanzados</w:t>
      </w:r>
    </w:p>
    <w:p w14:paraId="7D5A8C81" w14:textId="77777777" w:rsidR="00ED2FDA" w:rsidRDefault="00ED2FDA" w:rsidP="003C6089">
      <w:pPr>
        <w:pStyle w:val="Prrafodelista"/>
        <w:tabs>
          <w:tab w:val="left" w:pos="851"/>
        </w:tabs>
        <w:spacing w:after="0" w:line="360" w:lineRule="auto"/>
        <w:ind w:left="851"/>
        <w:jc w:val="both"/>
        <w:rPr>
          <w:rFonts w:ascii="Arial" w:hAnsi="Arial" w:cs="Arial"/>
        </w:rPr>
      </w:pPr>
      <w:r>
        <w:rPr>
          <w:rFonts w:ascii="Arial" w:hAnsi="Arial" w:cs="Arial"/>
        </w:rPr>
        <w:t>El MQRs de Antapaccay, d</w:t>
      </w:r>
      <w:r w:rsidR="00346F21" w:rsidRPr="00ED2FDA">
        <w:rPr>
          <w:rFonts w:ascii="Arial" w:hAnsi="Arial" w:cs="Arial"/>
        </w:rPr>
        <w:t>esde su implementación y sucesivas mejoras</w:t>
      </w:r>
      <w:r>
        <w:rPr>
          <w:rFonts w:ascii="Arial" w:hAnsi="Arial" w:cs="Arial"/>
        </w:rPr>
        <w:t xml:space="preserve"> </w:t>
      </w:r>
      <w:r w:rsidR="00346F21" w:rsidRPr="00ED2FDA">
        <w:rPr>
          <w:rFonts w:ascii="Arial" w:hAnsi="Arial" w:cs="Arial"/>
        </w:rPr>
        <w:t>ha logrado</w:t>
      </w:r>
      <w:r>
        <w:rPr>
          <w:rFonts w:ascii="Arial" w:hAnsi="Arial" w:cs="Arial"/>
        </w:rPr>
        <w:t>:</w:t>
      </w:r>
    </w:p>
    <w:p w14:paraId="78E063B8" w14:textId="3C2E8146" w:rsidR="00AE5D56" w:rsidRDefault="00AE5D56" w:rsidP="003C6089">
      <w:pPr>
        <w:pStyle w:val="Prrafodelista"/>
        <w:numPr>
          <w:ilvl w:val="0"/>
          <w:numId w:val="11"/>
        </w:numPr>
        <w:tabs>
          <w:tab w:val="left" w:pos="851"/>
        </w:tabs>
        <w:spacing w:after="0" w:line="360" w:lineRule="auto"/>
        <w:ind w:left="1134" w:hanging="283"/>
        <w:jc w:val="both"/>
        <w:rPr>
          <w:rFonts w:ascii="Arial" w:hAnsi="Arial" w:cs="Arial"/>
        </w:rPr>
      </w:pPr>
      <w:r w:rsidRPr="00AE5D56">
        <w:rPr>
          <w:rFonts w:ascii="Arial" w:hAnsi="Arial" w:cs="Arial"/>
        </w:rPr>
        <w:t xml:space="preserve">2021: Reconocimiento del MINEM/SNMPE al destacado desempeño en el Programa de Reconocimiento de Conductas Empresariales Responsables </w:t>
      </w:r>
      <w:r w:rsidR="007C2CD4">
        <w:rPr>
          <w:rFonts w:ascii="Arial" w:hAnsi="Arial" w:cs="Arial"/>
        </w:rPr>
        <w:t xml:space="preserve">“CER” </w:t>
      </w:r>
      <w:r w:rsidRPr="00AE5D56">
        <w:rPr>
          <w:rFonts w:ascii="Arial" w:hAnsi="Arial" w:cs="Arial"/>
        </w:rPr>
        <w:t>en la implementación del Mecanismo de Atención a Quejas y Reclamos.</w:t>
      </w:r>
    </w:p>
    <w:p w14:paraId="3C73AFAC" w14:textId="7CE7A66C" w:rsidR="00AE5D56" w:rsidRDefault="00AE5D56" w:rsidP="003C6089">
      <w:pPr>
        <w:pStyle w:val="Prrafodelista"/>
        <w:numPr>
          <w:ilvl w:val="0"/>
          <w:numId w:val="11"/>
        </w:numPr>
        <w:tabs>
          <w:tab w:val="left" w:pos="851"/>
        </w:tabs>
        <w:spacing w:after="0" w:line="360" w:lineRule="auto"/>
        <w:ind w:left="1134" w:hanging="283"/>
        <w:jc w:val="both"/>
        <w:rPr>
          <w:rFonts w:ascii="Arial" w:hAnsi="Arial" w:cs="Arial"/>
        </w:rPr>
      </w:pPr>
      <w:r w:rsidRPr="00AE5D56">
        <w:rPr>
          <w:rFonts w:ascii="Arial" w:hAnsi="Arial" w:cs="Arial"/>
        </w:rPr>
        <w:t>2022: Reconocimiento del Programa “Cooperación Regional para la gestión sustentable de los recursos mineros en los países andinos” (</w:t>
      </w:r>
      <w:proofErr w:type="spellStart"/>
      <w:r w:rsidRPr="00AE5D56">
        <w:rPr>
          <w:rFonts w:ascii="Arial" w:hAnsi="Arial" w:cs="Arial"/>
        </w:rPr>
        <w:t>MinSus</w:t>
      </w:r>
      <w:proofErr w:type="spellEnd"/>
      <w:r w:rsidRPr="00AE5D56">
        <w:rPr>
          <w:rFonts w:ascii="Arial" w:hAnsi="Arial" w:cs="Arial"/>
        </w:rPr>
        <w:t>)</w:t>
      </w:r>
      <w:r w:rsidR="000449BE">
        <w:rPr>
          <w:rFonts w:ascii="Arial" w:hAnsi="Arial" w:cs="Arial"/>
        </w:rPr>
        <w:t xml:space="preserve"> </w:t>
      </w:r>
      <w:r w:rsidRPr="00AE5D56">
        <w:rPr>
          <w:rFonts w:ascii="Arial" w:hAnsi="Arial" w:cs="Arial"/>
        </w:rPr>
        <w:t>como prácticas líderes, avances y desafíos pendientes de los mecanismos de reclamo operacionales mineros en la región andina.</w:t>
      </w:r>
    </w:p>
    <w:p w14:paraId="6817D6A7" w14:textId="42B39699" w:rsidR="006A5814" w:rsidRPr="006A5814" w:rsidRDefault="006A5814" w:rsidP="003C6089">
      <w:pPr>
        <w:pStyle w:val="Prrafodelista"/>
        <w:numPr>
          <w:ilvl w:val="0"/>
          <w:numId w:val="11"/>
        </w:numPr>
        <w:tabs>
          <w:tab w:val="left" w:pos="851"/>
        </w:tabs>
        <w:spacing w:after="0" w:line="360" w:lineRule="auto"/>
        <w:ind w:left="1134" w:hanging="283"/>
        <w:jc w:val="both"/>
        <w:rPr>
          <w:rFonts w:ascii="Arial" w:hAnsi="Arial" w:cs="Arial"/>
        </w:rPr>
      </w:pPr>
      <w:r w:rsidRPr="006A5814">
        <w:rPr>
          <w:rFonts w:ascii="Arial" w:hAnsi="Arial" w:cs="Arial"/>
        </w:rPr>
        <w:t>Gestión efectiva de 953 quejas y reclamos</w:t>
      </w:r>
      <w:r w:rsidR="000449BE">
        <w:rPr>
          <w:rFonts w:ascii="Arial" w:hAnsi="Arial" w:cs="Arial"/>
        </w:rPr>
        <w:t xml:space="preserve"> con 90% de cierre (ENE</w:t>
      </w:r>
      <w:r w:rsidRPr="006A5814">
        <w:rPr>
          <w:rFonts w:ascii="Arial" w:hAnsi="Arial" w:cs="Arial"/>
        </w:rPr>
        <w:t xml:space="preserve"> 20</w:t>
      </w:r>
      <w:r w:rsidR="000449BE">
        <w:rPr>
          <w:rFonts w:ascii="Arial" w:hAnsi="Arial" w:cs="Arial"/>
        </w:rPr>
        <w:t xml:space="preserve"> – DIC </w:t>
      </w:r>
      <w:r w:rsidRPr="006A5814">
        <w:rPr>
          <w:rFonts w:ascii="Arial" w:hAnsi="Arial" w:cs="Arial"/>
        </w:rPr>
        <w:t>24</w:t>
      </w:r>
      <w:r w:rsidR="000449BE">
        <w:rPr>
          <w:rFonts w:ascii="Arial" w:hAnsi="Arial" w:cs="Arial"/>
        </w:rPr>
        <w:t>)</w:t>
      </w:r>
    </w:p>
    <w:p w14:paraId="6CB0CEE2" w14:textId="2F0ACEE2" w:rsidR="00AE5D56" w:rsidRDefault="006A5814" w:rsidP="003C6089">
      <w:pPr>
        <w:pStyle w:val="Prrafodelista"/>
        <w:numPr>
          <w:ilvl w:val="0"/>
          <w:numId w:val="11"/>
        </w:numPr>
        <w:tabs>
          <w:tab w:val="left" w:pos="851"/>
        </w:tabs>
        <w:spacing w:after="0" w:line="360" w:lineRule="auto"/>
        <w:ind w:left="1134" w:hanging="283"/>
        <w:jc w:val="both"/>
        <w:rPr>
          <w:rFonts w:ascii="Arial" w:hAnsi="Arial" w:cs="Arial"/>
        </w:rPr>
      </w:pPr>
      <w:r>
        <w:rPr>
          <w:rFonts w:ascii="Arial" w:hAnsi="Arial" w:cs="Arial"/>
        </w:rPr>
        <w:t>I</w:t>
      </w:r>
      <w:r w:rsidRPr="006A5814">
        <w:rPr>
          <w:rFonts w:ascii="Arial" w:hAnsi="Arial" w:cs="Arial"/>
        </w:rPr>
        <w:t>ncremento del índice de satisfacción de reclamantes (top-</w:t>
      </w:r>
      <w:proofErr w:type="spellStart"/>
      <w:r w:rsidRPr="006A5814">
        <w:rPr>
          <w:rFonts w:ascii="Arial" w:hAnsi="Arial" w:cs="Arial"/>
        </w:rPr>
        <w:t>to</w:t>
      </w:r>
      <w:proofErr w:type="spellEnd"/>
      <w:r w:rsidRPr="006A5814">
        <w:rPr>
          <w:rFonts w:ascii="Arial" w:hAnsi="Arial" w:cs="Arial"/>
        </w:rPr>
        <w:t>-box): 44% (2021), 66% (2022), 56% (2023) y 60% (2024)</w:t>
      </w:r>
      <w:r>
        <w:rPr>
          <w:rFonts w:ascii="Arial" w:hAnsi="Arial" w:cs="Arial"/>
        </w:rPr>
        <w:t>.</w:t>
      </w:r>
    </w:p>
    <w:p w14:paraId="5DF97775" w14:textId="77777777" w:rsidR="006A5814" w:rsidRDefault="006A5814" w:rsidP="006A5814">
      <w:pPr>
        <w:pStyle w:val="Prrafodelista"/>
        <w:numPr>
          <w:ilvl w:val="0"/>
          <w:numId w:val="11"/>
        </w:numPr>
        <w:tabs>
          <w:tab w:val="left" w:pos="851"/>
        </w:tabs>
        <w:spacing w:after="0" w:line="360" w:lineRule="auto"/>
        <w:ind w:left="1134" w:hanging="283"/>
        <w:jc w:val="both"/>
        <w:rPr>
          <w:rFonts w:ascii="Arial" w:hAnsi="Arial" w:cs="Arial"/>
        </w:rPr>
      </w:pPr>
      <w:r w:rsidRPr="006A5814">
        <w:rPr>
          <w:rFonts w:ascii="Arial" w:hAnsi="Arial" w:cs="Arial"/>
        </w:rPr>
        <w:t xml:space="preserve">55% de los socios estratégicos han diseñado e </w:t>
      </w:r>
      <w:r w:rsidRPr="006A5814">
        <w:rPr>
          <w:rFonts w:ascii="Arial" w:hAnsi="Arial" w:cs="Arial"/>
        </w:rPr>
        <w:t>implementado sus propios MQRs, a partir de la experiencia y acompañamiento técnico de Antapaccay</w:t>
      </w:r>
      <w:r>
        <w:rPr>
          <w:rFonts w:ascii="Arial" w:hAnsi="Arial" w:cs="Arial"/>
        </w:rPr>
        <w:t>.</w:t>
      </w:r>
    </w:p>
    <w:p w14:paraId="30171630" w14:textId="4F4B23E1" w:rsidR="00C62C59" w:rsidRPr="006A5814" w:rsidRDefault="00C62C59" w:rsidP="006A5814">
      <w:pPr>
        <w:pStyle w:val="Prrafodelista"/>
        <w:numPr>
          <w:ilvl w:val="0"/>
          <w:numId w:val="11"/>
        </w:numPr>
        <w:tabs>
          <w:tab w:val="left" w:pos="851"/>
        </w:tabs>
        <w:spacing w:after="0" w:line="360" w:lineRule="auto"/>
        <w:ind w:left="1134" w:hanging="283"/>
        <w:jc w:val="both"/>
        <w:rPr>
          <w:rFonts w:ascii="Arial" w:hAnsi="Arial" w:cs="Arial"/>
        </w:rPr>
      </w:pPr>
      <w:r>
        <w:rPr>
          <w:rFonts w:ascii="Arial" w:hAnsi="Arial" w:cs="Arial"/>
        </w:rPr>
        <w:t xml:space="preserve">85% (1668) de nuestros trabajadores </w:t>
      </w:r>
      <w:r w:rsidR="000449BE">
        <w:rPr>
          <w:rFonts w:ascii="Arial" w:hAnsi="Arial" w:cs="Arial"/>
        </w:rPr>
        <w:t>fueron capacitados en DDHH y MQRs.</w:t>
      </w:r>
    </w:p>
    <w:p w14:paraId="0832241F" w14:textId="1F0D55B5" w:rsidR="00FA4AEA" w:rsidRDefault="00FA4AEA" w:rsidP="003C6089">
      <w:pPr>
        <w:pStyle w:val="Prrafodelista"/>
        <w:numPr>
          <w:ilvl w:val="0"/>
          <w:numId w:val="9"/>
        </w:numPr>
        <w:tabs>
          <w:tab w:val="left" w:pos="851"/>
        </w:tabs>
        <w:spacing w:after="0" w:line="360" w:lineRule="auto"/>
        <w:rPr>
          <w:rFonts w:ascii="Arial" w:hAnsi="Arial" w:cs="Arial"/>
          <w:b/>
          <w:bCs/>
        </w:rPr>
      </w:pPr>
      <w:r w:rsidRPr="00346F21">
        <w:rPr>
          <w:rFonts w:ascii="Arial" w:hAnsi="Arial" w:cs="Arial"/>
          <w:b/>
          <w:bCs/>
        </w:rPr>
        <w:t>Conclusiones y recomendaciones</w:t>
      </w:r>
    </w:p>
    <w:p w14:paraId="0D5F8A76" w14:textId="77777777" w:rsidR="003A4860" w:rsidRDefault="0071330D" w:rsidP="003C6089">
      <w:pPr>
        <w:pStyle w:val="Prrafodelista"/>
        <w:tabs>
          <w:tab w:val="left" w:pos="851"/>
        </w:tabs>
        <w:spacing w:after="0" w:line="360" w:lineRule="auto"/>
        <w:ind w:left="851"/>
        <w:jc w:val="both"/>
        <w:rPr>
          <w:rFonts w:ascii="Arial" w:hAnsi="Arial" w:cs="Arial"/>
        </w:rPr>
      </w:pPr>
      <w:r w:rsidRPr="0071330D">
        <w:rPr>
          <w:rFonts w:ascii="Arial" w:hAnsi="Arial" w:cs="Arial"/>
        </w:rPr>
        <w:t xml:space="preserve">La experiencia de Antapaccay </w:t>
      </w:r>
      <w:r w:rsidR="00916EEC">
        <w:rPr>
          <w:rFonts w:ascii="Arial" w:hAnsi="Arial" w:cs="Arial"/>
        </w:rPr>
        <w:t>demuestra</w:t>
      </w:r>
      <w:r w:rsidRPr="0071330D">
        <w:rPr>
          <w:rFonts w:ascii="Arial" w:hAnsi="Arial" w:cs="Arial"/>
        </w:rPr>
        <w:t xml:space="preserve"> que </w:t>
      </w:r>
      <w:r w:rsidR="00916EEC">
        <w:rPr>
          <w:rFonts w:ascii="Arial" w:hAnsi="Arial" w:cs="Arial"/>
        </w:rPr>
        <w:t>el</w:t>
      </w:r>
      <w:r>
        <w:rPr>
          <w:rFonts w:ascii="Arial" w:hAnsi="Arial" w:cs="Arial"/>
        </w:rPr>
        <w:t xml:space="preserve"> MQRs </w:t>
      </w:r>
      <w:r w:rsidR="00916EEC">
        <w:rPr>
          <w:rFonts w:ascii="Arial" w:hAnsi="Arial" w:cs="Arial"/>
        </w:rPr>
        <w:t xml:space="preserve">no sólo es una herramienta sino </w:t>
      </w:r>
      <w:r w:rsidRPr="0071330D">
        <w:rPr>
          <w:rFonts w:ascii="Arial" w:hAnsi="Arial" w:cs="Arial"/>
        </w:rPr>
        <w:t xml:space="preserve">un sistema de gestión estratégico en </w:t>
      </w:r>
      <w:r w:rsidR="000449BE">
        <w:rPr>
          <w:rFonts w:ascii="Arial" w:hAnsi="Arial" w:cs="Arial"/>
        </w:rPr>
        <w:t>DDHH</w:t>
      </w:r>
      <w:r w:rsidR="00916EEC">
        <w:rPr>
          <w:rFonts w:ascii="Arial" w:hAnsi="Arial" w:cs="Arial"/>
        </w:rPr>
        <w:t xml:space="preserve"> que debe diseñarse bajo estándares internacionales, pero también con un enfoque </w:t>
      </w:r>
      <w:r w:rsidRPr="0071330D">
        <w:rPr>
          <w:rFonts w:ascii="Arial" w:hAnsi="Arial" w:cs="Arial"/>
        </w:rPr>
        <w:t xml:space="preserve">de mejora continua </w:t>
      </w:r>
      <w:r>
        <w:rPr>
          <w:rFonts w:ascii="Arial" w:hAnsi="Arial" w:cs="Arial"/>
        </w:rPr>
        <w:t>(</w:t>
      </w:r>
      <w:r w:rsidRPr="0071330D">
        <w:rPr>
          <w:rFonts w:ascii="Arial" w:hAnsi="Arial" w:cs="Arial"/>
        </w:rPr>
        <w:t>ciclo PHVA</w:t>
      </w:r>
      <w:r>
        <w:rPr>
          <w:rFonts w:ascii="Arial" w:hAnsi="Arial" w:cs="Arial"/>
        </w:rPr>
        <w:t xml:space="preserve">) </w:t>
      </w:r>
      <w:r w:rsidR="00916EEC">
        <w:rPr>
          <w:rFonts w:ascii="Arial" w:hAnsi="Arial" w:cs="Arial"/>
        </w:rPr>
        <w:t xml:space="preserve">y esto permitirá </w:t>
      </w:r>
      <w:r w:rsidRPr="0071330D">
        <w:rPr>
          <w:rFonts w:ascii="Arial" w:hAnsi="Arial" w:cs="Arial"/>
        </w:rPr>
        <w:t>mejorar la gobernanza interna</w:t>
      </w:r>
      <w:r>
        <w:rPr>
          <w:rFonts w:ascii="Arial" w:hAnsi="Arial" w:cs="Arial"/>
        </w:rPr>
        <w:t>,</w:t>
      </w:r>
      <w:r w:rsidRPr="0071330D">
        <w:rPr>
          <w:rFonts w:ascii="Arial" w:hAnsi="Arial" w:cs="Arial"/>
        </w:rPr>
        <w:t xml:space="preserve"> generar valor para </w:t>
      </w:r>
      <w:r w:rsidR="00916EEC">
        <w:rPr>
          <w:rFonts w:ascii="Arial" w:hAnsi="Arial" w:cs="Arial"/>
        </w:rPr>
        <w:t xml:space="preserve">sus </w:t>
      </w:r>
      <w:r w:rsidRPr="0071330D">
        <w:rPr>
          <w:rFonts w:ascii="Arial" w:hAnsi="Arial" w:cs="Arial"/>
        </w:rPr>
        <w:t>grupos de interés y reforzar la legitimidad de sus operaciones</w:t>
      </w:r>
      <w:r>
        <w:rPr>
          <w:rFonts w:ascii="Arial" w:hAnsi="Arial" w:cs="Arial"/>
        </w:rPr>
        <w:t>.</w:t>
      </w:r>
    </w:p>
    <w:p w14:paraId="4E0A3B03" w14:textId="0810F3A4" w:rsidR="0071330D" w:rsidRPr="00AE5D56" w:rsidRDefault="0071330D" w:rsidP="003C6089">
      <w:pPr>
        <w:pStyle w:val="Prrafodelista"/>
        <w:tabs>
          <w:tab w:val="left" w:pos="851"/>
        </w:tabs>
        <w:spacing w:after="0" w:line="360" w:lineRule="auto"/>
        <w:ind w:left="851"/>
        <w:jc w:val="both"/>
        <w:rPr>
          <w:rFonts w:ascii="Arial" w:hAnsi="Arial" w:cs="Arial"/>
        </w:rPr>
      </w:pPr>
      <w:r>
        <w:rPr>
          <w:rFonts w:ascii="Arial" w:hAnsi="Arial" w:cs="Arial"/>
        </w:rPr>
        <w:t xml:space="preserve">Consideramos que </w:t>
      </w:r>
      <w:r w:rsidR="00916EEC">
        <w:rPr>
          <w:rFonts w:ascii="Arial" w:hAnsi="Arial" w:cs="Arial"/>
        </w:rPr>
        <w:t xml:space="preserve">es relevante </w:t>
      </w:r>
      <w:r w:rsidRPr="0071330D">
        <w:rPr>
          <w:rFonts w:ascii="Arial" w:hAnsi="Arial" w:cs="Arial"/>
        </w:rPr>
        <w:t xml:space="preserve">replicar </w:t>
      </w:r>
      <w:r>
        <w:rPr>
          <w:rFonts w:ascii="Arial" w:hAnsi="Arial" w:cs="Arial"/>
        </w:rPr>
        <w:t>el modelo del MQRs de Antapaccay</w:t>
      </w:r>
      <w:r w:rsidRPr="0071330D">
        <w:rPr>
          <w:rFonts w:ascii="Arial" w:hAnsi="Arial" w:cs="Arial"/>
        </w:rPr>
        <w:t xml:space="preserve"> en operaciones con exposición a riesgos sociales, adaptándolo a sus contextos</w:t>
      </w:r>
      <w:r>
        <w:rPr>
          <w:rFonts w:ascii="Arial" w:hAnsi="Arial" w:cs="Arial"/>
        </w:rPr>
        <w:t xml:space="preserve"> y </w:t>
      </w:r>
      <w:r w:rsidRPr="0071330D">
        <w:rPr>
          <w:rFonts w:ascii="Arial" w:hAnsi="Arial" w:cs="Arial"/>
        </w:rPr>
        <w:t xml:space="preserve">promoviendo la participación </w:t>
      </w:r>
      <w:r>
        <w:rPr>
          <w:rFonts w:ascii="Arial" w:hAnsi="Arial" w:cs="Arial"/>
        </w:rPr>
        <w:t xml:space="preserve">y, validación </w:t>
      </w:r>
      <w:r w:rsidRPr="0071330D">
        <w:rPr>
          <w:rFonts w:ascii="Arial" w:hAnsi="Arial" w:cs="Arial"/>
        </w:rPr>
        <w:t xml:space="preserve">de </w:t>
      </w:r>
      <w:r w:rsidR="00916EEC">
        <w:rPr>
          <w:rFonts w:ascii="Arial" w:hAnsi="Arial" w:cs="Arial"/>
        </w:rPr>
        <w:t>sus grupos de interés</w:t>
      </w:r>
      <w:r>
        <w:rPr>
          <w:rFonts w:ascii="Arial" w:hAnsi="Arial" w:cs="Arial"/>
        </w:rPr>
        <w:t>.</w:t>
      </w:r>
    </w:p>
    <w:sectPr w:rsidR="0071330D" w:rsidRPr="00AE5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A3E49"/>
    <w:multiLevelType w:val="hybridMultilevel"/>
    <w:tmpl w:val="42A8AB4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580541F"/>
    <w:multiLevelType w:val="hybridMultilevel"/>
    <w:tmpl w:val="DF22DBA4"/>
    <w:lvl w:ilvl="0" w:tplc="280A0019">
      <w:start w:val="1"/>
      <w:numFmt w:val="lowerLetter"/>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2" w15:restartNumberingAfterBreak="0">
    <w:nsid w:val="2A5A6B17"/>
    <w:multiLevelType w:val="hybridMultilevel"/>
    <w:tmpl w:val="1E8AFA2E"/>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 w15:restartNumberingAfterBreak="0">
    <w:nsid w:val="36E66666"/>
    <w:multiLevelType w:val="hybridMultilevel"/>
    <w:tmpl w:val="41860144"/>
    <w:lvl w:ilvl="0" w:tplc="2282354A">
      <w:start w:val="1"/>
      <w:numFmt w:val="decimal"/>
      <w:lvlText w:val="7.%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9813959"/>
    <w:multiLevelType w:val="hybridMultilevel"/>
    <w:tmpl w:val="AADC2E84"/>
    <w:lvl w:ilvl="0" w:tplc="280A0019">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5" w15:restartNumberingAfterBreak="0">
    <w:nsid w:val="49AC1C86"/>
    <w:multiLevelType w:val="hybridMultilevel"/>
    <w:tmpl w:val="0D8AD290"/>
    <w:lvl w:ilvl="0" w:tplc="280A0001">
      <w:start w:val="1"/>
      <w:numFmt w:val="bullet"/>
      <w:lvlText w:val=""/>
      <w:lvlJc w:val="left"/>
      <w:pPr>
        <w:ind w:left="1636" w:hanging="360"/>
      </w:pPr>
      <w:rPr>
        <w:rFonts w:ascii="Symbol" w:hAnsi="Symbol" w:hint="default"/>
      </w:rPr>
    </w:lvl>
    <w:lvl w:ilvl="1" w:tplc="280A0003" w:tentative="1">
      <w:start w:val="1"/>
      <w:numFmt w:val="bullet"/>
      <w:lvlText w:val="o"/>
      <w:lvlJc w:val="left"/>
      <w:pPr>
        <w:ind w:left="2356" w:hanging="360"/>
      </w:pPr>
      <w:rPr>
        <w:rFonts w:ascii="Courier New" w:hAnsi="Courier New" w:cs="Courier New" w:hint="default"/>
      </w:rPr>
    </w:lvl>
    <w:lvl w:ilvl="2" w:tplc="280A0005" w:tentative="1">
      <w:start w:val="1"/>
      <w:numFmt w:val="bullet"/>
      <w:lvlText w:val=""/>
      <w:lvlJc w:val="left"/>
      <w:pPr>
        <w:ind w:left="3076" w:hanging="360"/>
      </w:pPr>
      <w:rPr>
        <w:rFonts w:ascii="Wingdings" w:hAnsi="Wingdings" w:hint="default"/>
      </w:rPr>
    </w:lvl>
    <w:lvl w:ilvl="3" w:tplc="280A0001" w:tentative="1">
      <w:start w:val="1"/>
      <w:numFmt w:val="bullet"/>
      <w:lvlText w:val=""/>
      <w:lvlJc w:val="left"/>
      <w:pPr>
        <w:ind w:left="3796" w:hanging="360"/>
      </w:pPr>
      <w:rPr>
        <w:rFonts w:ascii="Symbol" w:hAnsi="Symbol" w:hint="default"/>
      </w:rPr>
    </w:lvl>
    <w:lvl w:ilvl="4" w:tplc="280A0003" w:tentative="1">
      <w:start w:val="1"/>
      <w:numFmt w:val="bullet"/>
      <w:lvlText w:val="o"/>
      <w:lvlJc w:val="left"/>
      <w:pPr>
        <w:ind w:left="4516" w:hanging="360"/>
      </w:pPr>
      <w:rPr>
        <w:rFonts w:ascii="Courier New" w:hAnsi="Courier New" w:cs="Courier New" w:hint="default"/>
      </w:rPr>
    </w:lvl>
    <w:lvl w:ilvl="5" w:tplc="280A0005" w:tentative="1">
      <w:start w:val="1"/>
      <w:numFmt w:val="bullet"/>
      <w:lvlText w:val=""/>
      <w:lvlJc w:val="left"/>
      <w:pPr>
        <w:ind w:left="5236" w:hanging="360"/>
      </w:pPr>
      <w:rPr>
        <w:rFonts w:ascii="Wingdings" w:hAnsi="Wingdings" w:hint="default"/>
      </w:rPr>
    </w:lvl>
    <w:lvl w:ilvl="6" w:tplc="280A0001" w:tentative="1">
      <w:start w:val="1"/>
      <w:numFmt w:val="bullet"/>
      <w:lvlText w:val=""/>
      <w:lvlJc w:val="left"/>
      <w:pPr>
        <w:ind w:left="5956" w:hanging="360"/>
      </w:pPr>
      <w:rPr>
        <w:rFonts w:ascii="Symbol" w:hAnsi="Symbol" w:hint="default"/>
      </w:rPr>
    </w:lvl>
    <w:lvl w:ilvl="7" w:tplc="280A0003" w:tentative="1">
      <w:start w:val="1"/>
      <w:numFmt w:val="bullet"/>
      <w:lvlText w:val="o"/>
      <w:lvlJc w:val="left"/>
      <w:pPr>
        <w:ind w:left="6676" w:hanging="360"/>
      </w:pPr>
      <w:rPr>
        <w:rFonts w:ascii="Courier New" w:hAnsi="Courier New" w:cs="Courier New" w:hint="default"/>
      </w:rPr>
    </w:lvl>
    <w:lvl w:ilvl="8" w:tplc="280A0005" w:tentative="1">
      <w:start w:val="1"/>
      <w:numFmt w:val="bullet"/>
      <w:lvlText w:val=""/>
      <w:lvlJc w:val="left"/>
      <w:pPr>
        <w:ind w:left="7396" w:hanging="360"/>
      </w:pPr>
      <w:rPr>
        <w:rFonts w:ascii="Wingdings" w:hAnsi="Wingdings" w:hint="default"/>
      </w:rPr>
    </w:lvl>
  </w:abstractNum>
  <w:abstractNum w:abstractNumId="6" w15:restartNumberingAfterBreak="0">
    <w:nsid w:val="4F0244D4"/>
    <w:multiLevelType w:val="hybridMultilevel"/>
    <w:tmpl w:val="8460E34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7" w15:restartNumberingAfterBreak="0">
    <w:nsid w:val="502D2770"/>
    <w:multiLevelType w:val="hybridMultilevel"/>
    <w:tmpl w:val="42A8AB4A"/>
    <w:lvl w:ilvl="0" w:tplc="280A000F">
      <w:start w:val="1"/>
      <w:numFmt w:val="decimal"/>
      <w:lvlText w:val="%1."/>
      <w:lvlJc w:val="left"/>
      <w:pPr>
        <w:ind w:left="1080" w:hanging="360"/>
      </w:p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15:restartNumberingAfterBreak="0">
    <w:nsid w:val="51D34FA9"/>
    <w:multiLevelType w:val="hybridMultilevel"/>
    <w:tmpl w:val="89DEA5CC"/>
    <w:lvl w:ilvl="0" w:tplc="280A0019">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9" w15:restartNumberingAfterBreak="0">
    <w:nsid w:val="6A4351E4"/>
    <w:multiLevelType w:val="hybridMultilevel"/>
    <w:tmpl w:val="DA687D34"/>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8700737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1906618">
    <w:abstractNumId w:val="6"/>
  </w:num>
  <w:num w:numId="3" w16cid:durableId="1451825989">
    <w:abstractNumId w:val="7"/>
  </w:num>
  <w:num w:numId="4" w16cid:durableId="507404592">
    <w:abstractNumId w:val="2"/>
  </w:num>
  <w:num w:numId="5" w16cid:durableId="713509110">
    <w:abstractNumId w:val="4"/>
  </w:num>
  <w:num w:numId="6" w16cid:durableId="579365146">
    <w:abstractNumId w:val="8"/>
  </w:num>
  <w:num w:numId="7" w16cid:durableId="981617654">
    <w:abstractNumId w:val="9"/>
  </w:num>
  <w:num w:numId="8" w16cid:durableId="1008479851">
    <w:abstractNumId w:val="0"/>
  </w:num>
  <w:num w:numId="9" w16cid:durableId="1753509739">
    <w:abstractNumId w:val="3"/>
  </w:num>
  <w:num w:numId="10" w16cid:durableId="1042824106">
    <w:abstractNumId w:val="1"/>
  </w:num>
  <w:num w:numId="11" w16cid:durableId="1516729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69B"/>
    <w:rsid w:val="0003649C"/>
    <w:rsid w:val="000449BE"/>
    <w:rsid w:val="000867DB"/>
    <w:rsid w:val="0012386F"/>
    <w:rsid w:val="00212FCB"/>
    <w:rsid w:val="002555AA"/>
    <w:rsid w:val="00346F21"/>
    <w:rsid w:val="00362315"/>
    <w:rsid w:val="003937EB"/>
    <w:rsid w:val="003A4860"/>
    <w:rsid w:val="003C4F84"/>
    <w:rsid w:val="003C6089"/>
    <w:rsid w:val="0042725A"/>
    <w:rsid w:val="00556A52"/>
    <w:rsid w:val="0064320D"/>
    <w:rsid w:val="00666D8C"/>
    <w:rsid w:val="0069001D"/>
    <w:rsid w:val="006A5814"/>
    <w:rsid w:val="0071330D"/>
    <w:rsid w:val="007226E0"/>
    <w:rsid w:val="007C2CD4"/>
    <w:rsid w:val="007D469B"/>
    <w:rsid w:val="007E662F"/>
    <w:rsid w:val="00805EFC"/>
    <w:rsid w:val="0082532E"/>
    <w:rsid w:val="00846E9E"/>
    <w:rsid w:val="00903551"/>
    <w:rsid w:val="00916EEC"/>
    <w:rsid w:val="00A3171B"/>
    <w:rsid w:val="00AE5D56"/>
    <w:rsid w:val="00BA53E3"/>
    <w:rsid w:val="00BF3B25"/>
    <w:rsid w:val="00C2347E"/>
    <w:rsid w:val="00C62C59"/>
    <w:rsid w:val="00C85F8F"/>
    <w:rsid w:val="00CB107A"/>
    <w:rsid w:val="00CD63D8"/>
    <w:rsid w:val="00D15AAF"/>
    <w:rsid w:val="00D80FAB"/>
    <w:rsid w:val="00D82297"/>
    <w:rsid w:val="00E03CCC"/>
    <w:rsid w:val="00E35768"/>
    <w:rsid w:val="00E47CE0"/>
    <w:rsid w:val="00E6292B"/>
    <w:rsid w:val="00E70C37"/>
    <w:rsid w:val="00EA5C0A"/>
    <w:rsid w:val="00ED2FDA"/>
    <w:rsid w:val="00F50647"/>
    <w:rsid w:val="00F57CCC"/>
    <w:rsid w:val="00F81D4D"/>
    <w:rsid w:val="00FA4AEA"/>
    <w:rsid w:val="00FE21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D486"/>
  <w15:chartTrackingRefBased/>
  <w15:docId w15:val="{9F6F2DC6-C443-4929-B4EB-8431D301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4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4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46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46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46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46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46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46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46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46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46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46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46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46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46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46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46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469B"/>
    <w:rPr>
      <w:rFonts w:eastAsiaTheme="majorEastAsia" w:cstheme="majorBidi"/>
      <w:color w:val="272727" w:themeColor="text1" w:themeTint="D8"/>
    </w:rPr>
  </w:style>
  <w:style w:type="paragraph" w:styleId="Ttulo">
    <w:name w:val="Title"/>
    <w:basedOn w:val="Normal"/>
    <w:next w:val="Normal"/>
    <w:link w:val="TtuloCar"/>
    <w:uiPriority w:val="10"/>
    <w:qFormat/>
    <w:rsid w:val="007D4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46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46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46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469B"/>
    <w:pPr>
      <w:spacing w:before="160"/>
      <w:jc w:val="center"/>
    </w:pPr>
    <w:rPr>
      <w:i/>
      <w:iCs/>
      <w:color w:val="404040" w:themeColor="text1" w:themeTint="BF"/>
    </w:rPr>
  </w:style>
  <w:style w:type="character" w:customStyle="1" w:styleId="CitaCar">
    <w:name w:val="Cita Car"/>
    <w:basedOn w:val="Fuentedeprrafopredeter"/>
    <w:link w:val="Cita"/>
    <w:uiPriority w:val="29"/>
    <w:rsid w:val="007D469B"/>
    <w:rPr>
      <w:i/>
      <w:iCs/>
      <w:color w:val="404040" w:themeColor="text1" w:themeTint="BF"/>
    </w:rPr>
  </w:style>
  <w:style w:type="paragraph" w:styleId="Prrafodelista">
    <w:name w:val="List Paragraph"/>
    <w:basedOn w:val="Normal"/>
    <w:uiPriority w:val="34"/>
    <w:qFormat/>
    <w:rsid w:val="007D469B"/>
    <w:pPr>
      <w:ind w:left="720"/>
      <w:contextualSpacing/>
    </w:pPr>
  </w:style>
  <w:style w:type="character" w:styleId="nfasisintenso">
    <w:name w:val="Intense Emphasis"/>
    <w:basedOn w:val="Fuentedeprrafopredeter"/>
    <w:uiPriority w:val="21"/>
    <w:qFormat/>
    <w:rsid w:val="007D469B"/>
    <w:rPr>
      <w:i/>
      <w:iCs/>
      <w:color w:val="2F5496" w:themeColor="accent1" w:themeShade="BF"/>
    </w:rPr>
  </w:style>
  <w:style w:type="paragraph" w:styleId="Citadestacada">
    <w:name w:val="Intense Quote"/>
    <w:basedOn w:val="Normal"/>
    <w:next w:val="Normal"/>
    <w:link w:val="CitadestacadaCar"/>
    <w:uiPriority w:val="30"/>
    <w:qFormat/>
    <w:rsid w:val="007D4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469B"/>
    <w:rPr>
      <w:i/>
      <w:iCs/>
      <w:color w:val="2F5496" w:themeColor="accent1" w:themeShade="BF"/>
    </w:rPr>
  </w:style>
  <w:style w:type="character" w:styleId="Referenciaintensa">
    <w:name w:val="Intense Reference"/>
    <w:basedOn w:val="Fuentedeprrafopredeter"/>
    <w:uiPriority w:val="32"/>
    <w:qFormat/>
    <w:rsid w:val="007D469B"/>
    <w:rPr>
      <w:b/>
      <w:bCs/>
      <w:smallCaps/>
      <w:color w:val="2F5496" w:themeColor="accent1" w:themeShade="BF"/>
      <w:spacing w:val="5"/>
    </w:rPr>
  </w:style>
  <w:style w:type="character" w:styleId="Hipervnculo">
    <w:name w:val="Hyperlink"/>
    <w:basedOn w:val="Fuentedeprrafopredeter"/>
    <w:uiPriority w:val="99"/>
    <w:unhideWhenUsed/>
    <w:rsid w:val="00805EFC"/>
    <w:rPr>
      <w:color w:val="0563C1" w:themeColor="hyperlink"/>
      <w:u w:val="single"/>
    </w:rPr>
  </w:style>
  <w:style w:type="character" w:styleId="Mencinsinresolver">
    <w:name w:val="Unresolved Mention"/>
    <w:basedOn w:val="Fuentedeprrafopredeter"/>
    <w:uiPriority w:val="99"/>
    <w:semiHidden/>
    <w:unhideWhenUsed/>
    <w:rsid w:val="00805EFC"/>
    <w:rPr>
      <w:color w:val="605E5C"/>
      <w:shd w:val="clear" w:color="auto" w:fill="E1DFDD"/>
    </w:rPr>
  </w:style>
  <w:style w:type="paragraph" w:styleId="Revisin">
    <w:name w:val="Revision"/>
    <w:hidden/>
    <w:uiPriority w:val="99"/>
    <w:semiHidden/>
    <w:rsid w:val="003937EB"/>
    <w:pPr>
      <w:spacing w:after="0" w:line="240" w:lineRule="auto"/>
    </w:pPr>
  </w:style>
  <w:style w:type="character" w:styleId="Refdecomentario">
    <w:name w:val="annotation reference"/>
    <w:basedOn w:val="Fuentedeprrafopredeter"/>
    <w:uiPriority w:val="99"/>
    <w:semiHidden/>
    <w:unhideWhenUsed/>
    <w:rsid w:val="00D80FAB"/>
    <w:rPr>
      <w:sz w:val="16"/>
      <w:szCs w:val="16"/>
    </w:rPr>
  </w:style>
  <w:style w:type="paragraph" w:styleId="Textocomentario">
    <w:name w:val="annotation text"/>
    <w:basedOn w:val="Normal"/>
    <w:link w:val="TextocomentarioCar"/>
    <w:uiPriority w:val="99"/>
    <w:unhideWhenUsed/>
    <w:rsid w:val="00D80FAB"/>
    <w:pPr>
      <w:spacing w:line="240" w:lineRule="auto"/>
    </w:pPr>
    <w:rPr>
      <w:sz w:val="20"/>
      <w:szCs w:val="20"/>
    </w:rPr>
  </w:style>
  <w:style w:type="character" w:customStyle="1" w:styleId="TextocomentarioCar">
    <w:name w:val="Texto comentario Car"/>
    <w:basedOn w:val="Fuentedeprrafopredeter"/>
    <w:link w:val="Textocomentario"/>
    <w:uiPriority w:val="99"/>
    <w:rsid w:val="00D80FAB"/>
    <w:rPr>
      <w:sz w:val="20"/>
      <w:szCs w:val="20"/>
    </w:rPr>
  </w:style>
  <w:style w:type="paragraph" w:styleId="Asuntodelcomentario">
    <w:name w:val="annotation subject"/>
    <w:basedOn w:val="Textocomentario"/>
    <w:next w:val="Textocomentario"/>
    <w:link w:val="AsuntodelcomentarioCar"/>
    <w:uiPriority w:val="99"/>
    <w:semiHidden/>
    <w:unhideWhenUsed/>
    <w:rsid w:val="00D80FAB"/>
    <w:rPr>
      <w:b/>
      <w:bCs/>
    </w:rPr>
  </w:style>
  <w:style w:type="character" w:customStyle="1" w:styleId="AsuntodelcomentarioCar">
    <w:name w:val="Asunto del comentario Car"/>
    <w:basedOn w:val="TextocomentarioCar"/>
    <w:link w:val="Asuntodelcomentario"/>
    <w:uiPriority w:val="99"/>
    <w:semiHidden/>
    <w:rsid w:val="00D80F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9347">
      <w:bodyDiv w:val="1"/>
      <w:marLeft w:val="0"/>
      <w:marRight w:val="0"/>
      <w:marTop w:val="0"/>
      <w:marBottom w:val="0"/>
      <w:divBdr>
        <w:top w:val="none" w:sz="0" w:space="0" w:color="auto"/>
        <w:left w:val="none" w:sz="0" w:space="0" w:color="auto"/>
        <w:bottom w:val="none" w:sz="0" w:space="0" w:color="auto"/>
        <w:right w:val="none" w:sz="0" w:space="0" w:color="auto"/>
      </w:divBdr>
    </w:div>
    <w:div w:id="163670246">
      <w:bodyDiv w:val="1"/>
      <w:marLeft w:val="0"/>
      <w:marRight w:val="0"/>
      <w:marTop w:val="0"/>
      <w:marBottom w:val="0"/>
      <w:divBdr>
        <w:top w:val="none" w:sz="0" w:space="0" w:color="auto"/>
        <w:left w:val="none" w:sz="0" w:space="0" w:color="auto"/>
        <w:bottom w:val="none" w:sz="0" w:space="0" w:color="auto"/>
        <w:right w:val="none" w:sz="0" w:space="0" w:color="auto"/>
      </w:divBdr>
      <w:divsChild>
        <w:div w:id="1255942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011663">
      <w:bodyDiv w:val="1"/>
      <w:marLeft w:val="0"/>
      <w:marRight w:val="0"/>
      <w:marTop w:val="0"/>
      <w:marBottom w:val="0"/>
      <w:divBdr>
        <w:top w:val="none" w:sz="0" w:space="0" w:color="auto"/>
        <w:left w:val="none" w:sz="0" w:space="0" w:color="auto"/>
        <w:bottom w:val="none" w:sz="0" w:space="0" w:color="auto"/>
        <w:right w:val="none" w:sz="0" w:space="0" w:color="auto"/>
      </w:divBdr>
    </w:div>
    <w:div w:id="237597153">
      <w:bodyDiv w:val="1"/>
      <w:marLeft w:val="0"/>
      <w:marRight w:val="0"/>
      <w:marTop w:val="0"/>
      <w:marBottom w:val="0"/>
      <w:divBdr>
        <w:top w:val="none" w:sz="0" w:space="0" w:color="auto"/>
        <w:left w:val="none" w:sz="0" w:space="0" w:color="auto"/>
        <w:bottom w:val="none" w:sz="0" w:space="0" w:color="auto"/>
        <w:right w:val="none" w:sz="0" w:space="0" w:color="auto"/>
      </w:divBdr>
    </w:div>
    <w:div w:id="306474322">
      <w:bodyDiv w:val="1"/>
      <w:marLeft w:val="0"/>
      <w:marRight w:val="0"/>
      <w:marTop w:val="0"/>
      <w:marBottom w:val="0"/>
      <w:divBdr>
        <w:top w:val="none" w:sz="0" w:space="0" w:color="auto"/>
        <w:left w:val="none" w:sz="0" w:space="0" w:color="auto"/>
        <w:bottom w:val="none" w:sz="0" w:space="0" w:color="auto"/>
        <w:right w:val="none" w:sz="0" w:space="0" w:color="auto"/>
      </w:divBdr>
    </w:div>
    <w:div w:id="398871460">
      <w:bodyDiv w:val="1"/>
      <w:marLeft w:val="0"/>
      <w:marRight w:val="0"/>
      <w:marTop w:val="0"/>
      <w:marBottom w:val="0"/>
      <w:divBdr>
        <w:top w:val="none" w:sz="0" w:space="0" w:color="auto"/>
        <w:left w:val="none" w:sz="0" w:space="0" w:color="auto"/>
        <w:bottom w:val="none" w:sz="0" w:space="0" w:color="auto"/>
        <w:right w:val="none" w:sz="0" w:space="0" w:color="auto"/>
      </w:divBdr>
    </w:div>
    <w:div w:id="503016150">
      <w:bodyDiv w:val="1"/>
      <w:marLeft w:val="0"/>
      <w:marRight w:val="0"/>
      <w:marTop w:val="0"/>
      <w:marBottom w:val="0"/>
      <w:divBdr>
        <w:top w:val="none" w:sz="0" w:space="0" w:color="auto"/>
        <w:left w:val="none" w:sz="0" w:space="0" w:color="auto"/>
        <w:bottom w:val="none" w:sz="0" w:space="0" w:color="auto"/>
        <w:right w:val="none" w:sz="0" w:space="0" w:color="auto"/>
      </w:divBdr>
    </w:div>
    <w:div w:id="633215739">
      <w:bodyDiv w:val="1"/>
      <w:marLeft w:val="0"/>
      <w:marRight w:val="0"/>
      <w:marTop w:val="0"/>
      <w:marBottom w:val="0"/>
      <w:divBdr>
        <w:top w:val="none" w:sz="0" w:space="0" w:color="auto"/>
        <w:left w:val="none" w:sz="0" w:space="0" w:color="auto"/>
        <w:bottom w:val="none" w:sz="0" w:space="0" w:color="auto"/>
        <w:right w:val="none" w:sz="0" w:space="0" w:color="auto"/>
      </w:divBdr>
      <w:divsChild>
        <w:div w:id="669913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603661">
      <w:bodyDiv w:val="1"/>
      <w:marLeft w:val="0"/>
      <w:marRight w:val="0"/>
      <w:marTop w:val="0"/>
      <w:marBottom w:val="0"/>
      <w:divBdr>
        <w:top w:val="none" w:sz="0" w:space="0" w:color="auto"/>
        <w:left w:val="none" w:sz="0" w:space="0" w:color="auto"/>
        <w:bottom w:val="none" w:sz="0" w:space="0" w:color="auto"/>
        <w:right w:val="none" w:sz="0" w:space="0" w:color="auto"/>
      </w:divBdr>
    </w:div>
    <w:div w:id="912546985">
      <w:bodyDiv w:val="1"/>
      <w:marLeft w:val="0"/>
      <w:marRight w:val="0"/>
      <w:marTop w:val="0"/>
      <w:marBottom w:val="0"/>
      <w:divBdr>
        <w:top w:val="none" w:sz="0" w:space="0" w:color="auto"/>
        <w:left w:val="none" w:sz="0" w:space="0" w:color="auto"/>
        <w:bottom w:val="none" w:sz="0" w:space="0" w:color="auto"/>
        <w:right w:val="none" w:sz="0" w:space="0" w:color="auto"/>
      </w:divBdr>
    </w:div>
    <w:div w:id="918515504">
      <w:bodyDiv w:val="1"/>
      <w:marLeft w:val="0"/>
      <w:marRight w:val="0"/>
      <w:marTop w:val="0"/>
      <w:marBottom w:val="0"/>
      <w:divBdr>
        <w:top w:val="none" w:sz="0" w:space="0" w:color="auto"/>
        <w:left w:val="none" w:sz="0" w:space="0" w:color="auto"/>
        <w:bottom w:val="none" w:sz="0" w:space="0" w:color="auto"/>
        <w:right w:val="none" w:sz="0" w:space="0" w:color="auto"/>
      </w:divBdr>
    </w:div>
    <w:div w:id="951475320">
      <w:bodyDiv w:val="1"/>
      <w:marLeft w:val="0"/>
      <w:marRight w:val="0"/>
      <w:marTop w:val="0"/>
      <w:marBottom w:val="0"/>
      <w:divBdr>
        <w:top w:val="none" w:sz="0" w:space="0" w:color="auto"/>
        <w:left w:val="none" w:sz="0" w:space="0" w:color="auto"/>
        <w:bottom w:val="none" w:sz="0" w:space="0" w:color="auto"/>
        <w:right w:val="none" w:sz="0" w:space="0" w:color="auto"/>
      </w:divBdr>
    </w:div>
    <w:div w:id="1101561573">
      <w:bodyDiv w:val="1"/>
      <w:marLeft w:val="0"/>
      <w:marRight w:val="0"/>
      <w:marTop w:val="0"/>
      <w:marBottom w:val="0"/>
      <w:divBdr>
        <w:top w:val="none" w:sz="0" w:space="0" w:color="auto"/>
        <w:left w:val="none" w:sz="0" w:space="0" w:color="auto"/>
        <w:bottom w:val="none" w:sz="0" w:space="0" w:color="auto"/>
        <w:right w:val="none" w:sz="0" w:space="0" w:color="auto"/>
      </w:divBdr>
    </w:div>
    <w:div w:id="1155024271">
      <w:bodyDiv w:val="1"/>
      <w:marLeft w:val="0"/>
      <w:marRight w:val="0"/>
      <w:marTop w:val="0"/>
      <w:marBottom w:val="0"/>
      <w:divBdr>
        <w:top w:val="none" w:sz="0" w:space="0" w:color="auto"/>
        <w:left w:val="none" w:sz="0" w:space="0" w:color="auto"/>
        <w:bottom w:val="none" w:sz="0" w:space="0" w:color="auto"/>
        <w:right w:val="none" w:sz="0" w:space="0" w:color="auto"/>
      </w:divBdr>
    </w:div>
    <w:div w:id="1383603208">
      <w:bodyDiv w:val="1"/>
      <w:marLeft w:val="0"/>
      <w:marRight w:val="0"/>
      <w:marTop w:val="0"/>
      <w:marBottom w:val="0"/>
      <w:divBdr>
        <w:top w:val="none" w:sz="0" w:space="0" w:color="auto"/>
        <w:left w:val="none" w:sz="0" w:space="0" w:color="auto"/>
        <w:bottom w:val="none" w:sz="0" w:space="0" w:color="auto"/>
        <w:right w:val="none" w:sz="0" w:space="0" w:color="auto"/>
      </w:divBdr>
      <w:divsChild>
        <w:div w:id="179675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979800">
      <w:bodyDiv w:val="1"/>
      <w:marLeft w:val="0"/>
      <w:marRight w:val="0"/>
      <w:marTop w:val="0"/>
      <w:marBottom w:val="0"/>
      <w:divBdr>
        <w:top w:val="none" w:sz="0" w:space="0" w:color="auto"/>
        <w:left w:val="none" w:sz="0" w:space="0" w:color="auto"/>
        <w:bottom w:val="none" w:sz="0" w:space="0" w:color="auto"/>
        <w:right w:val="none" w:sz="0" w:space="0" w:color="auto"/>
      </w:divBdr>
    </w:div>
    <w:div w:id="172845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gali.candia@glencore.com.pe" TargetMode="External"/><Relationship Id="rId3" Type="http://schemas.openxmlformats.org/officeDocument/2006/relationships/styles" Target="styles.xml"/><Relationship Id="rId7" Type="http://schemas.openxmlformats.org/officeDocument/2006/relationships/hyperlink" Target="mailto:geraldine.quispe@glencore.com.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uilio.quispe@glencore.com.p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F65D1-7977-4CD1-B9E0-3CF7384BD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1116</Words>
  <Characters>6144</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Quispe, Geraldine L (Tintaya - PE)</dc:creator>
  <cp:keywords/>
  <dc:description/>
  <cp:lastModifiedBy>Quispe, Geraldine L (Tintaya - PE)</cp:lastModifiedBy>
  <cp:revision>2</cp:revision>
  <dcterms:created xsi:type="dcterms:W3CDTF">2025-04-23T17:29:00Z</dcterms:created>
  <dcterms:modified xsi:type="dcterms:W3CDTF">2025-04-23T17:29:00Z</dcterms:modified>
</cp:coreProperties>
</file>