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E0CB" w14:textId="56B63323" w:rsidR="00A5761F" w:rsidRPr="000A238C" w:rsidRDefault="003E1C6A" w:rsidP="000A238C">
      <w:pPr>
        <w:pBdr>
          <w:bottom w:val="single" w:sz="12" w:space="1" w:color="auto"/>
        </w:pBdr>
        <w:spacing w:line="360" w:lineRule="auto"/>
        <w:jc w:val="center"/>
        <w:rPr>
          <w:rFonts w:ascii="Arial" w:hAnsi="Arial" w:cs="Arial"/>
          <w:b/>
          <w:bCs/>
          <w:lang w:val="es-PE"/>
        </w:rPr>
      </w:pPr>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0A238C">
      <w:pPr>
        <w:spacing w:after="0" w:line="360" w:lineRule="auto"/>
        <w:jc w:val="center"/>
        <w:rPr>
          <w:rFonts w:ascii="Arial" w:hAnsi="Arial" w:cs="Arial"/>
          <w:b/>
          <w:lang w:val="es-PE"/>
        </w:rPr>
      </w:pPr>
      <w:r>
        <w:rPr>
          <w:rFonts w:ascii="Arial" w:hAnsi="Arial" w:cs="Arial"/>
          <w:b/>
          <w:lang w:val="es-PE"/>
        </w:rPr>
        <w:t>Información</w:t>
      </w:r>
    </w:p>
    <w:p w14:paraId="74949FAD" w14:textId="7439E3E4" w:rsidR="00A5761F" w:rsidRPr="000A238C" w:rsidRDefault="00A5761F" w:rsidP="000A238C">
      <w:pPr>
        <w:spacing w:after="0" w:line="360" w:lineRule="auto"/>
        <w:rPr>
          <w:rFonts w:ascii="Arial" w:hAnsi="Arial" w:cs="Arial"/>
          <w:bCs/>
          <w:lang w:val="es-PE"/>
        </w:rPr>
      </w:pPr>
      <w:r w:rsidRPr="000A238C">
        <w:rPr>
          <w:rFonts w:ascii="Arial" w:hAnsi="Arial" w:cs="Arial"/>
          <w:b/>
          <w:lang w:val="es-PE"/>
        </w:rPr>
        <w:t>Título</w:t>
      </w:r>
      <w:r w:rsidR="000F277F" w:rsidRPr="000A238C">
        <w:rPr>
          <w:rFonts w:ascii="Arial" w:hAnsi="Arial" w:cs="Arial"/>
          <w:b/>
          <w:lang w:val="es-PE"/>
        </w:rPr>
        <w:t xml:space="preserve"> del trabajo</w:t>
      </w:r>
      <w:r w:rsidRPr="000A238C">
        <w:rPr>
          <w:rFonts w:ascii="Arial" w:hAnsi="Arial" w:cs="Arial"/>
          <w:b/>
          <w:lang w:val="es-PE"/>
        </w:rPr>
        <w:t xml:space="preserve">: </w:t>
      </w:r>
      <w:r w:rsidR="00744720" w:rsidRPr="00744720">
        <w:rPr>
          <w:rFonts w:ascii="Arial" w:hAnsi="Arial" w:cs="Arial"/>
          <w:bCs/>
          <w:lang w:val="es-PE"/>
        </w:rPr>
        <w:t>Reducción de la discrepancia en la contabilidad metalúrgica de la producción de oro en Newmont Yanacocha</w:t>
      </w:r>
    </w:p>
    <w:p w14:paraId="7DD33A35" w14:textId="49A19E34" w:rsidR="000577E4" w:rsidRPr="000A238C" w:rsidRDefault="000577E4" w:rsidP="000A238C">
      <w:pPr>
        <w:spacing w:after="0" w:line="360" w:lineRule="auto"/>
        <w:rPr>
          <w:rFonts w:ascii="Arial" w:hAnsi="Arial" w:cs="Arial"/>
          <w:lang w:val="es-PE"/>
        </w:rPr>
      </w:pPr>
      <w:r w:rsidRPr="000A238C">
        <w:rPr>
          <w:rFonts w:ascii="Arial" w:hAnsi="Arial" w:cs="Arial"/>
          <w:b/>
          <w:bCs/>
          <w:lang w:val="es-PE"/>
        </w:rPr>
        <w:t>Categoría</w:t>
      </w:r>
      <w:r w:rsidRPr="000A238C">
        <w:rPr>
          <w:rFonts w:ascii="Arial" w:hAnsi="Arial" w:cs="Arial"/>
          <w:lang w:val="es-PE"/>
        </w:rPr>
        <w:t xml:space="preserve">: </w:t>
      </w:r>
      <w:r w:rsidR="002624C8" w:rsidRPr="002624C8">
        <w:rPr>
          <w:rFonts w:ascii="Arial" w:hAnsi="Arial" w:cs="Arial"/>
          <w:lang w:val="es-PE"/>
        </w:rPr>
        <w:t>Procesamiento de Minerales y Metalurgia Extractiva</w:t>
      </w:r>
    </w:p>
    <w:p w14:paraId="438A99A0" w14:textId="628D51FC" w:rsidR="000A238C" w:rsidRPr="000A238C" w:rsidRDefault="000A238C" w:rsidP="000A238C">
      <w:pPr>
        <w:spacing w:after="0" w:line="360" w:lineRule="auto"/>
        <w:rPr>
          <w:rFonts w:ascii="Arial" w:hAnsi="Arial" w:cs="Arial"/>
          <w:lang w:val="es-PE"/>
        </w:rPr>
      </w:pPr>
      <w:r>
        <w:rPr>
          <w:rFonts w:ascii="Arial" w:hAnsi="Arial" w:cs="Arial"/>
          <w:b/>
          <w:bCs/>
          <w:lang w:val="es-PE"/>
        </w:rPr>
        <w:t>Tema</w:t>
      </w:r>
      <w:r w:rsidRPr="000A238C">
        <w:rPr>
          <w:rFonts w:ascii="Arial" w:hAnsi="Arial" w:cs="Arial"/>
          <w:lang w:val="es-PE"/>
        </w:rPr>
        <w:t xml:space="preserve">: </w:t>
      </w:r>
      <w:r w:rsidR="0029444D" w:rsidRPr="0029444D">
        <w:rPr>
          <w:rFonts w:ascii="Arial" w:hAnsi="Arial" w:cs="Arial"/>
          <w:lang w:val="es-PE"/>
        </w:rPr>
        <w:t>Optimización de operaciones y procesos en plantas</w:t>
      </w:r>
    </w:p>
    <w:p w14:paraId="42AF2A68" w14:textId="54AFD499" w:rsidR="00C31A66" w:rsidRPr="000A238C" w:rsidRDefault="00C31A66" w:rsidP="000A238C">
      <w:pPr>
        <w:spacing w:after="0" w:line="360" w:lineRule="auto"/>
        <w:rPr>
          <w:rFonts w:ascii="Arial" w:hAnsi="Arial" w:cs="Arial"/>
          <w:b/>
          <w:bCs/>
          <w:lang w:val="es-PE"/>
        </w:rPr>
      </w:pPr>
      <w:r w:rsidRPr="000A238C">
        <w:rPr>
          <w:rFonts w:ascii="Arial" w:hAnsi="Arial" w:cs="Arial"/>
          <w:b/>
          <w:bCs/>
          <w:lang w:val="es-PE"/>
        </w:rPr>
        <w:t>Datos del autor(es):</w:t>
      </w:r>
    </w:p>
    <w:p w14:paraId="2A062639" w14:textId="67F74EF6" w:rsidR="00501E63" w:rsidRPr="00501E63" w:rsidRDefault="00501E63" w:rsidP="004203A0">
      <w:pPr>
        <w:pStyle w:val="ListParagraph"/>
        <w:numPr>
          <w:ilvl w:val="0"/>
          <w:numId w:val="8"/>
        </w:numPr>
        <w:pBdr>
          <w:bottom w:val="single" w:sz="12" w:space="1" w:color="auto"/>
        </w:pBdr>
        <w:spacing w:after="0" w:line="360" w:lineRule="auto"/>
        <w:ind w:left="284" w:hanging="284"/>
        <w:rPr>
          <w:rFonts w:ascii="Arial" w:hAnsi="Arial" w:cs="Arial"/>
          <w:lang w:val="es-PE"/>
        </w:rPr>
      </w:pPr>
      <w:r w:rsidRPr="00501E63">
        <w:rPr>
          <w:rFonts w:ascii="Arial" w:hAnsi="Arial" w:cs="Arial"/>
          <w:lang w:val="es-PE"/>
        </w:rPr>
        <w:t xml:space="preserve">Danitza Torres Medina, Newmont - Yanacocha, Ingeniero de Producción, </w:t>
      </w:r>
      <w:hyperlink r:id="rId8" w:history="1">
        <w:r w:rsidR="004203A0" w:rsidRPr="00723BFB">
          <w:rPr>
            <w:rStyle w:val="Hyperlink"/>
            <w:rFonts w:ascii="Arial" w:hAnsi="Arial" w:cs="Arial"/>
            <w:lang w:val="es-PE"/>
          </w:rPr>
          <w:t>danitza.torres01@newmont.com</w:t>
        </w:r>
      </w:hyperlink>
      <w:r w:rsidRPr="00501E63">
        <w:rPr>
          <w:rFonts w:ascii="Arial" w:hAnsi="Arial" w:cs="Arial"/>
          <w:lang w:val="es-PE"/>
        </w:rPr>
        <w:t>, 976357377.</w:t>
      </w:r>
    </w:p>
    <w:p w14:paraId="08347284" w14:textId="191FFB0F" w:rsidR="00C31A66" w:rsidRPr="004203A0" w:rsidRDefault="00501E63" w:rsidP="004203A0">
      <w:pPr>
        <w:pStyle w:val="ListParagraph"/>
        <w:numPr>
          <w:ilvl w:val="0"/>
          <w:numId w:val="8"/>
        </w:numPr>
        <w:pBdr>
          <w:bottom w:val="single" w:sz="12" w:space="1" w:color="auto"/>
        </w:pBdr>
        <w:spacing w:after="0" w:line="360" w:lineRule="auto"/>
        <w:ind w:left="284" w:hanging="284"/>
        <w:rPr>
          <w:rFonts w:ascii="Arial" w:hAnsi="Arial" w:cs="Arial"/>
          <w:b/>
          <w:bCs/>
          <w:lang w:val="es-PE"/>
        </w:rPr>
      </w:pPr>
      <w:r w:rsidRPr="004203A0">
        <w:rPr>
          <w:rFonts w:ascii="Arial" w:hAnsi="Arial" w:cs="Arial"/>
          <w:lang w:val="es-PE"/>
        </w:rPr>
        <w:t>Benito Quiñones Kong, Newmont – Yanacocha, Superintendente de Operaciones Procesos,</w:t>
      </w:r>
      <w:r w:rsidR="004203A0">
        <w:rPr>
          <w:rFonts w:ascii="Arial" w:hAnsi="Arial" w:cs="Arial"/>
          <w:lang w:val="es-PE"/>
        </w:rPr>
        <w:t xml:space="preserve"> </w:t>
      </w:r>
      <w:hyperlink r:id="rId9" w:history="1">
        <w:r w:rsidR="004203A0" w:rsidRPr="00723BFB">
          <w:rPr>
            <w:rStyle w:val="Hyperlink"/>
            <w:rFonts w:ascii="Arial" w:hAnsi="Arial" w:cs="Arial"/>
            <w:lang w:val="es-PE"/>
          </w:rPr>
          <w:t>Benito.quinones@newmont.com</w:t>
        </w:r>
      </w:hyperlink>
      <w:r w:rsidRPr="004203A0">
        <w:rPr>
          <w:rFonts w:ascii="Arial" w:hAnsi="Arial" w:cs="Arial"/>
          <w:lang w:val="es-PE"/>
        </w:rPr>
        <w:t>, 976228370</w:t>
      </w:r>
      <w:r w:rsidR="004203A0">
        <w:rPr>
          <w:rFonts w:ascii="Arial" w:hAnsi="Arial" w:cs="Arial"/>
          <w:lang w:val="es-PE"/>
        </w:rPr>
        <w:t>.</w:t>
      </w:r>
    </w:p>
    <w:p w14:paraId="78CD0140" w14:textId="77777777" w:rsidR="000A238C" w:rsidRDefault="000A238C" w:rsidP="000A238C">
      <w:pPr>
        <w:spacing w:after="0" w:line="360" w:lineRule="auto"/>
        <w:jc w:val="center"/>
        <w:rPr>
          <w:rFonts w:ascii="Arial" w:hAnsi="Arial" w:cs="Arial"/>
          <w:b/>
          <w:lang w:val="es-PE"/>
        </w:rPr>
      </w:pPr>
    </w:p>
    <w:p w14:paraId="18F45805" w14:textId="649665D1" w:rsidR="000A238C" w:rsidRPr="000A238C" w:rsidRDefault="000A238C" w:rsidP="000A238C">
      <w:pPr>
        <w:spacing w:after="0" w:line="360" w:lineRule="auto"/>
        <w:jc w:val="center"/>
        <w:rPr>
          <w:rFonts w:ascii="Arial" w:hAnsi="Arial" w:cs="Arial"/>
          <w:b/>
          <w:lang w:val="es-PE"/>
        </w:rPr>
      </w:pPr>
      <w:r>
        <w:rPr>
          <w:rFonts w:ascii="Arial" w:hAnsi="Arial" w:cs="Arial"/>
          <w:b/>
          <w:lang w:val="es-PE"/>
        </w:rPr>
        <w:t>Contenido</w:t>
      </w:r>
    </w:p>
    <w:p w14:paraId="08863C1C" w14:textId="13A89C7C" w:rsidR="007F0CC2" w:rsidRPr="007F0CC2" w:rsidRDefault="007E02AF" w:rsidP="007F0CC2">
      <w:pPr>
        <w:spacing w:after="0" w:line="360" w:lineRule="auto"/>
        <w:ind w:firstLine="720"/>
        <w:jc w:val="both"/>
        <w:rPr>
          <w:rFonts w:ascii="Arial" w:hAnsi="Arial" w:cs="Arial"/>
          <w:lang w:val="es-PE"/>
        </w:rPr>
      </w:pPr>
      <w:r w:rsidRPr="007E02AF">
        <w:rPr>
          <w:rFonts w:ascii="Arial" w:hAnsi="Arial" w:cs="Arial"/>
          <w:lang w:val="es-PE"/>
        </w:rPr>
        <w:t>Una contabilidad metalúrgica eficiente es un desafío clave en la minería. Proporciona información crucial sobre el desempeño, recuperación y balances de materiales, identificando oportunidades de mejora y valor para el negocio. Detectar discrepancias permite implementar mejoras continuas para mayor eficiencia, rentabilidad y sostenibilidad. Newmont Yanacocha estableció márgenes de control de discrepancias de oro de ±10% mensual, ±5% trimestral y ±3% anual para mantenerse dentro de límites aceptables.</w:t>
      </w:r>
    </w:p>
    <w:p w14:paraId="5DF48BF1" w14:textId="7966BF64" w:rsidR="00F84A77" w:rsidRPr="000A238C" w:rsidRDefault="00DC38DD" w:rsidP="00F84A77">
      <w:pPr>
        <w:spacing w:before="120" w:after="0" w:line="360" w:lineRule="auto"/>
        <w:jc w:val="both"/>
        <w:rPr>
          <w:rFonts w:ascii="Arial" w:hAnsi="Arial" w:cs="Arial"/>
          <w:b/>
          <w:bCs/>
          <w:lang w:val="es-PE"/>
        </w:rPr>
      </w:pPr>
      <w:r>
        <w:rPr>
          <w:rFonts w:ascii="Arial" w:hAnsi="Arial" w:cs="Arial"/>
          <w:b/>
          <w:bCs/>
          <w:lang w:val="es-PE"/>
        </w:rPr>
        <w:t>Descripción de la mejora</w:t>
      </w:r>
    </w:p>
    <w:p w14:paraId="1C1252F7" w14:textId="7AB2FBF5" w:rsidR="00463FBE" w:rsidRDefault="00624872" w:rsidP="00463FBE">
      <w:pPr>
        <w:spacing w:after="0" w:line="360" w:lineRule="auto"/>
        <w:ind w:firstLine="720"/>
        <w:jc w:val="both"/>
        <w:rPr>
          <w:rFonts w:ascii="Arial" w:hAnsi="Arial" w:cs="Arial"/>
          <w:lang w:val="es-PE"/>
        </w:rPr>
      </w:pPr>
      <w:r>
        <w:rPr>
          <w:rFonts w:ascii="Arial" w:hAnsi="Arial" w:cs="Arial"/>
          <w:noProof/>
          <w:lang w:val="es-PE"/>
        </w:rPr>
        <w:drawing>
          <wp:anchor distT="0" distB="0" distL="114300" distR="114300" simplePos="0" relativeHeight="251658240" behindDoc="0" locked="0" layoutInCell="1" allowOverlap="1" wp14:anchorId="3E55BAA8" wp14:editId="127C10CC">
            <wp:simplePos x="0" y="0"/>
            <wp:positionH relativeFrom="column">
              <wp:posOffset>2168525</wp:posOffset>
            </wp:positionH>
            <wp:positionV relativeFrom="paragraph">
              <wp:posOffset>1205230</wp:posOffset>
            </wp:positionV>
            <wp:extent cx="4220845" cy="2369185"/>
            <wp:effectExtent l="0" t="0" r="8255" b="0"/>
            <wp:wrapSquare wrapText="bothSides"/>
            <wp:docPr id="190449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0845" cy="2369185"/>
                    </a:xfrm>
                    <a:prstGeom prst="rect">
                      <a:avLst/>
                    </a:prstGeom>
                    <a:noFill/>
                  </pic:spPr>
                </pic:pic>
              </a:graphicData>
            </a:graphic>
            <wp14:sizeRelH relativeFrom="margin">
              <wp14:pctWidth>0</wp14:pctWidth>
            </wp14:sizeRelH>
            <wp14:sizeRelV relativeFrom="margin">
              <wp14:pctHeight>0</wp14:pctHeight>
            </wp14:sizeRelV>
          </wp:anchor>
        </w:drawing>
      </w:r>
      <w:r w:rsidR="00611B7A" w:rsidRPr="00611B7A">
        <w:rPr>
          <w:rFonts w:ascii="Arial" w:hAnsi="Arial" w:cs="Arial"/>
          <w:lang w:val="es-PE"/>
        </w:rPr>
        <w:t>Este estudio analiza todas las operaciones para la obtención de oro en Newmont Yanacocha, desde la entrada del mineral hasta la salida de productos y desechos. La identificación de discrepancias y la correcta gestión contable son esenciales para optimizar la eficiencia operativa.</w:t>
      </w:r>
      <w:r w:rsidR="00611B7A">
        <w:rPr>
          <w:rFonts w:ascii="Arial" w:hAnsi="Arial" w:cs="Arial"/>
          <w:lang w:val="es-PE"/>
        </w:rPr>
        <w:t xml:space="preserve"> </w:t>
      </w:r>
      <w:r w:rsidR="00C37594">
        <w:rPr>
          <w:rFonts w:ascii="Arial" w:hAnsi="Arial" w:cs="Arial"/>
          <w:lang w:val="es-PE"/>
        </w:rPr>
        <w:t>L</w:t>
      </w:r>
      <w:r w:rsidR="00611B7A" w:rsidRPr="00611B7A">
        <w:rPr>
          <w:rFonts w:ascii="Arial" w:hAnsi="Arial" w:cs="Arial"/>
          <w:lang w:val="es-PE"/>
        </w:rPr>
        <w:t>a contabilidad metalúrgica es especialmente compleja debido a la cantidad de entradas y salidas que deben ser monitoreadas para elaborar un balance de materiales completo. En la Figura 1, se presenta un diagrama de flujo del proceso de contabilidad metalúrgica, donde se señalan los principales puntos de medición de onzas de oro y los cálculos de producción correspondientes que se realizan en cada planta de Carbón en Columnas (CIC) y en la planta Merrill Crowe.</w:t>
      </w:r>
      <w:r w:rsidR="00463FBE">
        <w:rPr>
          <w:rFonts w:ascii="Arial" w:hAnsi="Arial" w:cs="Arial"/>
          <w:lang w:val="es-PE"/>
        </w:rPr>
        <w:t xml:space="preserve"> </w:t>
      </w:r>
    </w:p>
    <w:p w14:paraId="22B8CDC0" w14:textId="5A8E319E" w:rsidR="00891E4F" w:rsidRPr="00891E4F" w:rsidRDefault="00891E4F" w:rsidP="00463FBE">
      <w:pPr>
        <w:spacing w:after="0" w:line="360" w:lineRule="auto"/>
        <w:ind w:firstLine="720"/>
        <w:jc w:val="both"/>
        <w:rPr>
          <w:rFonts w:ascii="Arial" w:hAnsi="Arial" w:cs="Arial"/>
          <w:lang w:val="es-PE"/>
        </w:rPr>
      </w:pPr>
      <w:r w:rsidRPr="00891E4F">
        <w:rPr>
          <w:rFonts w:ascii="Arial" w:hAnsi="Arial" w:cs="Arial"/>
          <w:lang w:val="es-PE"/>
        </w:rPr>
        <w:t>Figura 1. Diagrama de flujo contabilidad metalúrgica de Newmont Yanacocha</w:t>
      </w:r>
    </w:p>
    <w:p w14:paraId="26B9F274" w14:textId="77777777" w:rsidR="00891E4F" w:rsidRPr="00891E4F" w:rsidRDefault="00891E4F" w:rsidP="00891E4F">
      <w:pPr>
        <w:spacing w:after="0" w:line="360" w:lineRule="auto"/>
        <w:ind w:firstLine="720"/>
        <w:jc w:val="both"/>
        <w:rPr>
          <w:rFonts w:ascii="Arial" w:hAnsi="Arial" w:cs="Arial"/>
          <w:lang w:val="es-PE"/>
        </w:rPr>
      </w:pPr>
      <w:r w:rsidRPr="00891E4F">
        <w:rPr>
          <w:rFonts w:ascii="Arial" w:hAnsi="Arial" w:cs="Arial"/>
          <w:lang w:val="es-PE"/>
        </w:rPr>
        <w:lastRenderedPageBreak/>
        <w:t>Las estadísticas operativas relacionadas con la discrepancia real en periodos de un mes, tres meses y un año entre 2017 y 2024 se presentan en la Figura 2. A partir de mayo de 2022, se implementaron mejoras en los procesos de contabilidad metalúrgica.</w:t>
      </w:r>
    </w:p>
    <w:p w14:paraId="46970C5B" w14:textId="77718F2B" w:rsidR="00891E4F" w:rsidRPr="00891E4F" w:rsidRDefault="00847F71" w:rsidP="00867EF3">
      <w:pPr>
        <w:spacing w:after="0" w:line="360" w:lineRule="auto"/>
        <w:jc w:val="center"/>
        <w:rPr>
          <w:rFonts w:ascii="Arial" w:hAnsi="Arial" w:cs="Arial"/>
          <w:lang w:val="es-PE"/>
        </w:rPr>
      </w:pPr>
      <w:r>
        <w:rPr>
          <w:rFonts w:ascii="Arial" w:hAnsi="Arial" w:cs="Arial"/>
          <w:noProof/>
          <w:lang w:val="es-PE"/>
        </w:rPr>
        <w:drawing>
          <wp:inline distT="0" distB="0" distL="0" distR="0" wp14:anchorId="04C3231B" wp14:editId="251FD773">
            <wp:extent cx="4606950" cy="2393343"/>
            <wp:effectExtent l="0" t="0" r="3175" b="6985"/>
            <wp:docPr id="1786102878"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02878" name="Picture 1" descr="A graph of a li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38059" cy="2409504"/>
                    </a:xfrm>
                    <a:prstGeom prst="rect">
                      <a:avLst/>
                    </a:prstGeom>
                    <a:noFill/>
                  </pic:spPr>
                </pic:pic>
              </a:graphicData>
            </a:graphic>
          </wp:inline>
        </w:drawing>
      </w:r>
    </w:p>
    <w:p w14:paraId="2BC1CC16" w14:textId="77777777" w:rsidR="00891E4F" w:rsidRPr="00891E4F" w:rsidRDefault="00891E4F" w:rsidP="00847F71">
      <w:pPr>
        <w:spacing w:after="0" w:line="360" w:lineRule="auto"/>
        <w:jc w:val="center"/>
        <w:rPr>
          <w:rFonts w:ascii="Arial" w:hAnsi="Arial" w:cs="Arial"/>
          <w:lang w:val="es-PE"/>
        </w:rPr>
      </w:pPr>
      <w:r w:rsidRPr="00891E4F">
        <w:rPr>
          <w:rFonts w:ascii="Arial" w:hAnsi="Arial" w:cs="Arial"/>
          <w:lang w:val="es-PE"/>
        </w:rPr>
        <w:t>Figura 2. Discrepancia real para un mes, 3 meses y 12 meses</w:t>
      </w:r>
    </w:p>
    <w:p w14:paraId="12F1DDA5" w14:textId="5D395140" w:rsidR="009C08CC" w:rsidRPr="006652C0" w:rsidRDefault="006652C0" w:rsidP="006652C0">
      <w:pPr>
        <w:spacing w:after="0" w:line="360" w:lineRule="auto"/>
        <w:ind w:firstLine="720"/>
        <w:jc w:val="both"/>
        <w:rPr>
          <w:rFonts w:ascii="Arial" w:hAnsi="Arial" w:cs="Arial"/>
          <w:lang w:val="es-PE"/>
        </w:rPr>
      </w:pPr>
      <w:r w:rsidRPr="006652C0">
        <w:rPr>
          <w:rFonts w:ascii="Arial" w:hAnsi="Arial" w:cs="Arial"/>
          <w:lang w:val="es-PE"/>
        </w:rPr>
        <w:t>El análisis muestra que las recientes mejoras han reducido la discrepancia entre la producción teórica y real de onzas de oro, aunque aún existen oportunidades de optimización. Para minimizar estas diferencias, se propone un enfoque integral que incluya: validación periódica de datos, mejor control del inventario, uso de tecnologías de monitoreo continuo, mantenimiento y calibración adecuada de equipos, y capacitación del personal operativo.</w:t>
      </w:r>
    </w:p>
    <w:p w14:paraId="189CBFD0" w14:textId="64E07B95" w:rsidR="00C236B5" w:rsidRPr="009C08CC" w:rsidRDefault="00C236B5" w:rsidP="009C08CC">
      <w:pPr>
        <w:pBdr>
          <w:bottom w:val="single" w:sz="12" w:space="1" w:color="auto"/>
        </w:pBdr>
        <w:spacing w:before="120" w:after="0" w:line="360" w:lineRule="auto"/>
        <w:jc w:val="both"/>
        <w:rPr>
          <w:rFonts w:ascii="Arial" w:hAnsi="Arial" w:cs="Arial"/>
          <w:b/>
          <w:bCs/>
          <w:lang w:val="es-PE"/>
        </w:rPr>
      </w:pPr>
      <w:r w:rsidRPr="009C08CC">
        <w:rPr>
          <w:rFonts w:ascii="Arial" w:hAnsi="Arial" w:cs="Arial"/>
          <w:b/>
          <w:bCs/>
          <w:lang w:val="es-PE"/>
        </w:rPr>
        <w:t>Resultados</w:t>
      </w:r>
    </w:p>
    <w:p w14:paraId="73F9972A" w14:textId="6B8F6475" w:rsidR="00ED6269" w:rsidRPr="00ED6269" w:rsidRDefault="00A01A4E" w:rsidP="00ED6269">
      <w:pPr>
        <w:pBdr>
          <w:bottom w:val="single" w:sz="12" w:space="1" w:color="auto"/>
        </w:pBdr>
        <w:spacing w:after="0" w:line="360" w:lineRule="auto"/>
        <w:ind w:firstLine="720"/>
        <w:jc w:val="both"/>
        <w:rPr>
          <w:rFonts w:ascii="Arial" w:hAnsi="Arial" w:cs="Arial"/>
          <w:lang w:val="es-PE"/>
        </w:rPr>
      </w:pPr>
      <w:r w:rsidRPr="00A01A4E">
        <w:rPr>
          <w:rFonts w:ascii="Arial" w:hAnsi="Arial" w:cs="Arial"/>
          <w:lang w:val="es-PE"/>
        </w:rPr>
        <w:t xml:space="preserve">    Los resultados experimentales, analizados mediante la desviación estándar de las discrepancias metalúrgicas, muestran una mejora significativa tras las últimas implementaciones. Como se observa en la Figura 3, las discrepancias mensuales se alinearon con el límite corporativo de ±10%, con desviaciones estándar de +5.8% y -6.6%, reflejando un mejor desempeño reciente.</w:t>
      </w:r>
    </w:p>
    <w:p w14:paraId="49290FD5" w14:textId="32E3F018" w:rsidR="00ED6269" w:rsidRPr="00ED6269" w:rsidRDefault="008F119C" w:rsidP="008F119C">
      <w:pPr>
        <w:pBdr>
          <w:bottom w:val="single" w:sz="12" w:space="1" w:color="auto"/>
        </w:pBdr>
        <w:spacing w:after="0" w:line="360" w:lineRule="auto"/>
        <w:jc w:val="center"/>
        <w:rPr>
          <w:rFonts w:ascii="Arial" w:hAnsi="Arial" w:cs="Arial"/>
          <w:lang w:val="es-PE"/>
        </w:rPr>
      </w:pPr>
      <w:r>
        <w:rPr>
          <w:rFonts w:ascii="Arial" w:hAnsi="Arial" w:cs="Arial"/>
          <w:noProof/>
          <w:lang w:val="es-PE"/>
        </w:rPr>
        <w:drawing>
          <wp:inline distT="0" distB="0" distL="0" distR="0" wp14:anchorId="3B27AF4A" wp14:editId="7C7C8D29">
            <wp:extent cx="4562856" cy="2414016"/>
            <wp:effectExtent l="0" t="0" r="0" b="5715"/>
            <wp:docPr id="195343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62856" cy="2414016"/>
                    </a:xfrm>
                    <a:prstGeom prst="rect">
                      <a:avLst/>
                    </a:prstGeom>
                    <a:noFill/>
                  </pic:spPr>
                </pic:pic>
              </a:graphicData>
            </a:graphic>
          </wp:inline>
        </w:drawing>
      </w:r>
    </w:p>
    <w:p w14:paraId="475135AC" w14:textId="77777777" w:rsidR="00ED6269" w:rsidRPr="00ED6269" w:rsidRDefault="00ED6269" w:rsidP="008F119C">
      <w:pPr>
        <w:pBdr>
          <w:bottom w:val="single" w:sz="12" w:space="1" w:color="auto"/>
        </w:pBdr>
        <w:spacing w:after="0" w:line="360" w:lineRule="auto"/>
        <w:jc w:val="center"/>
        <w:rPr>
          <w:rFonts w:ascii="Arial" w:hAnsi="Arial" w:cs="Arial"/>
          <w:lang w:val="es-PE"/>
        </w:rPr>
      </w:pPr>
      <w:r w:rsidRPr="00ED6269">
        <w:rPr>
          <w:rFonts w:ascii="Arial" w:hAnsi="Arial" w:cs="Arial"/>
          <w:lang w:val="es-PE"/>
        </w:rPr>
        <w:t>Figura 3. Distribución de datos para la discrepancia de 1 mes</w:t>
      </w:r>
    </w:p>
    <w:p w14:paraId="1184D26A" w14:textId="77A49BE1" w:rsidR="00ED6269" w:rsidRPr="00ED6269" w:rsidRDefault="00B22BAE" w:rsidP="00ED6269">
      <w:pPr>
        <w:pBdr>
          <w:bottom w:val="single" w:sz="12" w:space="1" w:color="auto"/>
        </w:pBdr>
        <w:spacing w:after="0" w:line="360" w:lineRule="auto"/>
        <w:ind w:firstLine="720"/>
        <w:jc w:val="both"/>
        <w:rPr>
          <w:rFonts w:ascii="Arial" w:hAnsi="Arial" w:cs="Arial"/>
          <w:lang w:val="es-PE"/>
        </w:rPr>
      </w:pPr>
      <w:r w:rsidRPr="00B22BAE">
        <w:rPr>
          <w:rFonts w:ascii="Arial" w:hAnsi="Arial" w:cs="Arial"/>
          <w:lang w:val="es-PE"/>
        </w:rPr>
        <w:lastRenderedPageBreak/>
        <w:t>La Figura 4 muestra que, tras los cambios implementados, las discrepancias trimestrales se ajustaron al límite corporativo de ±5%, con desviaciones estándar de +4.7% y -5.6%, evidenciando una mejora en los últimos años.</w:t>
      </w:r>
    </w:p>
    <w:p w14:paraId="2F88F890" w14:textId="48EB1692" w:rsidR="00ED6269" w:rsidRPr="00ED6269" w:rsidRDefault="00526E60" w:rsidP="00526E60">
      <w:pPr>
        <w:pBdr>
          <w:bottom w:val="single" w:sz="12" w:space="1" w:color="auto"/>
        </w:pBdr>
        <w:spacing w:after="0" w:line="360" w:lineRule="auto"/>
        <w:jc w:val="center"/>
        <w:rPr>
          <w:rFonts w:ascii="Arial" w:hAnsi="Arial" w:cs="Arial"/>
          <w:lang w:val="es-PE"/>
        </w:rPr>
      </w:pPr>
      <w:r>
        <w:rPr>
          <w:rFonts w:ascii="Arial" w:hAnsi="Arial" w:cs="Arial"/>
          <w:noProof/>
          <w:lang w:val="es-PE"/>
        </w:rPr>
        <w:drawing>
          <wp:inline distT="0" distB="0" distL="0" distR="0" wp14:anchorId="58729604" wp14:editId="0BAEB890">
            <wp:extent cx="4535129" cy="2637167"/>
            <wp:effectExtent l="0" t="0" r="0" b="0"/>
            <wp:docPr id="2061587690" name="Picture 3"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87690" name="Picture 3" descr="A graph with green dot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4081" cy="2642373"/>
                    </a:xfrm>
                    <a:prstGeom prst="rect">
                      <a:avLst/>
                    </a:prstGeom>
                    <a:noFill/>
                  </pic:spPr>
                </pic:pic>
              </a:graphicData>
            </a:graphic>
          </wp:inline>
        </w:drawing>
      </w:r>
    </w:p>
    <w:p w14:paraId="34B46DCD" w14:textId="77777777" w:rsidR="00ED6269" w:rsidRPr="00ED6269" w:rsidRDefault="00ED6269" w:rsidP="00526E60">
      <w:pPr>
        <w:pBdr>
          <w:bottom w:val="single" w:sz="12" w:space="1" w:color="auto"/>
        </w:pBdr>
        <w:spacing w:after="0" w:line="360" w:lineRule="auto"/>
        <w:ind w:firstLine="720"/>
        <w:jc w:val="center"/>
        <w:rPr>
          <w:rFonts w:ascii="Arial" w:hAnsi="Arial" w:cs="Arial"/>
          <w:lang w:val="es-PE"/>
        </w:rPr>
      </w:pPr>
      <w:r w:rsidRPr="00ED6269">
        <w:rPr>
          <w:rFonts w:ascii="Arial" w:hAnsi="Arial" w:cs="Arial"/>
          <w:lang w:val="es-PE"/>
        </w:rPr>
        <w:t>Figura 4. Distribución de datos para la discrepancia de 3 meses</w:t>
      </w:r>
    </w:p>
    <w:p w14:paraId="08E521E0" w14:textId="518CE87D" w:rsidR="00ED6269" w:rsidRPr="00ED6269" w:rsidRDefault="00E073AE" w:rsidP="00ED6269">
      <w:pPr>
        <w:pBdr>
          <w:bottom w:val="single" w:sz="12" w:space="1" w:color="auto"/>
        </w:pBdr>
        <w:spacing w:after="0" w:line="360" w:lineRule="auto"/>
        <w:ind w:firstLine="720"/>
        <w:jc w:val="both"/>
        <w:rPr>
          <w:rFonts w:ascii="Arial" w:hAnsi="Arial" w:cs="Arial"/>
          <w:lang w:val="es-PE"/>
        </w:rPr>
      </w:pPr>
      <w:r w:rsidRPr="00E073AE">
        <w:rPr>
          <w:rFonts w:ascii="Arial" w:hAnsi="Arial" w:cs="Arial"/>
          <w:lang w:val="es-PE"/>
        </w:rPr>
        <w:t>La Figura 5 muestra que la discrepancia anual se ajustó al límite de ±3%, con desviaciones de +3.5% y -3.3%, reflejando una mejora en el último año.</w:t>
      </w:r>
    </w:p>
    <w:p w14:paraId="10391D67" w14:textId="77777777" w:rsidR="00EF6654" w:rsidRDefault="00EF6654" w:rsidP="00EF6654">
      <w:pPr>
        <w:pBdr>
          <w:bottom w:val="single" w:sz="12" w:space="1" w:color="auto"/>
        </w:pBdr>
        <w:spacing w:after="0" w:line="360" w:lineRule="auto"/>
        <w:jc w:val="center"/>
        <w:rPr>
          <w:rFonts w:ascii="Arial" w:hAnsi="Arial" w:cs="Arial"/>
          <w:lang w:val="es-PE"/>
        </w:rPr>
      </w:pPr>
      <w:r>
        <w:rPr>
          <w:rFonts w:ascii="Arial" w:hAnsi="Arial" w:cs="Arial"/>
          <w:noProof/>
          <w:lang w:val="es-PE"/>
        </w:rPr>
        <w:drawing>
          <wp:inline distT="0" distB="0" distL="0" distR="0" wp14:anchorId="7FD65E50" wp14:editId="20842E77">
            <wp:extent cx="4544568" cy="2267712"/>
            <wp:effectExtent l="0" t="0" r="8890" b="0"/>
            <wp:docPr id="364718217" name="Picture 4" descr="A graph with green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18217" name="Picture 4" descr="A graph with green dots and red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44568" cy="2267712"/>
                    </a:xfrm>
                    <a:prstGeom prst="rect">
                      <a:avLst/>
                    </a:prstGeom>
                    <a:noFill/>
                  </pic:spPr>
                </pic:pic>
              </a:graphicData>
            </a:graphic>
          </wp:inline>
        </w:drawing>
      </w:r>
    </w:p>
    <w:p w14:paraId="0C45FBFE" w14:textId="7F2381D7" w:rsidR="00C236B5" w:rsidRDefault="00ED6269" w:rsidP="00EF6654">
      <w:pPr>
        <w:pBdr>
          <w:bottom w:val="single" w:sz="12" w:space="1" w:color="auto"/>
        </w:pBdr>
        <w:spacing w:after="0" w:line="360" w:lineRule="auto"/>
        <w:jc w:val="center"/>
        <w:rPr>
          <w:rFonts w:ascii="Arial" w:hAnsi="Arial" w:cs="Arial"/>
          <w:lang w:val="es-PE"/>
        </w:rPr>
      </w:pPr>
      <w:r w:rsidRPr="00ED6269">
        <w:rPr>
          <w:rFonts w:ascii="Arial" w:hAnsi="Arial" w:cs="Arial"/>
          <w:lang w:val="es-PE"/>
        </w:rPr>
        <w:t>Figura 5. Distribución de datos para la discrepancia de 12 meses</w:t>
      </w:r>
    </w:p>
    <w:p w14:paraId="5F0E68FD" w14:textId="0D13E7A5" w:rsidR="00EF6654" w:rsidRPr="009C08CC" w:rsidRDefault="00EF6654" w:rsidP="00EF6654">
      <w:pPr>
        <w:pBdr>
          <w:bottom w:val="single" w:sz="12" w:space="1" w:color="auto"/>
        </w:pBdr>
        <w:spacing w:before="120" w:after="0" w:line="360" w:lineRule="auto"/>
        <w:jc w:val="both"/>
        <w:rPr>
          <w:rFonts w:ascii="Arial" w:hAnsi="Arial" w:cs="Arial"/>
          <w:b/>
          <w:bCs/>
          <w:lang w:val="es-PE"/>
        </w:rPr>
      </w:pPr>
      <w:r>
        <w:rPr>
          <w:rFonts w:ascii="Arial" w:hAnsi="Arial" w:cs="Arial"/>
          <w:b/>
          <w:bCs/>
          <w:lang w:val="es-PE"/>
        </w:rPr>
        <w:t>Conclusiones</w:t>
      </w:r>
    </w:p>
    <w:p w14:paraId="1AFD96F1" w14:textId="5BFA6924" w:rsidR="006366DF" w:rsidRPr="006366DF" w:rsidRDefault="00624872" w:rsidP="006366DF">
      <w:pPr>
        <w:pBdr>
          <w:bottom w:val="single" w:sz="12" w:space="1" w:color="auto"/>
        </w:pBdr>
        <w:spacing w:after="0" w:line="360" w:lineRule="auto"/>
        <w:ind w:firstLine="720"/>
        <w:jc w:val="both"/>
        <w:rPr>
          <w:rFonts w:ascii="Arial" w:hAnsi="Arial" w:cs="Arial"/>
          <w:lang w:val="es-PE"/>
        </w:rPr>
      </w:pPr>
      <w:r w:rsidRPr="00624872">
        <w:rPr>
          <w:rFonts w:ascii="Arial" w:hAnsi="Arial" w:cs="Arial"/>
          <w:lang w:val="es-PE"/>
        </w:rPr>
        <w:t>Las mejoras implementadas han reducido eficazmente la diferencia entre la producción teórica y real, generando beneficios como mayor precisión contable y mejores recuperaciones. Para minimizar las discrepancias, es crucial el control y verificación constante de parámetros, instrumentos y procedimientos metalúrgicos. El impacto económico de estas mejoras se traduce en una ganancia de USD 655,435, justificando el monitoreo continuo y contribuyendo a una reducción del 43% en onzas no recuperadas.</w:t>
      </w:r>
    </w:p>
    <w:p w14:paraId="0D9461E9" w14:textId="77777777" w:rsidR="006366DF" w:rsidRPr="006366DF" w:rsidRDefault="006366DF" w:rsidP="00C0049C">
      <w:pPr>
        <w:pBdr>
          <w:bottom w:val="single" w:sz="12" w:space="1" w:color="auto"/>
        </w:pBdr>
        <w:spacing w:after="0" w:line="360" w:lineRule="auto"/>
        <w:jc w:val="center"/>
        <w:rPr>
          <w:rFonts w:ascii="Arial" w:hAnsi="Arial" w:cs="Arial"/>
          <w:lang w:val="es-PE"/>
        </w:rPr>
      </w:pPr>
      <w:r w:rsidRPr="006366DF">
        <w:rPr>
          <w:rFonts w:ascii="Arial" w:hAnsi="Arial" w:cs="Arial"/>
          <w:lang w:val="es-PE"/>
        </w:rPr>
        <w:t>Tabla 1. Resultados de ingresos por mejoras de implementación</w:t>
      </w:r>
    </w:p>
    <w:p w14:paraId="17E1E07F" w14:textId="0BCC74D1" w:rsidR="00A702A8" w:rsidRPr="000A238C" w:rsidRDefault="00C0049C" w:rsidP="00C0049C">
      <w:pPr>
        <w:pBdr>
          <w:bottom w:val="single" w:sz="12" w:space="1" w:color="auto"/>
        </w:pBdr>
        <w:spacing w:after="0" w:line="360" w:lineRule="auto"/>
        <w:jc w:val="center"/>
        <w:rPr>
          <w:rFonts w:ascii="Arial" w:hAnsi="Arial" w:cs="Arial"/>
          <w:lang w:val="es-PE"/>
        </w:rPr>
      </w:pPr>
      <w:r>
        <w:rPr>
          <w:rFonts w:ascii="Arial" w:hAnsi="Arial" w:cs="Arial"/>
          <w:b/>
          <w:bCs/>
          <w:noProof/>
          <w:lang w:val="es-PE"/>
        </w:rPr>
        <w:lastRenderedPageBreak/>
        <w:drawing>
          <wp:inline distT="0" distB="0" distL="0" distR="0" wp14:anchorId="3DAA38D6" wp14:editId="6BCA7C54">
            <wp:extent cx="3987564" cy="1120877"/>
            <wp:effectExtent l="0" t="0" r="0" b="3175"/>
            <wp:docPr id="1677939007" name="Picture 7"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39007" name="Picture 7" descr="A black and white imag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3004" cy="1133650"/>
                    </a:xfrm>
                    <a:prstGeom prst="rect">
                      <a:avLst/>
                    </a:prstGeom>
                    <a:noFill/>
                  </pic:spPr>
                </pic:pic>
              </a:graphicData>
            </a:graphic>
          </wp:inline>
        </w:drawing>
      </w:r>
    </w:p>
    <w:p w14:paraId="2EABD831" w14:textId="77777777" w:rsidR="00B65E26" w:rsidRPr="000A238C" w:rsidRDefault="00B65E26" w:rsidP="000A238C">
      <w:pPr>
        <w:spacing w:after="0" w:line="360" w:lineRule="auto"/>
        <w:rPr>
          <w:rFonts w:ascii="Arial" w:hAnsi="Arial" w:cs="Arial"/>
          <w:lang w:val="es-PE"/>
        </w:rPr>
      </w:pPr>
    </w:p>
    <w:p w14:paraId="739C2EE7" w14:textId="1C686366" w:rsidR="000F277F" w:rsidRPr="000A238C" w:rsidRDefault="000F277F" w:rsidP="000A238C">
      <w:pPr>
        <w:spacing w:after="0" w:line="360" w:lineRule="auto"/>
        <w:rPr>
          <w:rFonts w:ascii="Arial" w:hAnsi="Arial" w:cs="Arial"/>
          <w:lang w:val="es-PE"/>
        </w:rPr>
      </w:pPr>
      <w:r w:rsidRPr="000A238C">
        <w:rPr>
          <w:rFonts w:ascii="Arial" w:hAnsi="Arial" w:cs="Arial"/>
          <w:b/>
          <w:bCs/>
          <w:lang w:val="es-PE"/>
        </w:rPr>
        <w:t>Reseña profesional del autor(es)</w:t>
      </w:r>
      <w:r w:rsidRPr="000A238C">
        <w:rPr>
          <w:rFonts w:ascii="Arial" w:hAnsi="Arial" w:cs="Arial"/>
          <w:lang w:val="es-PE"/>
        </w:rPr>
        <w:t xml:space="preserve">: </w:t>
      </w:r>
    </w:p>
    <w:p w14:paraId="25CA2B30" w14:textId="0404F0B5" w:rsidR="00B65E26" w:rsidRPr="000A238C" w:rsidRDefault="00666B53" w:rsidP="00B65E26">
      <w:pPr>
        <w:spacing w:before="120" w:after="0" w:line="360" w:lineRule="auto"/>
        <w:jc w:val="both"/>
        <w:rPr>
          <w:rFonts w:ascii="Arial" w:hAnsi="Arial" w:cs="Arial"/>
          <w:b/>
          <w:bCs/>
          <w:lang w:val="es-PE"/>
        </w:rPr>
      </w:pPr>
      <w:r>
        <w:rPr>
          <w:rFonts w:ascii="Arial" w:hAnsi="Arial" w:cs="Arial"/>
          <w:b/>
          <w:bCs/>
          <w:lang w:val="es-PE"/>
        </w:rPr>
        <w:t>Danitza Torres</w:t>
      </w:r>
      <w:r w:rsidR="00B65E26">
        <w:rPr>
          <w:rFonts w:ascii="Arial" w:hAnsi="Arial" w:cs="Arial"/>
          <w:b/>
          <w:bCs/>
          <w:lang w:val="es-PE"/>
        </w:rPr>
        <w:t xml:space="preserve"> </w:t>
      </w:r>
      <w:r w:rsidR="004754E9">
        <w:rPr>
          <w:rFonts w:ascii="Arial" w:hAnsi="Arial" w:cs="Arial"/>
          <w:b/>
          <w:bCs/>
          <w:lang w:val="es-PE"/>
        </w:rPr>
        <w:t>–</w:t>
      </w:r>
      <w:r w:rsidR="00B65E26">
        <w:rPr>
          <w:rFonts w:ascii="Arial" w:hAnsi="Arial" w:cs="Arial"/>
          <w:b/>
          <w:bCs/>
          <w:lang w:val="es-PE"/>
        </w:rPr>
        <w:t xml:space="preserve"> </w:t>
      </w:r>
      <w:r w:rsidR="00795492">
        <w:rPr>
          <w:rFonts w:ascii="Arial" w:hAnsi="Arial" w:cs="Arial"/>
          <w:b/>
          <w:bCs/>
          <w:lang w:val="es-PE"/>
        </w:rPr>
        <w:t>Ingeniero de Producción</w:t>
      </w:r>
      <w:r w:rsidR="00B65E26" w:rsidRPr="00B65E26">
        <w:rPr>
          <w:rFonts w:ascii="Arial" w:hAnsi="Arial" w:cs="Arial"/>
          <w:b/>
          <w:bCs/>
          <w:lang w:val="es-PE"/>
        </w:rPr>
        <w:t xml:space="preserve"> - Newmont </w:t>
      </w:r>
      <w:r w:rsidR="00E37590">
        <w:rPr>
          <w:rFonts w:ascii="Arial" w:hAnsi="Arial" w:cs="Arial"/>
          <w:b/>
          <w:bCs/>
          <w:lang w:val="es-PE"/>
        </w:rPr>
        <w:t>Yanacocha</w:t>
      </w:r>
    </w:p>
    <w:p w14:paraId="1D4F16E3" w14:textId="77777777" w:rsidR="00022D65" w:rsidRPr="00022D65" w:rsidRDefault="00022D65" w:rsidP="00022D65">
      <w:pPr>
        <w:spacing w:after="0" w:line="360" w:lineRule="auto"/>
        <w:ind w:firstLine="720"/>
        <w:jc w:val="both"/>
        <w:rPr>
          <w:rFonts w:ascii="Arial" w:hAnsi="Arial" w:cs="Arial"/>
          <w:lang w:val="es-PE"/>
        </w:rPr>
      </w:pPr>
      <w:r w:rsidRPr="00022D65">
        <w:rPr>
          <w:rFonts w:ascii="Arial" w:hAnsi="Arial" w:cs="Arial"/>
          <w:lang w:val="es-PE"/>
        </w:rPr>
        <w:t xml:space="preserve">Ingeniero Metalurgista de la Universidad Nacional de San Agustín de Arequipa con 15 años de experiencia en procesos metalúrgicos de Oro y Cobre, cuya competencia técnica incluye la supervisión de operaciones de Procesos y desarrollo de la Contabilidad Metalúrgica. </w:t>
      </w:r>
    </w:p>
    <w:p w14:paraId="7E2DB497" w14:textId="77777777" w:rsidR="00022D65" w:rsidRPr="00022D65" w:rsidRDefault="00022D65" w:rsidP="00022D65">
      <w:pPr>
        <w:spacing w:after="0" w:line="360" w:lineRule="auto"/>
        <w:ind w:firstLine="720"/>
        <w:jc w:val="both"/>
        <w:rPr>
          <w:rFonts w:ascii="Arial" w:hAnsi="Arial" w:cs="Arial"/>
          <w:lang w:val="es-PE"/>
        </w:rPr>
      </w:pPr>
      <w:r w:rsidRPr="00022D65">
        <w:rPr>
          <w:rFonts w:ascii="Arial" w:hAnsi="Arial" w:cs="Arial"/>
          <w:lang w:val="es-PE"/>
        </w:rPr>
        <w:t>Con Maestría en Administración de Empresas en la Universidad Privada del Norte, diplomado en Gestión de Operaciones en CETRUM, PUCP. Capacitada en programa de entrenamiento profesional de procesamiento de minerales Metcelerate.</w:t>
      </w:r>
    </w:p>
    <w:p w14:paraId="57E7961F" w14:textId="3A75F28D" w:rsidR="00B65E26" w:rsidRDefault="00022D65" w:rsidP="00022D65">
      <w:pPr>
        <w:spacing w:after="0" w:line="360" w:lineRule="auto"/>
        <w:ind w:firstLine="720"/>
        <w:jc w:val="both"/>
        <w:rPr>
          <w:rFonts w:ascii="Arial" w:hAnsi="Arial" w:cs="Arial"/>
          <w:lang w:val="es-PE"/>
        </w:rPr>
      </w:pPr>
      <w:r w:rsidRPr="00022D65">
        <w:rPr>
          <w:rFonts w:ascii="Arial" w:hAnsi="Arial" w:cs="Arial"/>
          <w:lang w:val="es-PE"/>
        </w:rPr>
        <w:t>Actualmente tiene a su cargo el desarrollo de los balances metalúrgicos, elaboración de estimados de producción de oro y plata. Desarrollo de proyectos de optimización de parámetros de operación en plantas e investigación metalúrgica.</w:t>
      </w:r>
    </w:p>
    <w:p w14:paraId="0519FE14" w14:textId="64CE25B3" w:rsidR="00B65E26" w:rsidRPr="000A238C" w:rsidRDefault="00666B53" w:rsidP="00B65E26">
      <w:pPr>
        <w:spacing w:before="120" w:after="0" w:line="360" w:lineRule="auto"/>
        <w:jc w:val="both"/>
        <w:rPr>
          <w:rFonts w:ascii="Arial" w:hAnsi="Arial" w:cs="Arial"/>
          <w:b/>
          <w:bCs/>
          <w:lang w:val="es-PE"/>
        </w:rPr>
      </w:pPr>
      <w:r>
        <w:rPr>
          <w:rFonts w:ascii="Arial" w:hAnsi="Arial" w:cs="Arial"/>
          <w:b/>
          <w:bCs/>
          <w:lang w:val="es-PE"/>
        </w:rPr>
        <w:t>Benito Quiñones</w:t>
      </w:r>
      <w:r w:rsidR="00B65E26">
        <w:rPr>
          <w:rFonts w:ascii="Arial" w:hAnsi="Arial" w:cs="Arial"/>
          <w:b/>
          <w:bCs/>
          <w:lang w:val="es-PE"/>
        </w:rPr>
        <w:t xml:space="preserve"> – </w:t>
      </w:r>
      <w:r w:rsidR="00795492">
        <w:rPr>
          <w:rFonts w:ascii="Arial" w:hAnsi="Arial" w:cs="Arial"/>
          <w:b/>
          <w:bCs/>
          <w:lang w:val="es-PE"/>
        </w:rPr>
        <w:t>Superintendente de Operaciones Procesos</w:t>
      </w:r>
      <w:r w:rsidR="00B65E26" w:rsidRPr="00B65E26">
        <w:rPr>
          <w:rFonts w:ascii="Arial" w:hAnsi="Arial" w:cs="Arial"/>
          <w:b/>
          <w:bCs/>
          <w:lang w:val="es-PE"/>
        </w:rPr>
        <w:t xml:space="preserve"> </w:t>
      </w:r>
      <w:r w:rsidR="00D84BE3">
        <w:rPr>
          <w:rFonts w:ascii="Arial" w:hAnsi="Arial" w:cs="Arial"/>
          <w:b/>
          <w:bCs/>
          <w:lang w:val="es-PE"/>
        </w:rPr>
        <w:t>–</w:t>
      </w:r>
      <w:r w:rsidR="00B65E26" w:rsidRPr="00B65E26">
        <w:rPr>
          <w:rFonts w:ascii="Arial" w:hAnsi="Arial" w:cs="Arial"/>
          <w:b/>
          <w:bCs/>
          <w:lang w:val="es-PE"/>
        </w:rPr>
        <w:t xml:space="preserve"> </w:t>
      </w:r>
      <w:r w:rsidR="00021CDE">
        <w:rPr>
          <w:rFonts w:ascii="Arial" w:hAnsi="Arial" w:cs="Arial"/>
          <w:b/>
          <w:bCs/>
          <w:lang w:val="es-PE"/>
        </w:rPr>
        <w:t>Newmont Yanacocha</w:t>
      </w:r>
    </w:p>
    <w:p w14:paraId="50164256" w14:textId="77777777" w:rsidR="00F444FF" w:rsidRPr="00F444FF" w:rsidRDefault="00F444FF" w:rsidP="00F444FF">
      <w:pPr>
        <w:spacing w:after="0" w:line="360" w:lineRule="auto"/>
        <w:ind w:firstLine="720"/>
        <w:jc w:val="both"/>
        <w:rPr>
          <w:rFonts w:ascii="Arial" w:hAnsi="Arial" w:cs="Arial"/>
          <w:lang w:val="es-PE"/>
        </w:rPr>
      </w:pPr>
      <w:r w:rsidRPr="00F444FF">
        <w:rPr>
          <w:rFonts w:ascii="Arial" w:hAnsi="Arial" w:cs="Arial"/>
          <w:lang w:val="es-PE"/>
        </w:rPr>
        <w:t>Ingeniero Metalurgista de la Universidad Nacional de Trujillo, con más de 24 años de experiencia en la operación y gestión de plantas de procesos en la producción de oro y tratamiento de aguas, con un MBA Essentials por The London School of Economics and Political Sciencies, además de estudios en gestión de operaciones, dirección de proyectos y habilidades directivas por la Universidad Adolfo Ibáñez, así como entrenamiento profesional en procesos metalúrgicos.</w:t>
      </w:r>
    </w:p>
    <w:p w14:paraId="5134F9DD" w14:textId="00FBAF11" w:rsidR="00B65E26" w:rsidRDefault="00F444FF" w:rsidP="00F444FF">
      <w:pPr>
        <w:spacing w:after="0" w:line="360" w:lineRule="auto"/>
        <w:ind w:firstLine="720"/>
        <w:jc w:val="both"/>
        <w:rPr>
          <w:rFonts w:ascii="Arial" w:hAnsi="Arial" w:cs="Arial"/>
          <w:lang w:val="es-PE"/>
        </w:rPr>
      </w:pPr>
      <w:r w:rsidRPr="00F444FF">
        <w:rPr>
          <w:rFonts w:ascii="Arial" w:hAnsi="Arial" w:cs="Arial"/>
          <w:lang w:val="es-PE"/>
        </w:rPr>
        <w:t>Actualmente responsable de la gestión de las operaciones de los pads de lixiviación, plantas de Procesos y refinería de Minera Yanacocha SRL.</w:t>
      </w:r>
    </w:p>
    <w:p w14:paraId="0CFCFB53" w14:textId="77777777" w:rsidR="00B65E26" w:rsidRPr="00E1256D" w:rsidRDefault="00B65E26" w:rsidP="00B65E26">
      <w:pPr>
        <w:spacing w:after="0" w:line="360" w:lineRule="auto"/>
        <w:ind w:firstLine="720"/>
        <w:jc w:val="both"/>
        <w:rPr>
          <w:rFonts w:ascii="Arial" w:hAnsi="Arial" w:cs="Arial"/>
          <w:lang w:val="es-PE"/>
        </w:rPr>
      </w:pPr>
    </w:p>
    <w:p w14:paraId="2E0C73C7" w14:textId="166B19D1" w:rsidR="00A5761F" w:rsidRPr="00B65E26" w:rsidRDefault="00A5761F" w:rsidP="000A238C">
      <w:pPr>
        <w:spacing w:after="0" w:line="360" w:lineRule="auto"/>
        <w:rPr>
          <w:rFonts w:ascii="Arial" w:hAnsi="Arial" w:cs="Arial"/>
          <w:lang w:val="es-PE"/>
        </w:rPr>
      </w:pPr>
    </w:p>
    <w:sectPr w:rsidR="00A5761F" w:rsidRPr="00B65E26" w:rsidSect="00E1256D">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ED1E50"/>
    <w:multiLevelType w:val="hybridMultilevel"/>
    <w:tmpl w:val="927E99EC"/>
    <w:lvl w:ilvl="0" w:tplc="9FCE17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D562BC0"/>
    <w:multiLevelType w:val="hybridMultilevel"/>
    <w:tmpl w:val="1FC42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152639">
    <w:abstractNumId w:val="8"/>
  </w:num>
  <w:num w:numId="2" w16cid:durableId="1986203495">
    <w:abstractNumId w:val="11"/>
  </w:num>
  <w:num w:numId="3" w16cid:durableId="967315925">
    <w:abstractNumId w:val="7"/>
  </w:num>
  <w:num w:numId="4" w16cid:durableId="905846131">
    <w:abstractNumId w:val="6"/>
  </w:num>
  <w:num w:numId="5" w16cid:durableId="1690838353">
    <w:abstractNumId w:val="5"/>
  </w:num>
  <w:num w:numId="6" w16cid:durableId="954873902">
    <w:abstractNumId w:val="0"/>
  </w:num>
  <w:num w:numId="7" w16cid:durableId="127747534">
    <w:abstractNumId w:val="4"/>
  </w:num>
  <w:num w:numId="8" w16cid:durableId="48455140">
    <w:abstractNumId w:val="3"/>
  </w:num>
  <w:num w:numId="9" w16cid:durableId="539560103">
    <w:abstractNumId w:val="1"/>
  </w:num>
  <w:num w:numId="10" w16cid:durableId="2078938286">
    <w:abstractNumId w:val="9"/>
  </w:num>
  <w:num w:numId="11" w16cid:durableId="422147868">
    <w:abstractNumId w:val="2"/>
  </w:num>
  <w:num w:numId="12" w16cid:durableId="1905406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21CDE"/>
    <w:rsid w:val="00022D65"/>
    <w:rsid w:val="00032718"/>
    <w:rsid w:val="000577E4"/>
    <w:rsid w:val="00065982"/>
    <w:rsid w:val="0008454D"/>
    <w:rsid w:val="0009628D"/>
    <w:rsid w:val="000A238C"/>
    <w:rsid w:val="000A45F5"/>
    <w:rsid w:val="000B53B7"/>
    <w:rsid w:val="000D2AC1"/>
    <w:rsid w:val="000D2ED6"/>
    <w:rsid w:val="000D5240"/>
    <w:rsid w:val="000D67F1"/>
    <w:rsid w:val="000E1E14"/>
    <w:rsid w:val="000F277F"/>
    <w:rsid w:val="00125162"/>
    <w:rsid w:val="00130065"/>
    <w:rsid w:val="00134B3C"/>
    <w:rsid w:val="00146766"/>
    <w:rsid w:val="00153799"/>
    <w:rsid w:val="0015571D"/>
    <w:rsid w:val="001603A0"/>
    <w:rsid w:val="00162901"/>
    <w:rsid w:val="00164DF1"/>
    <w:rsid w:val="0017662A"/>
    <w:rsid w:val="0017725F"/>
    <w:rsid w:val="001809DF"/>
    <w:rsid w:val="00183B49"/>
    <w:rsid w:val="00191F7B"/>
    <w:rsid w:val="001C3446"/>
    <w:rsid w:val="001D429F"/>
    <w:rsid w:val="001E3859"/>
    <w:rsid w:val="001E64BE"/>
    <w:rsid w:val="001F3768"/>
    <w:rsid w:val="001F3EC1"/>
    <w:rsid w:val="001F5F10"/>
    <w:rsid w:val="00204932"/>
    <w:rsid w:val="00224F5D"/>
    <w:rsid w:val="00230573"/>
    <w:rsid w:val="00235C0B"/>
    <w:rsid w:val="00237440"/>
    <w:rsid w:val="00247462"/>
    <w:rsid w:val="002475D4"/>
    <w:rsid w:val="002624C8"/>
    <w:rsid w:val="0029444D"/>
    <w:rsid w:val="002C21F6"/>
    <w:rsid w:val="002C4823"/>
    <w:rsid w:val="00310553"/>
    <w:rsid w:val="00323E8D"/>
    <w:rsid w:val="003505F2"/>
    <w:rsid w:val="00355409"/>
    <w:rsid w:val="00360759"/>
    <w:rsid w:val="00365351"/>
    <w:rsid w:val="00366149"/>
    <w:rsid w:val="003803C1"/>
    <w:rsid w:val="00393ED8"/>
    <w:rsid w:val="00397D05"/>
    <w:rsid w:val="003A3DA2"/>
    <w:rsid w:val="003A52A9"/>
    <w:rsid w:val="003B0B5D"/>
    <w:rsid w:val="003B71C2"/>
    <w:rsid w:val="003C2B27"/>
    <w:rsid w:val="003C34C6"/>
    <w:rsid w:val="003D7668"/>
    <w:rsid w:val="003E06EE"/>
    <w:rsid w:val="003E16C6"/>
    <w:rsid w:val="003E1C6A"/>
    <w:rsid w:val="003F31DB"/>
    <w:rsid w:val="003F6BFE"/>
    <w:rsid w:val="004027B6"/>
    <w:rsid w:val="00402808"/>
    <w:rsid w:val="004203A0"/>
    <w:rsid w:val="004220A2"/>
    <w:rsid w:val="00434898"/>
    <w:rsid w:val="00443FB2"/>
    <w:rsid w:val="00445736"/>
    <w:rsid w:val="00461024"/>
    <w:rsid w:val="00463FBE"/>
    <w:rsid w:val="004741DE"/>
    <w:rsid w:val="004754E9"/>
    <w:rsid w:val="00477D46"/>
    <w:rsid w:val="0048534F"/>
    <w:rsid w:val="0049288A"/>
    <w:rsid w:val="004A5C7A"/>
    <w:rsid w:val="004B6E55"/>
    <w:rsid w:val="004C038E"/>
    <w:rsid w:val="004C20E3"/>
    <w:rsid w:val="004C3CF0"/>
    <w:rsid w:val="004C735C"/>
    <w:rsid w:val="004C7596"/>
    <w:rsid w:val="004D59AC"/>
    <w:rsid w:val="004E74D8"/>
    <w:rsid w:val="004F225C"/>
    <w:rsid w:val="004F46DC"/>
    <w:rsid w:val="004F789C"/>
    <w:rsid w:val="00501E63"/>
    <w:rsid w:val="005023E4"/>
    <w:rsid w:val="00505448"/>
    <w:rsid w:val="00507EB0"/>
    <w:rsid w:val="00510B80"/>
    <w:rsid w:val="005110E3"/>
    <w:rsid w:val="00513101"/>
    <w:rsid w:val="0052329A"/>
    <w:rsid w:val="005234FE"/>
    <w:rsid w:val="00526E60"/>
    <w:rsid w:val="00527C23"/>
    <w:rsid w:val="005312C9"/>
    <w:rsid w:val="00541765"/>
    <w:rsid w:val="0055015F"/>
    <w:rsid w:val="0055065D"/>
    <w:rsid w:val="0055307E"/>
    <w:rsid w:val="00555F91"/>
    <w:rsid w:val="00577960"/>
    <w:rsid w:val="00581539"/>
    <w:rsid w:val="005940B4"/>
    <w:rsid w:val="00595E69"/>
    <w:rsid w:val="00596635"/>
    <w:rsid w:val="00610075"/>
    <w:rsid w:val="00611B7A"/>
    <w:rsid w:val="00624872"/>
    <w:rsid w:val="00625303"/>
    <w:rsid w:val="006366DF"/>
    <w:rsid w:val="00637862"/>
    <w:rsid w:val="00642B3A"/>
    <w:rsid w:val="006448D2"/>
    <w:rsid w:val="0066067D"/>
    <w:rsid w:val="00660A18"/>
    <w:rsid w:val="006652C0"/>
    <w:rsid w:val="00666B53"/>
    <w:rsid w:val="00684BAE"/>
    <w:rsid w:val="0069457D"/>
    <w:rsid w:val="00694E75"/>
    <w:rsid w:val="006A5CD8"/>
    <w:rsid w:val="006F0F38"/>
    <w:rsid w:val="006F1DD4"/>
    <w:rsid w:val="006F2C6A"/>
    <w:rsid w:val="00706531"/>
    <w:rsid w:val="00715783"/>
    <w:rsid w:val="00715C93"/>
    <w:rsid w:val="007342AF"/>
    <w:rsid w:val="00744720"/>
    <w:rsid w:val="0076244F"/>
    <w:rsid w:val="00776E2B"/>
    <w:rsid w:val="0078065B"/>
    <w:rsid w:val="00787AF5"/>
    <w:rsid w:val="00795492"/>
    <w:rsid w:val="007A0A7C"/>
    <w:rsid w:val="007B1FEE"/>
    <w:rsid w:val="007B5010"/>
    <w:rsid w:val="007C0DC2"/>
    <w:rsid w:val="007C34F7"/>
    <w:rsid w:val="007D79DD"/>
    <w:rsid w:val="007E001E"/>
    <w:rsid w:val="007E02AF"/>
    <w:rsid w:val="007E6F16"/>
    <w:rsid w:val="007F0CC2"/>
    <w:rsid w:val="007F3E97"/>
    <w:rsid w:val="008052CB"/>
    <w:rsid w:val="00823917"/>
    <w:rsid w:val="008327D5"/>
    <w:rsid w:val="00847F71"/>
    <w:rsid w:val="00867EF3"/>
    <w:rsid w:val="0087503B"/>
    <w:rsid w:val="008902DA"/>
    <w:rsid w:val="00891E4F"/>
    <w:rsid w:val="00893431"/>
    <w:rsid w:val="008960C6"/>
    <w:rsid w:val="008A2020"/>
    <w:rsid w:val="008A4C76"/>
    <w:rsid w:val="008A6BE4"/>
    <w:rsid w:val="008A7E37"/>
    <w:rsid w:val="008B6694"/>
    <w:rsid w:val="008E37C1"/>
    <w:rsid w:val="008F119C"/>
    <w:rsid w:val="00902446"/>
    <w:rsid w:val="009058DE"/>
    <w:rsid w:val="009107AA"/>
    <w:rsid w:val="00912CF4"/>
    <w:rsid w:val="00912E33"/>
    <w:rsid w:val="009201EB"/>
    <w:rsid w:val="009255EB"/>
    <w:rsid w:val="009269D3"/>
    <w:rsid w:val="00947C0C"/>
    <w:rsid w:val="00965067"/>
    <w:rsid w:val="00967A20"/>
    <w:rsid w:val="00984DC5"/>
    <w:rsid w:val="0099305C"/>
    <w:rsid w:val="009B3824"/>
    <w:rsid w:val="009B394C"/>
    <w:rsid w:val="009C08CC"/>
    <w:rsid w:val="009E6A1F"/>
    <w:rsid w:val="009F5BF5"/>
    <w:rsid w:val="00A01A4E"/>
    <w:rsid w:val="00A06D12"/>
    <w:rsid w:val="00A11CD4"/>
    <w:rsid w:val="00A241D7"/>
    <w:rsid w:val="00A25EEF"/>
    <w:rsid w:val="00A27737"/>
    <w:rsid w:val="00A34A53"/>
    <w:rsid w:val="00A4568B"/>
    <w:rsid w:val="00A5761F"/>
    <w:rsid w:val="00A576A1"/>
    <w:rsid w:val="00A61ADB"/>
    <w:rsid w:val="00A702A8"/>
    <w:rsid w:val="00A92CA5"/>
    <w:rsid w:val="00AC6824"/>
    <w:rsid w:val="00AE7A78"/>
    <w:rsid w:val="00B01BFE"/>
    <w:rsid w:val="00B04F54"/>
    <w:rsid w:val="00B22BAE"/>
    <w:rsid w:val="00B50F1C"/>
    <w:rsid w:val="00B52442"/>
    <w:rsid w:val="00B63F35"/>
    <w:rsid w:val="00B65E26"/>
    <w:rsid w:val="00B660F7"/>
    <w:rsid w:val="00B66E5F"/>
    <w:rsid w:val="00B756FA"/>
    <w:rsid w:val="00B77A53"/>
    <w:rsid w:val="00B81E8B"/>
    <w:rsid w:val="00B841C4"/>
    <w:rsid w:val="00BB32C8"/>
    <w:rsid w:val="00BC6060"/>
    <w:rsid w:val="00BC6C23"/>
    <w:rsid w:val="00C0049C"/>
    <w:rsid w:val="00C05D7B"/>
    <w:rsid w:val="00C10E47"/>
    <w:rsid w:val="00C20BBC"/>
    <w:rsid w:val="00C236B5"/>
    <w:rsid w:val="00C31A66"/>
    <w:rsid w:val="00C33535"/>
    <w:rsid w:val="00C37594"/>
    <w:rsid w:val="00C426C8"/>
    <w:rsid w:val="00C42895"/>
    <w:rsid w:val="00C43B32"/>
    <w:rsid w:val="00C54E53"/>
    <w:rsid w:val="00C558A5"/>
    <w:rsid w:val="00C716BD"/>
    <w:rsid w:val="00C7191D"/>
    <w:rsid w:val="00C73770"/>
    <w:rsid w:val="00C75C0C"/>
    <w:rsid w:val="00C772AE"/>
    <w:rsid w:val="00C822F9"/>
    <w:rsid w:val="00C84ECF"/>
    <w:rsid w:val="00C85D72"/>
    <w:rsid w:val="00CA25D0"/>
    <w:rsid w:val="00CA67CF"/>
    <w:rsid w:val="00CC1057"/>
    <w:rsid w:val="00CE0F0E"/>
    <w:rsid w:val="00CE4261"/>
    <w:rsid w:val="00CF05D0"/>
    <w:rsid w:val="00D04616"/>
    <w:rsid w:val="00D07AA5"/>
    <w:rsid w:val="00D13B04"/>
    <w:rsid w:val="00D14107"/>
    <w:rsid w:val="00D20835"/>
    <w:rsid w:val="00D23118"/>
    <w:rsid w:val="00D23EEE"/>
    <w:rsid w:val="00D32A4D"/>
    <w:rsid w:val="00D33F8A"/>
    <w:rsid w:val="00D54112"/>
    <w:rsid w:val="00D57297"/>
    <w:rsid w:val="00D61092"/>
    <w:rsid w:val="00D61F0C"/>
    <w:rsid w:val="00D62E16"/>
    <w:rsid w:val="00D64617"/>
    <w:rsid w:val="00D84BE3"/>
    <w:rsid w:val="00DB2AC9"/>
    <w:rsid w:val="00DC38DD"/>
    <w:rsid w:val="00DD488B"/>
    <w:rsid w:val="00DE10C2"/>
    <w:rsid w:val="00DF3F22"/>
    <w:rsid w:val="00DF4EDF"/>
    <w:rsid w:val="00E044CD"/>
    <w:rsid w:val="00E073AE"/>
    <w:rsid w:val="00E10A9F"/>
    <w:rsid w:val="00E1256D"/>
    <w:rsid w:val="00E13607"/>
    <w:rsid w:val="00E16DF1"/>
    <w:rsid w:val="00E220EB"/>
    <w:rsid w:val="00E27FED"/>
    <w:rsid w:val="00E30F7E"/>
    <w:rsid w:val="00E37590"/>
    <w:rsid w:val="00E47ADD"/>
    <w:rsid w:val="00E521D8"/>
    <w:rsid w:val="00E52365"/>
    <w:rsid w:val="00E66A7A"/>
    <w:rsid w:val="00E66C49"/>
    <w:rsid w:val="00E67B77"/>
    <w:rsid w:val="00E91F6E"/>
    <w:rsid w:val="00E93869"/>
    <w:rsid w:val="00EA376F"/>
    <w:rsid w:val="00EB16C8"/>
    <w:rsid w:val="00EB7999"/>
    <w:rsid w:val="00EC00DB"/>
    <w:rsid w:val="00ED13EC"/>
    <w:rsid w:val="00ED279D"/>
    <w:rsid w:val="00ED41A5"/>
    <w:rsid w:val="00ED5CA8"/>
    <w:rsid w:val="00ED6269"/>
    <w:rsid w:val="00ED726D"/>
    <w:rsid w:val="00EF120F"/>
    <w:rsid w:val="00EF4ADC"/>
    <w:rsid w:val="00EF510E"/>
    <w:rsid w:val="00EF6654"/>
    <w:rsid w:val="00F06CAB"/>
    <w:rsid w:val="00F23955"/>
    <w:rsid w:val="00F444FF"/>
    <w:rsid w:val="00F447A2"/>
    <w:rsid w:val="00F4541F"/>
    <w:rsid w:val="00F671EE"/>
    <w:rsid w:val="00F72740"/>
    <w:rsid w:val="00F73B63"/>
    <w:rsid w:val="00F778F3"/>
    <w:rsid w:val="00F84A77"/>
    <w:rsid w:val="00F90C8D"/>
    <w:rsid w:val="00F9297A"/>
    <w:rsid w:val="00FC24AE"/>
    <w:rsid w:val="00FD3D9F"/>
    <w:rsid w:val="00FE1396"/>
    <w:rsid w:val="00FE177A"/>
    <w:rsid w:val="00FE5FB5"/>
    <w:rsid w:val="00FE65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761F"/>
    <w:pPr>
      <w:ind w:left="720"/>
      <w:contextualSpacing/>
    </w:pPr>
  </w:style>
  <w:style w:type="character" w:styleId="Hyperlink">
    <w:name w:val="Hyperlink"/>
    <w:basedOn w:val="DefaultParagraphFont"/>
    <w:uiPriority w:val="99"/>
    <w:unhideWhenUsed/>
    <w:rsid w:val="00A5761F"/>
    <w:rPr>
      <w:color w:val="0563C1" w:themeColor="hyperlink"/>
      <w:u w:val="single"/>
    </w:rPr>
  </w:style>
  <w:style w:type="paragraph" w:styleId="BalloonText">
    <w:name w:val="Balloon Text"/>
    <w:basedOn w:val="Normal"/>
    <w:link w:val="BalloonTextChar"/>
    <w:uiPriority w:val="99"/>
    <w:semiHidden/>
    <w:unhideWhenUsed/>
    <w:rsid w:val="00B8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1C4"/>
    <w:rPr>
      <w:rFonts w:ascii="Tahoma" w:hAnsi="Tahoma" w:cs="Tahoma"/>
      <w:sz w:val="16"/>
      <w:szCs w:val="16"/>
    </w:rPr>
  </w:style>
  <w:style w:type="paragraph" w:styleId="Title">
    <w:name w:val="Title"/>
    <w:basedOn w:val="Normal"/>
    <w:next w:val="Normal"/>
    <w:link w:val="TitleCh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7F"/>
    <w:rPr>
      <w:rFonts w:asciiTheme="majorHAnsi" w:eastAsiaTheme="majorEastAsia" w:hAnsiTheme="majorHAnsi" w:cstheme="majorBidi"/>
      <w:spacing w:val="-10"/>
      <w:kern w:val="28"/>
      <w:sz w:val="56"/>
      <w:szCs w:val="56"/>
    </w:rPr>
  </w:style>
  <w:style w:type="paragraph" w:styleId="Revision">
    <w:name w:val="Revision"/>
    <w:hidden/>
    <w:uiPriority w:val="99"/>
    <w:semiHidden/>
    <w:rsid w:val="008960C6"/>
    <w:pPr>
      <w:spacing w:after="0" w:line="240" w:lineRule="auto"/>
    </w:pPr>
  </w:style>
  <w:style w:type="character" w:styleId="CommentReference">
    <w:name w:val="annotation reference"/>
    <w:basedOn w:val="DefaultParagraphFont"/>
    <w:uiPriority w:val="99"/>
    <w:semiHidden/>
    <w:unhideWhenUsed/>
    <w:rsid w:val="001D429F"/>
    <w:rPr>
      <w:sz w:val="16"/>
      <w:szCs w:val="16"/>
    </w:rPr>
  </w:style>
  <w:style w:type="paragraph" w:styleId="CommentText">
    <w:name w:val="annotation text"/>
    <w:basedOn w:val="Normal"/>
    <w:link w:val="CommentTextChar"/>
    <w:uiPriority w:val="99"/>
    <w:unhideWhenUsed/>
    <w:rsid w:val="001D429F"/>
    <w:pPr>
      <w:spacing w:line="240" w:lineRule="auto"/>
    </w:pPr>
    <w:rPr>
      <w:sz w:val="20"/>
      <w:szCs w:val="20"/>
    </w:rPr>
  </w:style>
  <w:style w:type="character" w:customStyle="1" w:styleId="CommentTextChar">
    <w:name w:val="Comment Text Char"/>
    <w:basedOn w:val="DefaultParagraphFont"/>
    <w:link w:val="CommentText"/>
    <w:uiPriority w:val="99"/>
    <w:rsid w:val="001D429F"/>
    <w:rPr>
      <w:sz w:val="20"/>
      <w:szCs w:val="20"/>
    </w:rPr>
  </w:style>
  <w:style w:type="paragraph" w:styleId="CommentSubject">
    <w:name w:val="annotation subject"/>
    <w:basedOn w:val="CommentText"/>
    <w:next w:val="CommentText"/>
    <w:link w:val="CommentSubjectChar"/>
    <w:uiPriority w:val="99"/>
    <w:semiHidden/>
    <w:unhideWhenUsed/>
    <w:rsid w:val="001D429F"/>
    <w:rPr>
      <w:b/>
      <w:bCs/>
    </w:rPr>
  </w:style>
  <w:style w:type="character" w:customStyle="1" w:styleId="CommentSubjectChar">
    <w:name w:val="Comment Subject Char"/>
    <w:basedOn w:val="CommentTextChar"/>
    <w:link w:val="CommentSubject"/>
    <w:uiPriority w:val="99"/>
    <w:semiHidden/>
    <w:rsid w:val="001D429F"/>
    <w:rPr>
      <w:b/>
      <w:bCs/>
      <w:sz w:val="20"/>
      <w:szCs w:val="20"/>
    </w:rPr>
  </w:style>
  <w:style w:type="character" w:styleId="UnresolvedMention">
    <w:name w:val="Unresolved Mention"/>
    <w:basedOn w:val="DefaultParagraphFont"/>
    <w:uiPriority w:val="99"/>
    <w:semiHidden/>
    <w:unhideWhenUsed/>
    <w:rsid w:val="0049288A"/>
    <w:rPr>
      <w:color w:val="605E5C"/>
      <w:shd w:val="clear" w:color="auto" w:fill="E1DFDD"/>
    </w:rPr>
  </w:style>
  <w:style w:type="character" w:customStyle="1" w:styleId="ListParagraphChar">
    <w:name w:val="List Paragraph Char"/>
    <w:link w:val="ListParagraph"/>
    <w:uiPriority w:val="34"/>
    <w:rsid w:val="00CE4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itza.torres01@newmont.com" TargetMode="Externa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mailto:Benito.quinones@newmont.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43391C2C9C8E4A9C21DC700E5AC91F" ma:contentTypeVersion="6" ma:contentTypeDescription="Create a new document." ma:contentTypeScope="" ma:versionID="22ce801abb43a7f9f27e1c02b4e968c2">
  <xsd:schema xmlns:xsd="http://www.w3.org/2001/XMLSchema" xmlns:xs="http://www.w3.org/2001/XMLSchema" xmlns:p="http://schemas.microsoft.com/office/2006/metadata/properties" xmlns:ns2="0dc20caa-d5be-470d-93a0-d9e09f04ddc7" xmlns:ns3="dd3dc995-e1c6-4379-b19e-97a9d9587c5b" targetNamespace="http://schemas.microsoft.com/office/2006/metadata/properties" ma:root="true" ma:fieldsID="2677668adc264435f01b1728a74c3ba6" ns2:_="" ns3:_="">
    <xsd:import namespace="0dc20caa-d5be-470d-93a0-d9e09f04ddc7"/>
    <xsd:import namespace="dd3dc995-e1c6-4379-b19e-97a9d9587c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20caa-d5be-470d-93a0-d9e09f04d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3dc995-e1c6-4379-b19e-97a9d9587c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C5473D-E87F-4410-ACCF-91AFDDBF725A}">
  <ds:schemaRefs>
    <ds:schemaRef ds:uri="http://schemas.microsoft.com/sharepoint/v3/contenttype/forms"/>
  </ds:schemaRefs>
</ds:datastoreItem>
</file>

<file path=customXml/itemProps3.xml><?xml version="1.0" encoding="utf-8"?>
<ds:datastoreItem xmlns:ds="http://schemas.openxmlformats.org/officeDocument/2006/customXml" ds:itemID="{15A0C154-A840-409C-84E6-286A5E590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20caa-d5be-470d-93a0-d9e09f04ddc7"/>
    <ds:schemaRef ds:uri="dd3dc995-e1c6-4379-b19e-97a9d9587c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Redefining operational excellence at Peru's largest gold mine</vt:lpstr>
    </vt:vector>
  </TitlesOfParts>
  <Company>Newmont Mining Corp</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Luis Llaque Quiroz</cp:lastModifiedBy>
  <cp:revision>2</cp:revision>
  <dcterms:created xsi:type="dcterms:W3CDTF">2025-05-06T13:11:00Z</dcterms:created>
  <dcterms:modified xsi:type="dcterms:W3CDTF">2025-05-06T13:11:00Z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0x010100A943391C2C9C8E4A9C21DC700E5AC91F</vt:lpwstr>
  </property>
</Properties>
</file>