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4DD7C" w14:textId="77777777" w:rsidR="00CE7502" w:rsidRDefault="00CE7502" w:rsidP="00CE7502">
      <w:pPr>
        <w:spacing w:before="1"/>
        <w:ind w:left="2791" w:right="1983" w:hanging="2"/>
        <w:jc w:val="center"/>
        <w:rPr>
          <w:rFonts w:ascii="Arial" w:hAnsi="Arial"/>
          <w:b/>
          <w:sz w:val="20"/>
        </w:rPr>
      </w:pPr>
      <w:r>
        <w:rPr>
          <w:rFonts w:ascii="Arial" w:hAnsi="Arial"/>
          <w:b/>
          <w:sz w:val="20"/>
        </w:rPr>
        <w:t>PERUMIN 37 Convención Minera Arequipa,</w:t>
      </w:r>
      <w:r>
        <w:rPr>
          <w:rFonts w:ascii="Arial" w:hAnsi="Arial"/>
          <w:b/>
          <w:spacing w:val="-5"/>
          <w:sz w:val="20"/>
        </w:rPr>
        <w:t xml:space="preserve"> </w:t>
      </w:r>
      <w:r>
        <w:rPr>
          <w:rFonts w:ascii="Arial" w:hAnsi="Arial"/>
          <w:b/>
          <w:sz w:val="20"/>
        </w:rPr>
        <w:t>22</w:t>
      </w:r>
      <w:r>
        <w:rPr>
          <w:rFonts w:ascii="Arial" w:hAnsi="Arial"/>
          <w:b/>
          <w:spacing w:val="-5"/>
          <w:sz w:val="20"/>
        </w:rPr>
        <w:t xml:space="preserve"> </w:t>
      </w:r>
      <w:r>
        <w:rPr>
          <w:rFonts w:ascii="Arial" w:hAnsi="Arial"/>
          <w:b/>
          <w:sz w:val="20"/>
        </w:rPr>
        <w:t>–</w:t>
      </w:r>
      <w:r>
        <w:rPr>
          <w:rFonts w:ascii="Arial" w:hAnsi="Arial"/>
          <w:b/>
          <w:spacing w:val="-8"/>
          <w:sz w:val="20"/>
        </w:rPr>
        <w:t xml:space="preserve"> </w:t>
      </w:r>
      <w:r>
        <w:rPr>
          <w:rFonts w:ascii="Arial" w:hAnsi="Arial"/>
          <w:b/>
          <w:sz w:val="20"/>
        </w:rPr>
        <w:t>26</w:t>
      </w:r>
      <w:r>
        <w:rPr>
          <w:rFonts w:ascii="Arial" w:hAnsi="Arial"/>
          <w:b/>
          <w:spacing w:val="-8"/>
          <w:sz w:val="20"/>
        </w:rPr>
        <w:t xml:space="preserve"> </w:t>
      </w:r>
      <w:r>
        <w:rPr>
          <w:rFonts w:ascii="Arial" w:hAnsi="Arial"/>
          <w:b/>
          <w:sz w:val="20"/>
        </w:rPr>
        <w:t>de</w:t>
      </w:r>
      <w:r>
        <w:rPr>
          <w:rFonts w:ascii="Arial" w:hAnsi="Arial"/>
          <w:b/>
          <w:spacing w:val="-8"/>
          <w:sz w:val="20"/>
        </w:rPr>
        <w:t xml:space="preserve"> </w:t>
      </w:r>
      <w:r>
        <w:rPr>
          <w:rFonts w:ascii="Arial" w:hAnsi="Arial"/>
          <w:b/>
          <w:sz w:val="20"/>
        </w:rPr>
        <w:t>setiembre,</w:t>
      </w:r>
      <w:r>
        <w:rPr>
          <w:rFonts w:ascii="Arial" w:hAnsi="Arial"/>
          <w:b/>
          <w:spacing w:val="-8"/>
          <w:sz w:val="20"/>
        </w:rPr>
        <w:t xml:space="preserve"> </w:t>
      </w:r>
      <w:r>
        <w:rPr>
          <w:rFonts w:ascii="Arial" w:hAnsi="Arial"/>
          <w:b/>
          <w:sz w:val="20"/>
        </w:rPr>
        <w:t>2025</w:t>
      </w:r>
    </w:p>
    <w:p w14:paraId="3601A860" w14:textId="77777777" w:rsidR="00CE7502" w:rsidRDefault="00CE7502" w:rsidP="00CE7502">
      <w:pPr>
        <w:pStyle w:val="Textoindependiente"/>
        <w:spacing w:before="1"/>
        <w:rPr>
          <w:rFonts w:ascii="Arial"/>
          <w:b/>
          <w:sz w:val="20"/>
        </w:rPr>
      </w:pPr>
    </w:p>
    <w:p w14:paraId="78A54BE7" w14:textId="77777777" w:rsidR="00CE7502" w:rsidRDefault="00CE7502" w:rsidP="00CE7502">
      <w:pPr>
        <w:ind w:left="943" w:right="947"/>
        <w:jc w:val="center"/>
        <w:rPr>
          <w:rFonts w:ascii="Arial" w:hAnsi="Arial"/>
          <w:b/>
          <w:sz w:val="20"/>
        </w:rPr>
      </w:pPr>
      <w:r>
        <w:rPr>
          <w:rFonts w:ascii="Arial" w:hAnsi="Arial"/>
          <w:b/>
          <w:sz w:val="20"/>
        </w:rPr>
        <w:t>FORO</w:t>
      </w:r>
      <w:r>
        <w:rPr>
          <w:rFonts w:ascii="Arial" w:hAnsi="Arial"/>
          <w:b/>
          <w:spacing w:val="-9"/>
          <w:sz w:val="20"/>
        </w:rPr>
        <w:t xml:space="preserve"> </w:t>
      </w:r>
      <w:r>
        <w:rPr>
          <w:rFonts w:ascii="Arial" w:hAnsi="Arial"/>
          <w:b/>
          <w:sz w:val="20"/>
        </w:rPr>
        <w:t>DE</w:t>
      </w:r>
      <w:r>
        <w:rPr>
          <w:rFonts w:ascii="Arial" w:hAnsi="Arial"/>
          <w:b/>
          <w:spacing w:val="-9"/>
          <w:sz w:val="20"/>
        </w:rPr>
        <w:t xml:space="preserve"> </w:t>
      </w:r>
      <w:r>
        <w:rPr>
          <w:rFonts w:ascii="Arial" w:hAnsi="Arial"/>
          <w:b/>
          <w:sz w:val="20"/>
        </w:rPr>
        <w:t>TECNOLOGÍA,</w:t>
      </w:r>
      <w:r>
        <w:rPr>
          <w:rFonts w:ascii="Arial" w:hAnsi="Arial"/>
          <w:b/>
          <w:spacing w:val="-8"/>
          <w:sz w:val="20"/>
        </w:rPr>
        <w:t xml:space="preserve"> </w:t>
      </w:r>
      <w:r>
        <w:rPr>
          <w:rFonts w:ascii="Arial" w:hAnsi="Arial"/>
          <w:b/>
          <w:sz w:val="20"/>
        </w:rPr>
        <w:t>INNOVACIÓN</w:t>
      </w:r>
      <w:r>
        <w:rPr>
          <w:rFonts w:ascii="Arial" w:hAnsi="Arial"/>
          <w:b/>
          <w:spacing w:val="-7"/>
          <w:sz w:val="20"/>
        </w:rPr>
        <w:t xml:space="preserve"> </w:t>
      </w:r>
      <w:r>
        <w:rPr>
          <w:rFonts w:ascii="Arial" w:hAnsi="Arial"/>
          <w:b/>
          <w:sz w:val="20"/>
        </w:rPr>
        <w:t>Y</w:t>
      </w:r>
      <w:r>
        <w:rPr>
          <w:rFonts w:ascii="Arial" w:hAnsi="Arial"/>
          <w:b/>
          <w:spacing w:val="-9"/>
          <w:sz w:val="20"/>
        </w:rPr>
        <w:t xml:space="preserve"> </w:t>
      </w:r>
      <w:r>
        <w:rPr>
          <w:rFonts w:ascii="Arial" w:hAnsi="Arial"/>
          <w:b/>
          <w:sz w:val="20"/>
        </w:rPr>
        <w:t>SOSTENIBILIDAD CONVOCATORIA DE TRABAJOS TÉCNICOS</w:t>
      </w:r>
    </w:p>
    <w:p w14:paraId="785DE5BC" w14:textId="77777777" w:rsidR="00CE7502" w:rsidRDefault="00CE7502" w:rsidP="00CE7502">
      <w:pPr>
        <w:spacing w:line="228" w:lineRule="exact"/>
        <w:ind w:right="1"/>
        <w:jc w:val="center"/>
        <w:rPr>
          <w:rFonts w:ascii="Arial" w:hAnsi="Arial"/>
          <w:b/>
          <w:sz w:val="20"/>
        </w:rPr>
      </w:pPr>
      <w:r>
        <w:rPr>
          <w:rFonts w:ascii="Arial" w:hAnsi="Arial"/>
          <w:b/>
          <w:sz w:val="20"/>
        </w:rPr>
        <w:t>PREMIO</w:t>
      </w:r>
      <w:r>
        <w:rPr>
          <w:rFonts w:ascii="Arial" w:hAnsi="Arial"/>
          <w:b/>
          <w:spacing w:val="-7"/>
          <w:sz w:val="20"/>
        </w:rPr>
        <w:t xml:space="preserve"> </w:t>
      </w:r>
      <w:r>
        <w:rPr>
          <w:rFonts w:ascii="Arial" w:hAnsi="Arial"/>
          <w:b/>
          <w:sz w:val="20"/>
        </w:rPr>
        <w:t>NACIONAL</w:t>
      </w:r>
      <w:r>
        <w:rPr>
          <w:rFonts w:ascii="Arial" w:hAnsi="Arial"/>
          <w:b/>
          <w:spacing w:val="-6"/>
          <w:sz w:val="20"/>
        </w:rPr>
        <w:t xml:space="preserve"> </w:t>
      </w:r>
      <w:r>
        <w:rPr>
          <w:rFonts w:ascii="Arial" w:hAnsi="Arial"/>
          <w:b/>
          <w:sz w:val="20"/>
        </w:rPr>
        <w:t>DE</w:t>
      </w:r>
      <w:r>
        <w:rPr>
          <w:rFonts w:ascii="Arial" w:hAnsi="Arial"/>
          <w:b/>
          <w:spacing w:val="-7"/>
          <w:sz w:val="20"/>
        </w:rPr>
        <w:t xml:space="preserve"> </w:t>
      </w:r>
      <w:r>
        <w:rPr>
          <w:rFonts w:ascii="Arial" w:hAnsi="Arial"/>
          <w:b/>
          <w:spacing w:val="-2"/>
          <w:sz w:val="20"/>
        </w:rPr>
        <w:t>MINERÍA</w:t>
      </w:r>
    </w:p>
    <w:p w14:paraId="45435136" w14:textId="77777777" w:rsidR="00CE7502" w:rsidRDefault="00CE7502" w:rsidP="00CE7502">
      <w:pPr>
        <w:pStyle w:val="Textoindependiente"/>
        <w:spacing w:before="7"/>
        <w:rPr>
          <w:rFonts w:ascii="Arial"/>
          <w:b/>
          <w:sz w:val="20"/>
        </w:rPr>
      </w:pPr>
    </w:p>
    <w:p w14:paraId="336D17BD" w14:textId="5DDF9101" w:rsidR="00CE7502" w:rsidRDefault="00CE7502" w:rsidP="00CE7502">
      <w:pPr>
        <w:pStyle w:val="Textoindependiente"/>
        <w:ind w:left="1"/>
      </w:pPr>
      <w:r>
        <w:rPr>
          <w:rFonts w:ascii="Arial" w:hAnsi="Arial"/>
          <w:b/>
        </w:rPr>
        <w:t>Título:</w:t>
      </w:r>
      <w:r>
        <w:rPr>
          <w:rFonts w:ascii="Arial" w:hAnsi="Arial"/>
          <w:b/>
          <w:spacing w:val="-1"/>
        </w:rPr>
        <w:t xml:space="preserve"> </w:t>
      </w:r>
      <w:r>
        <w:t>Estrategia de promoción de inversiones y la sostenibilidad del sector minero en el Perú</w:t>
      </w:r>
      <w:r>
        <w:rPr>
          <w:spacing w:val="-2"/>
        </w:rPr>
        <w:t>.</w:t>
      </w:r>
    </w:p>
    <w:p w14:paraId="7B347BE2" w14:textId="2000A2D4" w:rsidR="00CE7502" w:rsidRDefault="00CE7502" w:rsidP="00CE7502">
      <w:pPr>
        <w:pStyle w:val="Textoindependiente"/>
        <w:spacing w:before="31"/>
        <w:ind w:left="1"/>
      </w:pPr>
      <w:r>
        <w:rPr>
          <w:rFonts w:ascii="Arial"/>
          <w:b/>
        </w:rPr>
        <w:t>Tema:</w:t>
      </w:r>
      <w:r>
        <w:rPr>
          <w:rFonts w:ascii="Arial"/>
          <w:b/>
          <w:spacing w:val="-1"/>
        </w:rPr>
        <w:t xml:space="preserve"> </w:t>
      </w:r>
      <w:r w:rsidR="00BB633F" w:rsidRPr="00BB633F">
        <w:t>Importancia de la minería en economías emergentes</w:t>
      </w:r>
    </w:p>
    <w:p w14:paraId="27817F38" w14:textId="62C3BFEA" w:rsidR="00CE7502" w:rsidRDefault="00CE7502" w:rsidP="00CE7502">
      <w:pPr>
        <w:spacing w:before="30"/>
        <w:ind w:left="1"/>
        <w:rPr>
          <w:sz w:val="18"/>
        </w:rPr>
      </w:pPr>
      <w:r>
        <w:rPr>
          <w:rFonts w:ascii="Arial" w:hAnsi="Arial"/>
          <w:b/>
          <w:sz w:val="18"/>
        </w:rPr>
        <w:t>Categoría:</w:t>
      </w:r>
      <w:r>
        <w:rPr>
          <w:rFonts w:ascii="Arial" w:hAnsi="Arial"/>
          <w:b/>
          <w:spacing w:val="-8"/>
          <w:sz w:val="18"/>
        </w:rPr>
        <w:t xml:space="preserve"> </w:t>
      </w:r>
      <w:r w:rsidR="00BB633F" w:rsidRPr="00BB633F">
        <w:rPr>
          <w:sz w:val="18"/>
        </w:rPr>
        <w:t>Regulación y Economía Minera</w:t>
      </w:r>
    </w:p>
    <w:p w14:paraId="0D8ED6A7" w14:textId="77777777" w:rsidR="00BB633F" w:rsidRDefault="00CE7502" w:rsidP="00CE7502">
      <w:pPr>
        <w:spacing w:before="13" w:line="276" w:lineRule="auto"/>
        <w:ind w:left="1"/>
        <w:rPr>
          <w:rFonts w:ascii="Arial" w:hAnsi="Arial"/>
          <w:b/>
          <w:spacing w:val="-3"/>
          <w:sz w:val="18"/>
        </w:rPr>
      </w:pPr>
      <w:r>
        <w:rPr>
          <w:rFonts w:ascii="Arial" w:hAnsi="Arial"/>
          <w:b/>
          <w:sz w:val="18"/>
        </w:rPr>
        <w:t>Datos</w:t>
      </w:r>
      <w:r>
        <w:rPr>
          <w:rFonts w:ascii="Arial" w:hAnsi="Arial"/>
          <w:b/>
          <w:spacing w:val="-3"/>
          <w:sz w:val="18"/>
        </w:rPr>
        <w:t xml:space="preserve"> </w:t>
      </w:r>
      <w:r>
        <w:rPr>
          <w:rFonts w:ascii="Arial" w:hAnsi="Arial"/>
          <w:b/>
          <w:sz w:val="18"/>
        </w:rPr>
        <w:t>del</w:t>
      </w:r>
      <w:r>
        <w:rPr>
          <w:rFonts w:ascii="Arial" w:hAnsi="Arial"/>
          <w:b/>
          <w:spacing w:val="-5"/>
          <w:sz w:val="18"/>
        </w:rPr>
        <w:t xml:space="preserve"> </w:t>
      </w:r>
      <w:r>
        <w:rPr>
          <w:rFonts w:ascii="Arial" w:hAnsi="Arial"/>
          <w:b/>
          <w:sz w:val="18"/>
        </w:rPr>
        <w:t>autor</w:t>
      </w:r>
      <w:r>
        <w:rPr>
          <w:rFonts w:ascii="Arial" w:hAnsi="Arial"/>
          <w:b/>
          <w:spacing w:val="-3"/>
          <w:sz w:val="18"/>
        </w:rPr>
        <w:t xml:space="preserve"> </w:t>
      </w:r>
      <w:r>
        <w:rPr>
          <w:rFonts w:ascii="Arial" w:hAnsi="Arial"/>
          <w:b/>
          <w:sz w:val="18"/>
        </w:rPr>
        <w:t>y</w:t>
      </w:r>
      <w:r>
        <w:rPr>
          <w:rFonts w:ascii="Arial" w:hAnsi="Arial"/>
          <w:b/>
          <w:spacing w:val="-5"/>
          <w:sz w:val="18"/>
        </w:rPr>
        <w:t xml:space="preserve"> </w:t>
      </w:r>
      <w:r>
        <w:rPr>
          <w:rFonts w:ascii="Arial" w:hAnsi="Arial"/>
          <w:b/>
          <w:sz w:val="18"/>
        </w:rPr>
        <w:t>coautores:</w:t>
      </w:r>
      <w:r>
        <w:rPr>
          <w:rFonts w:ascii="Arial" w:hAnsi="Arial"/>
          <w:b/>
          <w:spacing w:val="-3"/>
          <w:sz w:val="18"/>
        </w:rPr>
        <w:t xml:space="preserve"> </w:t>
      </w:r>
    </w:p>
    <w:p w14:paraId="5B3C2E1C" w14:textId="0326822A" w:rsidR="00BB633F" w:rsidRDefault="00CE7502" w:rsidP="00BB633F">
      <w:pPr>
        <w:pStyle w:val="Prrafodelista"/>
        <w:numPr>
          <w:ilvl w:val="0"/>
          <w:numId w:val="3"/>
        </w:numPr>
        <w:spacing w:before="13" w:line="276" w:lineRule="auto"/>
        <w:rPr>
          <w:sz w:val="18"/>
        </w:rPr>
      </w:pPr>
      <w:r w:rsidRPr="00BB633F">
        <w:rPr>
          <w:sz w:val="18"/>
        </w:rPr>
        <w:t>Nombres</w:t>
      </w:r>
      <w:r w:rsidRPr="00BB633F">
        <w:rPr>
          <w:spacing w:val="-4"/>
          <w:sz w:val="18"/>
        </w:rPr>
        <w:t xml:space="preserve"> </w:t>
      </w:r>
      <w:r w:rsidRPr="00BB633F">
        <w:rPr>
          <w:sz w:val="18"/>
        </w:rPr>
        <w:t>completos</w:t>
      </w:r>
      <w:r w:rsidR="00BB633F">
        <w:rPr>
          <w:sz w:val="18"/>
        </w:rPr>
        <w:t>: José Armando Pineda Terreros</w:t>
      </w:r>
    </w:p>
    <w:p w14:paraId="1B8EBEB3" w14:textId="4A5AF235" w:rsidR="00BB633F" w:rsidRDefault="00BB633F" w:rsidP="00BB633F">
      <w:pPr>
        <w:pStyle w:val="Prrafodelista"/>
        <w:numPr>
          <w:ilvl w:val="0"/>
          <w:numId w:val="3"/>
        </w:numPr>
        <w:spacing w:before="13" w:line="276" w:lineRule="auto"/>
        <w:rPr>
          <w:sz w:val="18"/>
        </w:rPr>
      </w:pPr>
      <w:r>
        <w:rPr>
          <w:sz w:val="18"/>
        </w:rPr>
        <w:t>E</w:t>
      </w:r>
      <w:r w:rsidR="00CE7502" w:rsidRPr="00BB633F">
        <w:rPr>
          <w:sz w:val="18"/>
        </w:rPr>
        <w:t>mpresa</w:t>
      </w:r>
      <w:r>
        <w:rPr>
          <w:sz w:val="18"/>
        </w:rPr>
        <w:t>: Promotora de Inversiones Elite SAC</w:t>
      </w:r>
    </w:p>
    <w:p w14:paraId="644C2593" w14:textId="7F4A04A8" w:rsidR="00BB633F" w:rsidRDefault="00BB633F" w:rsidP="00BB633F">
      <w:pPr>
        <w:pStyle w:val="Prrafodelista"/>
        <w:numPr>
          <w:ilvl w:val="0"/>
          <w:numId w:val="3"/>
        </w:numPr>
        <w:spacing w:before="13" w:line="276" w:lineRule="auto"/>
        <w:rPr>
          <w:sz w:val="18"/>
        </w:rPr>
      </w:pPr>
      <w:r>
        <w:rPr>
          <w:sz w:val="18"/>
        </w:rPr>
        <w:t>C</w:t>
      </w:r>
      <w:r w:rsidR="00CE7502" w:rsidRPr="00BB633F">
        <w:rPr>
          <w:sz w:val="18"/>
        </w:rPr>
        <w:t>argo</w:t>
      </w:r>
      <w:r>
        <w:rPr>
          <w:sz w:val="18"/>
        </w:rPr>
        <w:t>: Director de Proyectos</w:t>
      </w:r>
    </w:p>
    <w:p w14:paraId="5F472CDB" w14:textId="77777777" w:rsidR="00BB633F" w:rsidRDefault="00BB633F" w:rsidP="00BB633F">
      <w:pPr>
        <w:pStyle w:val="Prrafodelista"/>
        <w:numPr>
          <w:ilvl w:val="0"/>
          <w:numId w:val="3"/>
        </w:numPr>
        <w:spacing w:before="13" w:line="276" w:lineRule="auto"/>
        <w:rPr>
          <w:sz w:val="18"/>
        </w:rPr>
      </w:pPr>
      <w:r>
        <w:rPr>
          <w:sz w:val="18"/>
        </w:rPr>
        <w:t>D</w:t>
      </w:r>
      <w:r w:rsidR="00CE7502" w:rsidRPr="00BB633F">
        <w:rPr>
          <w:sz w:val="18"/>
        </w:rPr>
        <w:t>irección</w:t>
      </w:r>
      <w:r>
        <w:rPr>
          <w:sz w:val="18"/>
        </w:rPr>
        <w:t>: Av. Javier Prado Este 4403, Santiago de Surco, Lima.</w:t>
      </w:r>
    </w:p>
    <w:p w14:paraId="49D25E44" w14:textId="519F4E62" w:rsidR="00BB633F" w:rsidRDefault="00BB633F" w:rsidP="00BB633F">
      <w:pPr>
        <w:pStyle w:val="Prrafodelista"/>
        <w:numPr>
          <w:ilvl w:val="0"/>
          <w:numId w:val="3"/>
        </w:numPr>
        <w:spacing w:before="13" w:line="276" w:lineRule="auto"/>
        <w:rPr>
          <w:sz w:val="18"/>
        </w:rPr>
      </w:pPr>
      <w:r>
        <w:rPr>
          <w:sz w:val="18"/>
        </w:rPr>
        <w:t>C</w:t>
      </w:r>
      <w:r w:rsidR="00CE7502" w:rsidRPr="00BB633F">
        <w:rPr>
          <w:sz w:val="18"/>
        </w:rPr>
        <w:t>orreo</w:t>
      </w:r>
      <w:r w:rsidR="00CE7502" w:rsidRPr="00BB633F">
        <w:rPr>
          <w:spacing w:val="-4"/>
          <w:sz w:val="18"/>
        </w:rPr>
        <w:t xml:space="preserve"> </w:t>
      </w:r>
      <w:r w:rsidR="00CE7502" w:rsidRPr="00BB633F">
        <w:rPr>
          <w:sz w:val="18"/>
        </w:rPr>
        <w:t>corporativo</w:t>
      </w:r>
      <w:r>
        <w:rPr>
          <w:sz w:val="18"/>
        </w:rPr>
        <w:t xml:space="preserve">: </w:t>
      </w:r>
      <w:r w:rsidRPr="00BB633F">
        <w:rPr>
          <w:sz w:val="18"/>
        </w:rPr>
        <w:t>Jose.Pineda@inversiones-elite.com</w:t>
      </w:r>
    </w:p>
    <w:p w14:paraId="7A2B360A" w14:textId="0D333C45" w:rsidR="00BB633F" w:rsidRDefault="00BB633F" w:rsidP="00BB633F">
      <w:pPr>
        <w:pStyle w:val="Prrafodelista"/>
        <w:numPr>
          <w:ilvl w:val="0"/>
          <w:numId w:val="3"/>
        </w:numPr>
        <w:spacing w:before="13" w:line="276" w:lineRule="auto"/>
        <w:rPr>
          <w:sz w:val="18"/>
        </w:rPr>
      </w:pPr>
      <w:r>
        <w:rPr>
          <w:sz w:val="18"/>
        </w:rPr>
        <w:t>C</w:t>
      </w:r>
      <w:r w:rsidR="00CE7502" w:rsidRPr="00BB633F">
        <w:rPr>
          <w:sz w:val="18"/>
        </w:rPr>
        <w:t>orreo personal</w:t>
      </w:r>
      <w:r>
        <w:rPr>
          <w:sz w:val="18"/>
        </w:rPr>
        <w:t xml:space="preserve">: </w:t>
      </w:r>
      <w:r w:rsidRPr="00BB633F">
        <w:rPr>
          <w:sz w:val="18"/>
        </w:rPr>
        <w:t>Jose.Pineda@PeruMine.com</w:t>
      </w:r>
      <w:r>
        <w:rPr>
          <w:sz w:val="18"/>
        </w:rPr>
        <w:t xml:space="preserve"> ; </w:t>
      </w:r>
      <w:r w:rsidRPr="00BB633F">
        <w:rPr>
          <w:sz w:val="18"/>
        </w:rPr>
        <w:t>jose.pineda.t@uni.edu.pe</w:t>
      </w:r>
    </w:p>
    <w:p w14:paraId="04505383" w14:textId="3DE47DA0" w:rsidR="00CE7502" w:rsidRPr="00BB633F" w:rsidRDefault="00BB633F" w:rsidP="00BB633F">
      <w:pPr>
        <w:pStyle w:val="Prrafodelista"/>
        <w:numPr>
          <w:ilvl w:val="0"/>
          <w:numId w:val="3"/>
        </w:numPr>
        <w:spacing w:before="13" w:line="276" w:lineRule="auto"/>
        <w:rPr>
          <w:sz w:val="18"/>
        </w:rPr>
      </w:pPr>
      <w:r>
        <w:rPr>
          <w:sz w:val="18"/>
        </w:rPr>
        <w:t>C</w:t>
      </w:r>
      <w:r w:rsidR="00CE7502" w:rsidRPr="00BB633F">
        <w:rPr>
          <w:sz w:val="18"/>
        </w:rPr>
        <w:t>elular</w:t>
      </w:r>
      <w:r>
        <w:rPr>
          <w:sz w:val="18"/>
        </w:rPr>
        <w:t>: 953-753-670</w:t>
      </w:r>
      <w:r w:rsidR="00CE7502" w:rsidRPr="00BB633F">
        <w:rPr>
          <w:sz w:val="18"/>
        </w:rPr>
        <w:t>.</w:t>
      </w:r>
    </w:p>
    <w:p w14:paraId="18A084FC" w14:textId="26BF0990" w:rsidR="00CE7502" w:rsidRDefault="00CE7502" w:rsidP="00BB633F">
      <w:pPr>
        <w:pStyle w:val="Textoindependiente"/>
        <w:spacing w:before="2" w:line="276" w:lineRule="auto"/>
        <w:ind w:left="1"/>
      </w:pPr>
      <w:r>
        <w:rPr>
          <w:rFonts w:ascii="Arial" w:hAnsi="Arial"/>
          <w:b/>
        </w:rPr>
        <w:t xml:space="preserve">Palabras claves: </w:t>
      </w:r>
      <w:r w:rsidR="00BB633F">
        <w:t>desarrollo sostenible, estrategia de promoción de inversiones, cartera de proyectos mineros, gestión del riesgo; sostenibilidad del sector minero; Perú minero.</w:t>
      </w:r>
    </w:p>
    <w:p w14:paraId="71D94FC2" w14:textId="77777777" w:rsidR="00BB633F" w:rsidRDefault="00CE7502" w:rsidP="00CE7502">
      <w:pPr>
        <w:pStyle w:val="Textoindependiente"/>
        <w:spacing w:line="276" w:lineRule="auto"/>
        <w:ind w:left="1"/>
        <w:rPr>
          <w:rFonts w:ascii="Arial" w:hAnsi="Arial"/>
          <w:b/>
          <w:spacing w:val="-4"/>
        </w:rPr>
      </w:pPr>
      <w:r>
        <w:rPr>
          <w:rFonts w:ascii="Arial" w:hAnsi="Arial"/>
          <w:b/>
        </w:rPr>
        <w:t>Importante:</w:t>
      </w:r>
      <w:r>
        <w:rPr>
          <w:rFonts w:ascii="Arial" w:hAnsi="Arial"/>
          <w:b/>
          <w:spacing w:val="-4"/>
        </w:rPr>
        <w:t xml:space="preserve"> </w:t>
      </w:r>
    </w:p>
    <w:p w14:paraId="308B16A6" w14:textId="2D6619BB" w:rsidR="00BB06AF" w:rsidRDefault="00BB633F" w:rsidP="00BB06AF">
      <w:pPr>
        <w:pStyle w:val="Textoindependiente"/>
        <w:spacing w:line="276" w:lineRule="auto"/>
        <w:ind w:left="1"/>
        <w:jc w:val="both"/>
      </w:pPr>
      <w:r>
        <w:t xml:space="preserve">La presente investigación fue </w:t>
      </w:r>
      <w:r w:rsidR="00BB06AF">
        <w:t>elaborada</w:t>
      </w:r>
      <w:r>
        <w:t xml:space="preserve"> en el año 2024 por el autor </w:t>
      </w:r>
      <w:r w:rsidR="00BB06AF">
        <w:t xml:space="preserve">del presente artículo </w:t>
      </w:r>
      <w:r>
        <w:t>para sustentar la Tesis de Doctor en Medio Ambiente y Desarrollo Sostenible en la Universidad Nacional Federico Villarreal (Perú), bajo el título “</w:t>
      </w:r>
      <w:r w:rsidRPr="00BB633F">
        <w:rPr>
          <w:i/>
          <w:iCs/>
        </w:rPr>
        <w:t>Estrategia de promoción de inversiones mineras y la sostenibilidad del sector minero, Perú – 2024</w:t>
      </w:r>
      <w:r>
        <w:t xml:space="preserve">”, la que se halla publicado en el portal de dicha casa de estudios </w:t>
      </w:r>
      <w:r w:rsidR="00BB06AF" w:rsidRPr="00BB06AF">
        <w:t>https://repositorio.unfv.edu.pe/handle/20.500.13084/9998</w:t>
      </w:r>
      <w:r>
        <w:t xml:space="preserve"> y la revista científica</w:t>
      </w:r>
      <w:r w:rsidR="00BB06AF">
        <w:t xml:space="preserve"> Earth Institute Journal (</w:t>
      </w:r>
      <w:r w:rsidR="00BB06AF" w:rsidRPr="00BB06AF">
        <w:t>www.earthinstitute.us</w:t>
      </w:r>
      <w:r w:rsidR="00BB06AF">
        <w:t xml:space="preserve">) bajo el URL </w:t>
      </w:r>
      <w:r w:rsidR="00BB06AF" w:rsidRPr="00BB06AF">
        <w:t>https://doi.org/10.71018/eij.2024.07</w:t>
      </w:r>
      <w:r>
        <w:t>.</w:t>
      </w:r>
      <w:r w:rsidR="00BB06AF">
        <w:t xml:space="preserve"> La presente publicación hace las actualizaciones o cambios relevantes al año 2025.</w:t>
      </w:r>
    </w:p>
    <w:p w14:paraId="79616F69" w14:textId="77777777" w:rsidR="00544249" w:rsidRDefault="00544249" w:rsidP="00BB06AF">
      <w:pPr>
        <w:pStyle w:val="Textoindependiente"/>
        <w:spacing w:line="276" w:lineRule="auto"/>
        <w:ind w:left="1"/>
        <w:jc w:val="both"/>
      </w:pPr>
    </w:p>
    <w:p w14:paraId="0D1DD896" w14:textId="7070CCC6" w:rsidR="00544249" w:rsidRDefault="00544249" w:rsidP="00544249">
      <w:pPr>
        <w:pStyle w:val="Ttulo1"/>
      </w:pPr>
      <w:r>
        <w:t>Contenido Resumen</w:t>
      </w:r>
      <w:r>
        <w:rPr>
          <w:spacing w:val="-2"/>
        </w:rPr>
        <w:t>:</w:t>
      </w:r>
    </w:p>
    <w:p w14:paraId="1B98D1CC" w14:textId="6C978AD9" w:rsidR="00243E7A" w:rsidRPr="00361029" w:rsidRDefault="00243E7A" w:rsidP="00CE7502">
      <w:pPr>
        <w:pStyle w:val="Textoindependiente"/>
        <w:spacing w:before="30" w:line="276" w:lineRule="auto"/>
        <w:ind w:left="1" w:right="141"/>
        <w:jc w:val="both"/>
        <w:rPr>
          <w:b/>
          <w:bCs/>
          <w:i/>
          <w:iCs/>
        </w:rPr>
      </w:pPr>
      <w:r w:rsidRPr="00361029">
        <w:rPr>
          <w:b/>
          <w:bCs/>
          <w:i/>
          <w:iCs/>
        </w:rPr>
        <w:t>C</w:t>
      </w:r>
      <w:r w:rsidR="00CE7502" w:rsidRPr="00361029">
        <w:rPr>
          <w:b/>
          <w:bCs/>
          <w:i/>
          <w:iCs/>
        </w:rPr>
        <w:t>ontexto</w:t>
      </w:r>
      <w:r w:rsidR="00CE7502" w:rsidRPr="00361029">
        <w:rPr>
          <w:b/>
          <w:bCs/>
          <w:i/>
          <w:iCs/>
          <w:spacing w:val="-2"/>
        </w:rPr>
        <w:t xml:space="preserve"> </w:t>
      </w:r>
      <w:r w:rsidR="00CE7502" w:rsidRPr="00361029">
        <w:rPr>
          <w:b/>
          <w:bCs/>
          <w:i/>
          <w:iCs/>
        </w:rPr>
        <w:t>o</w:t>
      </w:r>
      <w:r w:rsidR="00CE7502" w:rsidRPr="00361029">
        <w:rPr>
          <w:b/>
          <w:bCs/>
          <w:i/>
          <w:iCs/>
          <w:spacing w:val="-2"/>
        </w:rPr>
        <w:t xml:space="preserve"> </w:t>
      </w:r>
      <w:r w:rsidR="00CE7502" w:rsidRPr="00361029">
        <w:rPr>
          <w:b/>
          <w:bCs/>
          <w:i/>
          <w:iCs/>
        </w:rPr>
        <w:t>escenario</w:t>
      </w:r>
      <w:r w:rsidRPr="00361029">
        <w:rPr>
          <w:b/>
          <w:bCs/>
          <w:i/>
          <w:iCs/>
        </w:rPr>
        <w:t>:</w:t>
      </w:r>
    </w:p>
    <w:p w14:paraId="1BC07F35" w14:textId="3C3F9B33" w:rsidR="00361029" w:rsidRDefault="00361029" w:rsidP="00361029">
      <w:pPr>
        <w:pStyle w:val="Textoindependiente"/>
        <w:spacing w:line="276" w:lineRule="auto"/>
        <w:ind w:left="1" w:right="229"/>
        <w:jc w:val="both"/>
      </w:pPr>
      <w:r>
        <w:t>Perú, al cierre del año 2023, en lugar de aprovechar la oportunidad de gran demanda de minerales y los precios altos de los metales, contrariamente, se ha afectado la producción minera (oro por ejemplo, ha caído desde las 208 toneladas producidas en el año 2005 a 99.92 toneladas del año 2023), y caídas en las inversiones en nuevos proyectos mineros, asociadas a una falta de voluntad política, trabas y excesos de permisos impuestas por el gobierno, diversos conflictos socio ambientales y otros, afectando a este importante sector de la economía nacional.</w:t>
      </w:r>
    </w:p>
    <w:p w14:paraId="6336311D" w14:textId="77777777" w:rsidR="00361029" w:rsidRDefault="00361029" w:rsidP="00361029">
      <w:pPr>
        <w:pStyle w:val="Textoindependiente"/>
        <w:spacing w:line="276" w:lineRule="auto"/>
        <w:ind w:left="1" w:right="229"/>
        <w:jc w:val="both"/>
      </w:pPr>
    </w:p>
    <w:p w14:paraId="03F32843" w14:textId="77777777" w:rsidR="00361029" w:rsidRDefault="00361029" w:rsidP="00361029">
      <w:pPr>
        <w:pStyle w:val="Textoindependiente"/>
        <w:spacing w:line="276" w:lineRule="auto"/>
        <w:ind w:left="1" w:right="229"/>
        <w:jc w:val="both"/>
      </w:pPr>
      <w:r>
        <w:t>Cómo una de las consecuencias evidentes, en el aspecto económico, agravada por los efectos del Covid’19, al término del año 2023, el Perú ha caído fuertemente en su PBI a -0.6%, entrando a una delicada recesión económica, en donde el índice de pobreza monetaria alcanzó al término del año 2023 un valor de 29%, es decir, se ha retrocedido hasta el año 2010 (alcanzó 30.8%), es decir en más de una década perdida.</w:t>
      </w:r>
    </w:p>
    <w:p w14:paraId="47DE20E2" w14:textId="77777777" w:rsidR="00361029" w:rsidRDefault="00361029" w:rsidP="00361029">
      <w:pPr>
        <w:pStyle w:val="Textoindependiente"/>
        <w:spacing w:line="276" w:lineRule="auto"/>
        <w:ind w:left="1" w:right="229"/>
        <w:jc w:val="both"/>
      </w:pPr>
    </w:p>
    <w:p w14:paraId="10D72E1F" w14:textId="65C06292" w:rsidR="00E542E7" w:rsidRDefault="00361029" w:rsidP="00E542E7">
      <w:pPr>
        <w:pStyle w:val="Textoindependiente"/>
        <w:spacing w:line="276" w:lineRule="auto"/>
        <w:ind w:left="1" w:right="229"/>
        <w:jc w:val="both"/>
      </w:pPr>
      <w:r>
        <w:t xml:space="preserve">En el contexto internacional, el índice de atracción a la inversión minera publicada por Fraser Institute (Canadá), </w:t>
      </w:r>
      <w:r w:rsidR="00E542E7">
        <w:t xml:space="preserve">muestra una caída en el índice de atracción a la inversión minera en el Perú de 81.6% del año 2018 a 44% al año 2023, afectada por la caída en la calificación de la percepción política, llegando incluso en el año 2022 al nivel histórico más bajo (34%), y como consecuencia la caída en el índice de potencial minero a 44.4% en el año 2023, la cual debe ser interpretada cómo nuestro país viene siendo </w:t>
      </w:r>
    </w:p>
    <w:p w14:paraId="42DCCA81" w14:textId="61CECF6D" w:rsidR="00361029" w:rsidRDefault="00E542E7" w:rsidP="00E542E7">
      <w:pPr>
        <w:pStyle w:val="Textoindependiente"/>
        <w:spacing w:line="276" w:lineRule="auto"/>
        <w:ind w:left="1" w:right="229"/>
        <w:jc w:val="both"/>
      </w:pPr>
      <w:r>
        <w:t xml:space="preserve">desplazado del puesto 8 en el 2018 al puesto 42 en el año 2023, por otros países donde se vienen realizando exploraciones mineras y descubriendo grandes yacimientos mineros de cobre y cobalto como es el caso de Congo (país africano), quién se proyecta desplazará a Perú en los siguientes años como </w:t>
      </w:r>
      <w:r>
        <w:lastRenderedPageBreak/>
        <w:t>segundo mayor productor mundial de cobre, atrayendo a los mayores inversionistas mineros del mundo.</w:t>
      </w:r>
    </w:p>
    <w:p w14:paraId="227FB868" w14:textId="77777777" w:rsidR="00E542E7" w:rsidRDefault="00E542E7" w:rsidP="00361029">
      <w:pPr>
        <w:pStyle w:val="Textoindependiente"/>
        <w:spacing w:line="276" w:lineRule="auto"/>
        <w:ind w:left="1" w:right="229"/>
        <w:jc w:val="both"/>
      </w:pPr>
    </w:p>
    <w:p w14:paraId="113E1E00" w14:textId="56A0BDCA" w:rsidR="00544249" w:rsidRDefault="00E542E7" w:rsidP="00E542E7">
      <w:pPr>
        <w:pStyle w:val="Textoindependiente"/>
        <w:spacing w:line="276" w:lineRule="auto"/>
        <w:ind w:left="1" w:right="229"/>
        <w:jc w:val="both"/>
      </w:pPr>
      <w:r>
        <w:t>En ese contexto, en el año 2024, el autor del presente trabajo de investigación</w:t>
      </w:r>
      <w:r w:rsidR="007B7E9C">
        <w:t xml:space="preserve">, quien cuenta con más de 25 años de experiencia en el proceso de promoción de inversiones mineras en el Perú, </w:t>
      </w:r>
      <w:r>
        <w:t>elaboró la Tesis antes descrito “</w:t>
      </w:r>
      <w:r w:rsidRPr="00BB633F">
        <w:rPr>
          <w:i/>
          <w:iCs/>
        </w:rPr>
        <w:t>Estrategia de promoción de inversiones mineras y la sostenibilidad del sector minero, Perú – 2024</w:t>
      </w:r>
      <w:r>
        <w:t>”, como una contribución al</w:t>
      </w:r>
      <w:r w:rsidR="00361029">
        <w:t xml:space="preserve"> planteamiento del problema, v</w:t>
      </w:r>
      <w:r>
        <w:t xml:space="preserve">iendo </w:t>
      </w:r>
      <w:r w:rsidR="00361029">
        <w:t>la urgencia de reactivar la economía, promoviendo estrategias para atraer las inversiones en el sector minero y con visión del desarrollo sostenible</w:t>
      </w:r>
      <w:r>
        <w:t xml:space="preserve"> y la agenda global que promueve Naciones Unidas</w:t>
      </w:r>
      <w:r w:rsidR="00361029">
        <w:t>.</w:t>
      </w:r>
    </w:p>
    <w:p w14:paraId="2245D7AC" w14:textId="77777777" w:rsidR="00E542E7" w:rsidRDefault="00E542E7" w:rsidP="00E542E7">
      <w:pPr>
        <w:pStyle w:val="Textoindependiente"/>
        <w:spacing w:line="276" w:lineRule="auto"/>
        <w:ind w:left="1" w:right="229"/>
        <w:jc w:val="both"/>
      </w:pPr>
    </w:p>
    <w:p w14:paraId="1952BC9D" w14:textId="2B9948D9" w:rsidR="00361029" w:rsidRPr="00361029" w:rsidRDefault="00361029" w:rsidP="00361029">
      <w:pPr>
        <w:pStyle w:val="Textoindependiente"/>
        <w:spacing w:line="276" w:lineRule="auto"/>
        <w:ind w:left="1" w:right="229"/>
        <w:rPr>
          <w:b/>
          <w:bCs/>
          <w:i/>
          <w:iCs/>
        </w:rPr>
      </w:pPr>
      <w:r w:rsidRPr="00361029">
        <w:rPr>
          <w:b/>
          <w:bCs/>
          <w:i/>
          <w:iCs/>
        </w:rPr>
        <w:t>Resumen</w:t>
      </w:r>
    </w:p>
    <w:p w14:paraId="3FD92A1F" w14:textId="08D6159D" w:rsidR="00544249" w:rsidRDefault="00544249" w:rsidP="00544249">
      <w:pPr>
        <w:pStyle w:val="Textoindependiente"/>
        <w:spacing w:line="276" w:lineRule="auto"/>
        <w:ind w:left="1" w:right="229"/>
        <w:jc w:val="both"/>
      </w:pPr>
      <w:r>
        <w:t xml:space="preserve">Para alcanzar la meta mundial del Net Zero al 2050, se va a requerir minerales para las tecnologías de energías renovables; Perú es un importante país minero, sin embargo, en los últimos años se han afectado gravemente varios proyectos de inversión minera asociadas a una falta de voluntad política, trabas y excesos de permisos impuestas por el gobierno, los conflictos socio ambientales y otros. El objetivo es proponer una estrategia de promoción de inversiones mineras y la sostenibilidad del sector minero peruano; como materiales y método, se basa en consolidar las lecciones aprendidas ejecutadas (1990 - 2023); y como resultado, se presenta la estrategia de promoción de inversiones en minería junto al índice de sostenibilidad del sector minero (issm) con valoración de 62% al cierre del 2023 (calificación media y decreciente), dando lugar a conclusiones y recomendaciones para aprovechar las fortalezas y oportunidades de mayor precio internacional y demanda de minerales que el mundo va a requerir en los próximos años para impulsar las energías limpias y renovables, retomando la promoción de inversiones </w:t>
      </w:r>
    </w:p>
    <w:p w14:paraId="19874B81" w14:textId="6622DB58" w:rsidR="00544249" w:rsidRDefault="00544249" w:rsidP="00544249">
      <w:pPr>
        <w:pStyle w:val="Textoindependiente"/>
        <w:spacing w:line="276" w:lineRule="auto"/>
        <w:ind w:left="1" w:right="229"/>
        <w:jc w:val="both"/>
      </w:pPr>
      <w:r>
        <w:t>mineras y la sostenibilidad del sector minero peruano, con una participación proactiva del estado y los actores involucrados.</w:t>
      </w:r>
    </w:p>
    <w:p w14:paraId="419D9805" w14:textId="77777777" w:rsidR="00E542E7" w:rsidRDefault="00E542E7" w:rsidP="00544249">
      <w:pPr>
        <w:pStyle w:val="Textoindependiente"/>
        <w:spacing w:line="276" w:lineRule="auto"/>
        <w:ind w:left="1" w:right="229"/>
        <w:jc w:val="both"/>
      </w:pPr>
    </w:p>
    <w:p w14:paraId="1EF417F5" w14:textId="772F0EB9" w:rsidR="00BE1C28" w:rsidRDefault="00BE1C28" w:rsidP="00544249">
      <w:pPr>
        <w:pStyle w:val="Textoindependiente"/>
        <w:spacing w:line="276" w:lineRule="auto"/>
        <w:ind w:left="1" w:right="229"/>
        <w:jc w:val="both"/>
      </w:pPr>
      <w:r>
        <w:t>Para mayor referencia se adjuntan los URL del Articulo Científico y Tesis en referencia.</w:t>
      </w:r>
    </w:p>
    <w:p w14:paraId="7F8A3693" w14:textId="77777777" w:rsidR="00BE1C28" w:rsidRDefault="00BE1C28" w:rsidP="00544249">
      <w:pPr>
        <w:pStyle w:val="Textoindependiente"/>
        <w:spacing w:line="276" w:lineRule="auto"/>
        <w:ind w:left="1" w:right="229"/>
        <w:jc w:val="both"/>
      </w:pPr>
    </w:p>
    <w:p w14:paraId="052BD4B8" w14:textId="28A714E9" w:rsidR="00E542E7" w:rsidRDefault="00E542E7" w:rsidP="00E542E7">
      <w:pPr>
        <w:pStyle w:val="Textoindependiente"/>
        <w:spacing w:line="276" w:lineRule="auto"/>
        <w:ind w:left="1" w:right="229"/>
        <w:jc w:val="both"/>
      </w:pPr>
      <w:r w:rsidRPr="00E542E7">
        <w:rPr>
          <w:b/>
          <w:bCs/>
          <w:i/>
          <w:iCs/>
        </w:rPr>
        <w:t>Actualización de la investigación</w:t>
      </w:r>
      <w:r>
        <w:t xml:space="preserve"> </w:t>
      </w:r>
    </w:p>
    <w:p w14:paraId="3787C54F" w14:textId="01C80137" w:rsidR="00E542E7" w:rsidRDefault="00E542E7" w:rsidP="00E542E7">
      <w:pPr>
        <w:pStyle w:val="Textoindependiente"/>
        <w:spacing w:line="276" w:lineRule="auto"/>
        <w:ind w:left="1" w:right="229"/>
        <w:jc w:val="both"/>
      </w:pPr>
      <w:r>
        <w:t>El autor de la presente investigación</w:t>
      </w:r>
      <w:r w:rsidR="007B7E9C">
        <w:t xml:space="preserve"> para el PERUMIN 37</w:t>
      </w:r>
      <w:r>
        <w:t>, que se propone bajo el título “</w:t>
      </w:r>
      <w:r w:rsidRPr="00E542E7">
        <w:rPr>
          <w:i/>
          <w:iCs/>
        </w:rPr>
        <w:t>Estrategia de promoción de inversiones y la sostenibilidad del sector minero en el Perú</w:t>
      </w:r>
      <w:r>
        <w:t xml:space="preserve">” </w:t>
      </w:r>
      <w:r w:rsidR="00BE1C28">
        <w:t xml:space="preserve">a ser elaborada </w:t>
      </w:r>
      <w:r>
        <w:t>para el FORO DE TECNOLOGÍA, INNOVACIÓN Y SOSTENIBILIDAD - PERUMIN 37 Convención Minera Arequipa, 22 – 26 de setiembre, 2025</w:t>
      </w:r>
      <w:r w:rsidR="00BE1C28">
        <w:t xml:space="preserve">, </w:t>
      </w:r>
      <w:r w:rsidR="007B7E9C">
        <w:t xml:space="preserve">realizará </w:t>
      </w:r>
      <w:r w:rsidR="00BE1C28">
        <w:t xml:space="preserve">una actualización y adecuación relevante </w:t>
      </w:r>
      <w:r w:rsidR="007B7E9C">
        <w:t>con datos publicados en el año 2025</w:t>
      </w:r>
      <w:r w:rsidR="00BE1C28">
        <w:t xml:space="preserve">, que se presentará oportunamente cuando haya sido aceptada la propuesta, bajo el </w:t>
      </w:r>
      <w:r>
        <w:t>Tema</w:t>
      </w:r>
      <w:r w:rsidR="00BE1C28">
        <w:t xml:space="preserve"> “</w:t>
      </w:r>
      <w:r>
        <w:t>Importancia de la minería en economías emergentes</w:t>
      </w:r>
      <w:r w:rsidR="00BE1C28">
        <w:t xml:space="preserve">” y </w:t>
      </w:r>
      <w:r>
        <w:t>Categoría</w:t>
      </w:r>
      <w:r w:rsidR="00BE1C28">
        <w:t xml:space="preserve"> “</w:t>
      </w:r>
      <w:r>
        <w:t>Regulación y Economía Minera</w:t>
      </w:r>
      <w:r w:rsidR="00BE1C28">
        <w:t>”</w:t>
      </w:r>
    </w:p>
    <w:p w14:paraId="53CC0D8D" w14:textId="77777777" w:rsidR="00CE7502" w:rsidRDefault="00CE7502" w:rsidP="00CE7502">
      <w:pPr>
        <w:pStyle w:val="Ttulo1"/>
      </w:pPr>
      <w:r>
        <w:t>Reseña</w:t>
      </w:r>
      <w:r>
        <w:rPr>
          <w:spacing w:val="-12"/>
        </w:rPr>
        <w:t xml:space="preserve"> </w:t>
      </w:r>
      <w:r>
        <w:rPr>
          <w:spacing w:val="-2"/>
        </w:rPr>
        <w:t>profesional:</w:t>
      </w:r>
    </w:p>
    <w:p w14:paraId="10CE4023" w14:textId="1A20DFF0" w:rsidR="00B8485F" w:rsidRDefault="00243E7A" w:rsidP="0015234D">
      <w:pPr>
        <w:pStyle w:val="Textoindependiente"/>
        <w:spacing w:before="31" w:line="276" w:lineRule="auto"/>
        <w:ind w:left="1" w:right="-1"/>
        <w:jc w:val="both"/>
      </w:pPr>
      <w:r>
        <w:t>José Pineda es Doctor en Medio Ambiente y Desarrollo Sostenible; Master en Gestión Minera e Ingeniero de Minas egresado de la Universidad Nacional de Ingeniería (UNI). Cuenta con más de 25 años de experiencia en el Proceso de Promoción de Inversiones Mineras, participando desde la Privatización de Tintaya (1990-1994); seguido de la Privatización de las Unidades y Proyectos Mineros de Centromín Perú S.A. y Minero Perú S.A. (</w:t>
      </w:r>
      <w:r w:rsidR="0015234D">
        <w:t xml:space="preserve">1995-2002) y </w:t>
      </w:r>
      <w:r>
        <w:t xml:space="preserve">culminando la Privatización Minera </w:t>
      </w:r>
      <w:r w:rsidR="0015234D">
        <w:t xml:space="preserve">desde </w:t>
      </w:r>
      <w:r>
        <w:t>PROINVERSIÓN</w:t>
      </w:r>
      <w:r w:rsidR="0015234D">
        <w:t xml:space="preserve"> (2003-2011)</w:t>
      </w:r>
      <w:r>
        <w:t xml:space="preserve"> y miembro del equipo de Asesores del Ministerio de Energía y Minas (2011-2014); </w:t>
      </w:r>
      <w:r w:rsidR="0015234D">
        <w:t xml:space="preserve">desde 2003 </w:t>
      </w:r>
      <w:r>
        <w:t xml:space="preserve">Consultor en servicios EPCM para minería; y </w:t>
      </w:r>
      <w:r w:rsidR="0015234D">
        <w:t xml:space="preserve">desde el 2024 </w:t>
      </w:r>
      <w:r>
        <w:t>Docente de Maestría en Minería en la UNI, Lima - Perú. ORCID: 0000-0003-3345-8715.</w:t>
      </w:r>
    </w:p>
    <w:sectPr w:rsidR="00B8485F" w:rsidSect="00CE7502">
      <w:headerReference w:type="default" r:id="rId7"/>
      <w:pgSz w:w="11906" w:h="16838"/>
      <w:pgMar w:top="1985" w:right="1701" w:bottom="156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3F697" w14:textId="77777777" w:rsidR="00E27B05" w:rsidRDefault="00E27B05" w:rsidP="00CE7502">
      <w:r>
        <w:separator/>
      </w:r>
    </w:p>
  </w:endnote>
  <w:endnote w:type="continuationSeparator" w:id="0">
    <w:p w14:paraId="630C96ED" w14:textId="77777777" w:rsidR="00E27B05" w:rsidRDefault="00E27B05" w:rsidP="00CE75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85784" w14:textId="77777777" w:rsidR="00E27B05" w:rsidRDefault="00E27B05" w:rsidP="00CE7502">
      <w:r>
        <w:separator/>
      </w:r>
    </w:p>
  </w:footnote>
  <w:footnote w:type="continuationSeparator" w:id="0">
    <w:p w14:paraId="46BB11B2" w14:textId="77777777" w:rsidR="00E27B05" w:rsidRDefault="00E27B05" w:rsidP="00CE75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673D7" w14:textId="12215530" w:rsidR="00CE7502" w:rsidRDefault="00CE7502">
    <w:pPr>
      <w:pStyle w:val="Encabezado"/>
    </w:pPr>
    <w:r>
      <w:rPr>
        <w:rFonts w:ascii="Times New Roman"/>
        <w:noProof/>
        <w:sz w:val="20"/>
      </w:rPr>
      <w:drawing>
        <wp:anchor distT="0" distB="0" distL="0" distR="0" simplePos="0" relativeHeight="251659264" behindDoc="1" locked="0" layoutInCell="1" allowOverlap="1" wp14:anchorId="23CDD101" wp14:editId="79DD985D">
          <wp:simplePos x="0" y="0"/>
          <wp:positionH relativeFrom="page">
            <wp:posOffset>523875</wp:posOffset>
          </wp:positionH>
          <wp:positionV relativeFrom="page">
            <wp:posOffset>390525</wp:posOffset>
          </wp:positionV>
          <wp:extent cx="6591300" cy="9906000"/>
          <wp:effectExtent l="0" t="0" r="0" b="0"/>
          <wp:wrapNone/>
          <wp:docPr id="882111961" name="Image 1" descr="Un conjunto de letras negras en un fondo negr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Un conjunto de letras negras en un fondo negro&#10;&#10;El contenido generado por IA puede ser incorrecto."/>
                  <pic:cNvPicPr/>
                </pic:nvPicPr>
                <pic:blipFill>
                  <a:blip r:embed="rId1" cstate="print"/>
                  <a:stretch>
                    <a:fillRect/>
                  </a:stretch>
                </pic:blipFill>
                <pic:spPr>
                  <a:xfrm>
                    <a:off x="0" y="0"/>
                    <a:ext cx="6591678" cy="990656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E55B3"/>
    <w:multiLevelType w:val="hybridMultilevel"/>
    <w:tmpl w:val="EEACCEC6"/>
    <w:lvl w:ilvl="0" w:tplc="12A8FCD0">
      <w:start w:val="1"/>
      <w:numFmt w:val="decimal"/>
      <w:lvlText w:val="%1."/>
      <w:lvlJc w:val="left"/>
      <w:pPr>
        <w:ind w:left="721" w:hanging="360"/>
        <w:jc w:val="left"/>
      </w:pPr>
      <w:rPr>
        <w:rFonts w:ascii="Arial MT" w:eastAsia="Arial MT" w:hAnsi="Arial MT" w:cs="Arial MT" w:hint="default"/>
        <w:b w:val="0"/>
        <w:bCs w:val="0"/>
        <w:i w:val="0"/>
        <w:iCs w:val="0"/>
        <w:spacing w:val="0"/>
        <w:w w:val="100"/>
        <w:sz w:val="18"/>
        <w:szCs w:val="18"/>
        <w:lang w:val="es-ES" w:eastAsia="en-US" w:bidi="ar-SA"/>
      </w:rPr>
    </w:lvl>
    <w:lvl w:ilvl="1" w:tplc="4AD408CE">
      <w:numFmt w:val="bullet"/>
      <w:lvlText w:val="•"/>
      <w:lvlJc w:val="left"/>
      <w:pPr>
        <w:ind w:left="1555" w:hanging="360"/>
      </w:pPr>
      <w:rPr>
        <w:rFonts w:hint="default"/>
        <w:lang w:val="es-ES" w:eastAsia="en-US" w:bidi="ar-SA"/>
      </w:rPr>
    </w:lvl>
    <w:lvl w:ilvl="2" w:tplc="1A9083CC">
      <w:numFmt w:val="bullet"/>
      <w:lvlText w:val="•"/>
      <w:lvlJc w:val="left"/>
      <w:pPr>
        <w:ind w:left="2390" w:hanging="360"/>
      </w:pPr>
      <w:rPr>
        <w:rFonts w:hint="default"/>
        <w:lang w:val="es-ES" w:eastAsia="en-US" w:bidi="ar-SA"/>
      </w:rPr>
    </w:lvl>
    <w:lvl w:ilvl="3" w:tplc="CB3420FA">
      <w:numFmt w:val="bullet"/>
      <w:lvlText w:val="•"/>
      <w:lvlJc w:val="left"/>
      <w:pPr>
        <w:ind w:left="3225" w:hanging="360"/>
      </w:pPr>
      <w:rPr>
        <w:rFonts w:hint="default"/>
        <w:lang w:val="es-ES" w:eastAsia="en-US" w:bidi="ar-SA"/>
      </w:rPr>
    </w:lvl>
    <w:lvl w:ilvl="4" w:tplc="A30EF310">
      <w:numFmt w:val="bullet"/>
      <w:lvlText w:val="•"/>
      <w:lvlJc w:val="left"/>
      <w:pPr>
        <w:ind w:left="4060" w:hanging="360"/>
      </w:pPr>
      <w:rPr>
        <w:rFonts w:hint="default"/>
        <w:lang w:val="es-ES" w:eastAsia="en-US" w:bidi="ar-SA"/>
      </w:rPr>
    </w:lvl>
    <w:lvl w:ilvl="5" w:tplc="77C2C078">
      <w:numFmt w:val="bullet"/>
      <w:lvlText w:val="•"/>
      <w:lvlJc w:val="left"/>
      <w:pPr>
        <w:ind w:left="4896" w:hanging="360"/>
      </w:pPr>
      <w:rPr>
        <w:rFonts w:hint="default"/>
        <w:lang w:val="es-ES" w:eastAsia="en-US" w:bidi="ar-SA"/>
      </w:rPr>
    </w:lvl>
    <w:lvl w:ilvl="6" w:tplc="4E3486E2">
      <w:numFmt w:val="bullet"/>
      <w:lvlText w:val="•"/>
      <w:lvlJc w:val="left"/>
      <w:pPr>
        <w:ind w:left="5731" w:hanging="360"/>
      </w:pPr>
      <w:rPr>
        <w:rFonts w:hint="default"/>
        <w:lang w:val="es-ES" w:eastAsia="en-US" w:bidi="ar-SA"/>
      </w:rPr>
    </w:lvl>
    <w:lvl w:ilvl="7" w:tplc="1A6CFFC2">
      <w:numFmt w:val="bullet"/>
      <w:lvlText w:val="•"/>
      <w:lvlJc w:val="left"/>
      <w:pPr>
        <w:ind w:left="6566" w:hanging="360"/>
      </w:pPr>
      <w:rPr>
        <w:rFonts w:hint="default"/>
        <w:lang w:val="es-ES" w:eastAsia="en-US" w:bidi="ar-SA"/>
      </w:rPr>
    </w:lvl>
    <w:lvl w:ilvl="8" w:tplc="6958B030">
      <w:numFmt w:val="bullet"/>
      <w:lvlText w:val="•"/>
      <w:lvlJc w:val="left"/>
      <w:pPr>
        <w:ind w:left="7401" w:hanging="360"/>
      </w:pPr>
      <w:rPr>
        <w:rFonts w:hint="default"/>
        <w:lang w:val="es-ES" w:eastAsia="en-US" w:bidi="ar-SA"/>
      </w:rPr>
    </w:lvl>
  </w:abstractNum>
  <w:abstractNum w:abstractNumId="1" w15:restartNumberingAfterBreak="0">
    <w:nsid w:val="2B5523EC"/>
    <w:multiLevelType w:val="hybridMultilevel"/>
    <w:tmpl w:val="93E8B1A8"/>
    <w:lvl w:ilvl="0" w:tplc="05A024BA">
      <w:numFmt w:val="bullet"/>
      <w:lvlText w:val=""/>
      <w:lvlJc w:val="left"/>
      <w:pPr>
        <w:ind w:left="721" w:hanging="360"/>
      </w:pPr>
      <w:rPr>
        <w:rFonts w:ascii="Symbol" w:eastAsia="Symbol" w:hAnsi="Symbol" w:cs="Symbol" w:hint="default"/>
        <w:b w:val="0"/>
        <w:bCs w:val="0"/>
        <w:i w:val="0"/>
        <w:iCs w:val="0"/>
        <w:spacing w:val="0"/>
        <w:w w:val="100"/>
        <w:sz w:val="18"/>
        <w:szCs w:val="18"/>
        <w:lang w:val="es-ES" w:eastAsia="en-US" w:bidi="ar-SA"/>
      </w:rPr>
    </w:lvl>
    <w:lvl w:ilvl="1" w:tplc="6304EED6">
      <w:numFmt w:val="bullet"/>
      <w:lvlText w:val="•"/>
      <w:lvlJc w:val="left"/>
      <w:pPr>
        <w:ind w:left="1555" w:hanging="360"/>
      </w:pPr>
      <w:rPr>
        <w:rFonts w:hint="default"/>
        <w:lang w:val="es-ES" w:eastAsia="en-US" w:bidi="ar-SA"/>
      </w:rPr>
    </w:lvl>
    <w:lvl w:ilvl="2" w:tplc="1D0A7776">
      <w:numFmt w:val="bullet"/>
      <w:lvlText w:val="•"/>
      <w:lvlJc w:val="left"/>
      <w:pPr>
        <w:ind w:left="2390" w:hanging="360"/>
      </w:pPr>
      <w:rPr>
        <w:rFonts w:hint="default"/>
        <w:lang w:val="es-ES" w:eastAsia="en-US" w:bidi="ar-SA"/>
      </w:rPr>
    </w:lvl>
    <w:lvl w:ilvl="3" w:tplc="7CBE0D82">
      <w:numFmt w:val="bullet"/>
      <w:lvlText w:val="•"/>
      <w:lvlJc w:val="left"/>
      <w:pPr>
        <w:ind w:left="3225" w:hanging="360"/>
      </w:pPr>
      <w:rPr>
        <w:rFonts w:hint="default"/>
        <w:lang w:val="es-ES" w:eastAsia="en-US" w:bidi="ar-SA"/>
      </w:rPr>
    </w:lvl>
    <w:lvl w:ilvl="4" w:tplc="78EA4B96">
      <w:numFmt w:val="bullet"/>
      <w:lvlText w:val="•"/>
      <w:lvlJc w:val="left"/>
      <w:pPr>
        <w:ind w:left="4060" w:hanging="360"/>
      </w:pPr>
      <w:rPr>
        <w:rFonts w:hint="default"/>
        <w:lang w:val="es-ES" w:eastAsia="en-US" w:bidi="ar-SA"/>
      </w:rPr>
    </w:lvl>
    <w:lvl w:ilvl="5" w:tplc="45147F82">
      <w:numFmt w:val="bullet"/>
      <w:lvlText w:val="•"/>
      <w:lvlJc w:val="left"/>
      <w:pPr>
        <w:ind w:left="4896" w:hanging="360"/>
      </w:pPr>
      <w:rPr>
        <w:rFonts w:hint="default"/>
        <w:lang w:val="es-ES" w:eastAsia="en-US" w:bidi="ar-SA"/>
      </w:rPr>
    </w:lvl>
    <w:lvl w:ilvl="6" w:tplc="034027AC">
      <w:numFmt w:val="bullet"/>
      <w:lvlText w:val="•"/>
      <w:lvlJc w:val="left"/>
      <w:pPr>
        <w:ind w:left="5731" w:hanging="360"/>
      </w:pPr>
      <w:rPr>
        <w:rFonts w:hint="default"/>
        <w:lang w:val="es-ES" w:eastAsia="en-US" w:bidi="ar-SA"/>
      </w:rPr>
    </w:lvl>
    <w:lvl w:ilvl="7" w:tplc="591CEB14">
      <w:numFmt w:val="bullet"/>
      <w:lvlText w:val="•"/>
      <w:lvlJc w:val="left"/>
      <w:pPr>
        <w:ind w:left="6566" w:hanging="360"/>
      </w:pPr>
      <w:rPr>
        <w:rFonts w:hint="default"/>
        <w:lang w:val="es-ES" w:eastAsia="en-US" w:bidi="ar-SA"/>
      </w:rPr>
    </w:lvl>
    <w:lvl w:ilvl="8" w:tplc="EDF8D158">
      <w:numFmt w:val="bullet"/>
      <w:lvlText w:val="•"/>
      <w:lvlJc w:val="left"/>
      <w:pPr>
        <w:ind w:left="7401" w:hanging="360"/>
      </w:pPr>
      <w:rPr>
        <w:rFonts w:hint="default"/>
        <w:lang w:val="es-ES" w:eastAsia="en-US" w:bidi="ar-SA"/>
      </w:rPr>
    </w:lvl>
  </w:abstractNum>
  <w:abstractNum w:abstractNumId="2" w15:restartNumberingAfterBreak="0">
    <w:nsid w:val="33D663E5"/>
    <w:multiLevelType w:val="hybridMultilevel"/>
    <w:tmpl w:val="167298BC"/>
    <w:lvl w:ilvl="0" w:tplc="280A0001">
      <w:start w:val="1"/>
      <w:numFmt w:val="bullet"/>
      <w:lvlText w:val=""/>
      <w:lvlJc w:val="left"/>
      <w:pPr>
        <w:ind w:left="721" w:hanging="360"/>
      </w:pPr>
      <w:rPr>
        <w:rFonts w:ascii="Symbol" w:hAnsi="Symbol" w:hint="default"/>
      </w:rPr>
    </w:lvl>
    <w:lvl w:ilvl="1" w:tplc="280A0003" w:tentative="1">
      <w:start w:val="1"/>
      <w:numFmt w:val="bullet"/>
      <w:lvlText w:val="o"/>
      <w:lvlJc w:val="left"/>
      <w:pPr>
        <w:ind w:left="1441" w:hanging="360"/>
      </w:pPr>
      <w:rPr>
        <w:rFonts w:ascii="Courier New" w:hAnsi="Courier New" w:cs="Courier New" w:hint="default"/>
      </w:rPr>
    </w:lvl>
    <w:lvl w:ilvl="2" w:tplc="280A0005" w:tentative="1">
      <w:start w:val="1"/>
      <w:numFmt w:val="bullet"/>
      <w:lvlText w:val=""/>
      <w:lvlJc w:val="left"/>
      <w:pPr>
        <w:ind w:left="2161" w:hanging="360"/>
      </w:pPr>
      <w:rPr>
        <w:rFonts w:ascii="Wingdings" w:hAnsi="Wingdings" w:hint="default"/>
      </w:rPr>
    </w:lvl>
    <w:lvl w:ilvl="3" w:tplc="280A0001" w:tentative="1">
      <w:start w:val="1"/>
      <w:numFmt w:val="bullet"/>
      <w:lvlText w:val=""/>
      <w:lvlJc w:val="left"/>
      <w:pPr>
        <w:ind w:left="2881" w:hanging="360"/>
      </w:pPr>
      <w:rPr>
        <w:rFonts w:ascii="Symbol" w:hAnsi="Symbol" w:hint="default"/>
      </w:rPr>
    </w:lvl>
    <w:lvl w:ilvl="4" w:tplc="280A0003" w:tentative="1">
      <w:start w:val="1"/>
      <w:numFmt w:val="bullet"/>
      <w:lvlText w:val="o"/>
      <w:lvlJc w:val="left"/>
      <w:pPr>
        <w:ind w:left="3601" w:hanging="360"/>
      </w:pPr>
      <w:rPr>
        <w:rFonts w:ascii="Courier New" w:hAnsi="Courier New" w:cs="Courier New" w:hint="default"/>
      </w:rPr>
    </w:lvl>
    <w:lvl w:ilvl="5" w:tplc="280A0005" w:tentative="1">
      <w:start w:val="1"/>
      <w:numFmt w:val="bullet"/>
      <w:lvlText w:val=""/>
      <w:lvlJc w:val="left"/>
      <w:pPr>
        <w:ind w:left="4321" w:hanging="360"/>
      </w:pPr>
      <w:rPr>
        <w:rFonts w:ascii="Wingdings" w:hAnsi="Wingdings" w:hint="default"/>
      </w:rPr>
    </w:lvl>
    <w:lvl w:ilvl="6" w:tplc="280A0001" w:tentative="1">
      <w:start w:val="1"/>
      <w:numFmt w:val="bullet"/>
      <w:lvlText w:val=""/>
      <w:lvlJc w:val="left"/>
      <w:pPr>
        <w:ind w:left="5041" w:hanging="360"/>
      </w:pPr>
      <w:rPr>
        <w:rFonts w:ascii="Symbol" w:hAnsi="Symbol" w:hint="default"/>
      </w:rPr>
    </w:lvl>
    <w:lvl w:ilvl="7" w:tplc="280A0003" w:tentative="1">
      <w:start w:val="1"/>
      <w:numFmt w:val="bullet"/>
      <w:lvlText w:val="o"/>
      <w:lvlJc w:val="left"/>
      <w:pPr>
        <w:ind w:left="5761" w:hanging="360"/>
      </w:pPr>
      <w:rPr>
        <w:rFonts w:ascii="Courier New" w:hAnsi="Courier New" w:cs="Courier New" w:hint="default"/>
      </w:rPr>
    </w:lvl>
    <w:lvl w:ilvl="8" w:tplc="280A0005" w:tentative="1">
      <w:start w:val="1"/>
      <w:numFmt w:val="bullet"/>
      <w:lvlText w:val=""/>
      <w:lvlJc w:val="left"/>
      <w:pPr>
        <w:ind w:left="6481" w:hanging="360"/>
      </w:pPr>
      <w:rPr>
        <w:rFonts w:ascii="Wingdings" w:hAnsi="Wingdings" w:hint="default"/>
      </w:rPr>
    </w:lvl>
  </w:abstractNum>
  <w:num w:numId="1" w16cid:durableId="1727947470">
    <w:abstractNumId w:val="1"/>
  </w:num>
  <w:num w:numId="2" w16cid:durableId="1901593885">
    <w:abstractNumId w:val="0"/>
  </w:num>
  <w:num w:numId="3" w16cid:durableId="819968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502"/>
    <w:rsid w:val="00007ACC"/>
    <w:rsid w:val="00146256"/>
    <w:rsid w:val="0015234D"/>
    <w:rsid w:val="00243E7A"/>
    <w:rsid w:val="00361029"/>
    <w:rsid w:val="00426DA3"/>
    <w:rsid w:val="00544249"/>
    <w:rsid w:val="0062692E"/>
    <w:rsid w:val="007B7E9C"/>
    <w:rsid w:val="00810248"/>
    <w:rsid w:val="009F7444"/>
    <w:rsid w:val="00B11EC4"/>
    <w:rsid w:val="00B67328"/>
    <w:rsid w:val="00B8485F"/>
    <w:rsid w:val="00BB06AF"/>
    <w:rsid w:val="00BB633F"/>
    <w:rsid w:val="00BE1C28"/>
    <w:rsid w:val="00CE7502"/>
    <w:rsid w:val="00D1659E"/>
    <w:rsid w:val="00D74D9B"/>
    <w:rsid w:val="00DF6DDF"/>
    <w:rsid w:val="00E27B05"/>
    <w:rsid w:val="00E542E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DF9C4"/>
  <w15:chartTrackingRefBased/>
  <w15:docId w15:val="{2D9FE1A3-2624-4F07-AA71-2D889D107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7502"/>
    <w:pPr>
      <w:widowControl w:val="0"/>
      <w:autoSpaceDE w:val="0"/>
      <w:autoSpaceDN w:val="0"/>
      <w:spacing w:after="0" w:line="240" w:lineRule="auto"/>
    </w:pPr>
    <w:rPr>
      <w:rFonts w:ascii="Arial MT" w:eastAsia="Arial MT" w:hAnsi="Arial MT" w:cs="Arial MT"/>
      <w:kern w:val="0"/>
      <w:sz w:val="22"/>
      <w:szCs w:val="22"/>
      <w:lang w:val="es-ES"/>
      <w14:ligatures w14:val="none"/>
    </w:rPr>
  </w:style>
  <w:style w:type="paragraph" w:styleId="Ttulo1">
    <w:name w:val="heading 1"/>
    <w:basedOn w:val="Normal"/>
    <w:next w:val="Normal"/>
    <w:link w:val="Ttulo1Car"/>
    <w:uiPriority w:val="9"/>
    <w:qFormat/>
    <w:rsid w:val="00CE75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E75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E750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E750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E750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E750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E750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E750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E750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E750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E750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E750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E750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E750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E750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E750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E750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E7502"/>
    <w:rPr>
      <w:rFonts w:eastAsiaTheme="majorEastAsia" w:cstheme="majorBidi"/>
      <w:color w:val="272727" w:themeColor="text1" w:themeTint="D8"/>
    </w:rPr>
  </w:style>
  <w:style w:type="paragraph" w:styleId="Ttulo">
    <w:name w:val="Title"/>
    <w:basedOn w:val="Normal"/>
    <w:next w:val="Normal"/>
    <w:link w:val="TtuloCar"/>
    <w:uiPriority w:val="10"/>
    <w:qFormat/>
    <w:rsid w:val="00CE7502"/>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E75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E750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E750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E7502"/>
    <w:pPr>
      <w:spacing w:before="160"/>
      <w:jc w:val="center"/>
    </w:pPr>
    <w:rPr>
      <w:i/>
      <w:iCs/>
      <w:color w:val="404040" w:themeColor="text1" w:themeTint="BF"/>
    </w:rPr>
  </w:style>
  <w:style w:type="character" w:customStyle="1" w:styleId="CitaCar">
    <w:name w:val="Cita Car"/>
    <w:basedOn w:val="Fuentedeprrafopredeter"/>
    <w:link w:val="Cita"/>
    <w:uiPriority w:val="29"/>
    <w:rsid w:val="00CE7502"/>
    <w:rPr>
      <w:i/>
      <w:iCs/>
      <w:color w:val="404040" w:themeColor="text1" w:themeTint="BF"/>
    </w:rPr>
  </w:style>
  <w:style w:type="paragraph" w:styleId="Prrafodelista">
    <w:name w:val="List Paragraph"/>
    <w:basedOn w:val="Normal"/>
    <w:uiPriority w:val="1"/>
    <w:qFormat/>
    <w:rsid w:val="00CE7502"/>
    <w:pPr>
      <w:ind w:left="720"/>
      <w:contextualSpacing/>
    </w:pPr>
  </w:style>
  <w:style w:type="character" w:styleId="nfasisintenso">
    <w:name w:val="Intense Emphasis"/>
    <w:basedOn w:val="Fuentedeprrafopredeter"/>
    <w:uiPriority w:val="21"/>
    <w:qFormat/>
    <w:rsid w:val="00CE7502"/>
    <w:rPr>
      <w:i/>
      <w:iCs/>
      <w:color w:val="0F4761" w:themeColor="accent1" w:themeShade="BF"/>
    </w:rPr>
  </w:style>
  <w:style w:type="paragraph" w:styleId="Citadestacada">
    <w:name w:val="Intense Quote"/>
    <w:basedOn w:val="Normal"/>
    <w:next w:val="Normal"/>
    <w:link w:val="CitadestacadaCar"/>
    <w:uiPriority w:val="30"/>
    <w:qFormat/>
    <w:rsid w:val="00CE75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E7502"/>
    <w:rPr>
      <w:i/>
      <w:iCs/>
      <w:color w:val="0F4761" w:themeColor="accent1" w:themeShade="BF"/>
    </w:rPr>
  </w:style>
  <w:style w:type="character" w:styleId="Referenciaintensa">
    <w:name w:val="Intense Reference"/>
    <w:basedOn w:val="Fuentedeprrafopredeter"/>
    <w:uiPriority w:val="32"/>
    <w:qFormat/>
    <w:rsid w:val="00CE7502"/>
    <w:rPr>
      <w:b/>
      <w:bCs/>
      <w:smallCaps/>
      <w:color w:val="0F4761" w:themeColor="accent1" w:themeShade="BF"/>
      <w:spacing w:val="5"/>
    </w:rPr>
  </w:style>
  <w:style w:type="paragraph" w:styleId="Encabezado">
    <w:name w:val="header"/>
    <w:basedOn w:val="Normal"/>
    <w:link w:val="EncabezadoCar"/>
    <w:uiPriority w:val="99"/>
    <w:unhideWhenUsed/>
    <w:rsid w:val="00CE7502"/>
    <w:pPr>
      <w:tabs>
        <w:tab w:val="center" w:pos="4252"/>
        <w:tab w:val="right" w:pos="8504"/>
      </w:tabs>
    </w:pPr>
  </w:style>
  <w:style w:type="character" w:customStyle="1" w:styleId="EncabezadoCar">
    <w:name w:val="Encabezado Car"/>
    <w:basedOn w:val="Fuentedeprrafopredeter"/>
    <w:link w:val="Encabezado"/>
    <w:uiPriority w:val="99"/>
    <w:rsid w:val="00CE7502"/>
  </w:style>
  <w:style w:type="paragraph" w:styleId="Piedepgina">
    <w:name w:val="footer"/>
    <w:basedOn w:val="Normal"/>
    <w:link w:val="PiedepginaCar"/>
    <w:uiPriority w:val="99"/>
    <w:unhideWhenUsed/>
    <w:rsid w:val="00CE7502"/>
    <w:pPr>
      <w:tabs>
        <w:tab w:val="center" w:pos="4252"/>
        <w:tab w:val="right" w:pos="8504"/>
      </w:tabs>
    </w:pPr>
  </w:style>
  <w:style w:type="character" w:customStyle="1" w:styleId="PiedepginaCar">
    <w:name w:val="Pie de página Car"/>
    <w:basedOn w:val="Fuentedeprrafopredeter"/>
    <w:link w:val="Piedepgina"/>
    <w:uiPriority w:val="99"/>
    <w:rsid w:val="00CE7502"/>
  </w:style>
  <w:style w:type="paragraph" w:styleId="Textoindependiente">
    <w:name w:val="Body Text"/>
    <w:basedOn w:val="Normal"/>
    <w:link w:val="TextoindependienteCar"/>
    <w:uiPriority w:val="1"/>
    <w:qFormat/>
    <w:rsid w:val="00CE7502"/>
    <w:rPr>
      <w:sz w:val="18"/>
      <w:szCs w:val="18"/>
    </w:rPr>
  </w:style>
  <w:style w:type="character" w:customStyle="1" w:styleId="TextoindependienteCar">
    <w:name w:val="Texto independiente Car"/>
    <w:basedOn w:val="Fuentedeprrafopredeter"/>
    <w:link w:val="Textoindependiente"/>
    <w:uiPriority w:val="1"/>
    <w:rsid w:val="00CE7502"/>
    <w:rPr>
      <w:rFonts w:ascii="Arial MT" w:eastAsia="Arial MT" w:hAnsi="Arial MT" w:cs="Arial MT"/>
      <w:kern w:val="0"/>
      <w:sz w:val="18"/>
      <w:szCs w:val="18"/>
      <w:lang w:val="es-ES"/>
      <w14:ligatures w14:val="none"/>
    </w:rPr>
  </w:style>
  <w:style w:type="character" w:styleId="Hipervnculo">
    <w:name w:val="Hyperlink"/>
    <w:basedOn w:val="Fuentedeprrafopredeter"/>
    <w:uiPriority w:val="99"/>
    <w:unhideWhenUsed/>
    <w:rsid w:val="00BB633F"/>
    <w:rPr>
      <w:color w:val="467886" w:themeColor="hyperlink"/>
      <w:u w:val="single"/>
    </w:rPr>
  </w:style>
  <w:style w:type="character" w:styleId="Mencinsinresolver">
    <w:name w:val="Unresolved Mention"/>
    <w:basedOn w:val="Fuentedeprrafopredeter"/>
    <w:uiPriority w:val="99"/>
    <w:semiHidden/>
    <w:unhideWhenUsed/>
    <w:rsid w:val="00BB63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414</TotalTime>
  <Pages>2</Pages>
  <Words>1049</Words>
  <Characters>5773</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Estrategia de promoción de inversiones y la sostenibilidad del sector minero en el Perú</dc:title>
  <dc:subject/>
  <dc:creator>José Pineda</dc:creator>
  <cp:keywords/>
  <dc:description/>
  <cp:lastModifiedBy>Gocom Peru</cp:lastModifiedBy>
  <cp:revision>5</cp:revision>
  <dcterms:created xsi:type="dcterms:W3CDTF">2025-04-20T15:40:00Z</dcterms:created>
  <dcterms:modified xsi:type="dcterms:W3CDTF">2025-04-21T14:04:00Z</dcterms:modified>
</cp:coreProperties>
</file>