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BFF84" w14:textId="77777777" w:rsidR="008E6FF1" w:rsidRPr="00AD15DA" w:rsidRDefault="008E6FF1" w:rsidP="008E6FF1">
      <w:pPr>
        <w:spacing w:before="120"/>
        <w:jc w:val="center"/>
        <w:rPr>
          <w:rFonts w:ascii="Arial" w:hAnsi="Arial" w:cs="Arial"/>
          <w:b/>
          <w:sz w:val="22"/>
          <w:lang w:val="es-PE"/>
        </w:rPr>
      </w:pPr>
      <w:bookmarkStart w:id="0" w:name="_Hlk196401225"/>
      <w:r w:rsidRPr="00AD15DA">
        <w:rPr>
          <w:rFonts w:ascii="Arial" w:hAnsi="Arial" w:cs="Arial"/>
          <w:b/>
          <w:sz w:val="22"/>
          <w:lang w:val="es-PE"/>
        </w:rPr>
        <w:t>Aplicaciones de la evaluación de riesgos en Recursos Minerales</w:t>
      </w:r>
    </w:p>
    <w:p w14:paraId="5A666649" w14:textId="77777777" w:rsidR="008E6FF1" w:rsidRPr="00AD15DA" w:rsidRDefault="008E6FF1" w:rsidP="008E6FF1">
      <w:pPr>
        <w:pStyle w:val="011Autores"/>
        <w:spacing w:line="360" w:lineRule="auto"/>
        <w:ind w:left="0"/>
        <w:jc w:val="both"/>
        <w:rPr>
          <w:rFonts w:ascii="Arial" w:hAnsi="Arial" w:cs="Arial"/>
          <w:color w:val="000000" w:themeColor="text1"/>
          <w:sz w:val="22"/>
          <w:szCs w:val="22"/>
          <w:lang w:val="es-PE"/>
        </w:rPr>
      </w:pPr>
      <w:r w:rsidRPr="00AD15DA">
        <w:rPr>
          <w:rFonts w:ascii="Arial" w:hAnsi="Arial" w:cs="Arial"/>
          <w:color w:val="000000" w:themeColor="text1"/>
          <w:sz w:val="22"/>
          <w:szCs w:val="22"/>
          <w:lang w:val="es-PE"/>
        </w:rPr>
        <w:t xml:space="preserve">Tema: </w:t>
      </w:r>
      <w:r w:rsidRPr="00AD15DA">
        <w:rPr>
          <w:rFonts w:ascii="Arial" w:hAnsi="Arial" w:cs="Arial"/>
          <w:b w:val="0"/>
          <w:bCs w:val="0"/>
          <w:color w:val="000000" w:themeColor="text1"/>
          <w:sz w:val="22"/>
          <w:szCs w:val="22"/>
          <w:lang w:val="es-PE"/>
        </w:rPr>
        <w:t>Geología y Exploraciones</w:t>
      </w:r>
      <w:r w:rsidRPr="00AD15DA">
        <w:rPr>
          <w:rFonts w:ascii="Arial" w:hAnsi="Arial" w:cs="Arial"/>
          <w:color w:val="000000" w:themeColor="text1"/>
          <w:sz w:val="22"/>
          <w:szCs w:val="22"/>
          <w:lang w:val="es-PE"/>
        </w:rPr>
        <w:t xml:space="preserve">          </w:t>
      </w:r>
    </w:p>
    <w:p w14:paraId="256ED7C3" w14:textId="77777777" w:rsidR="008E6FF1" w:rsidRPr="00AD15DA" w:rsidRDefault="008E6FF1" w:rsidP="008E6FF1">
      <w:pPr>
        <w:pStyle w:val="011Autores"/>
        <w:spacing w:line="360" w:lineRule="auto"/>
        <w:ind w:left="0"/>
        <w:jc w:val="both"/>
        <w:rPr>
          <w:rFonts w:ascii="Arial" w:hAnsi="Arial" w:cs="Arial"/>
          <w:color w:val="000000" w:themeColor="text1"/>
          <w:sz w:val="22"/>
          <w:szCs w:val="22"/>
          <w:lang w:val="es-PE"/>
        </w:rPr>
      </w:pPr>
      <w:r w:rsidRPr="00AD15DA">
        <w:rPr>
          <w:rFonts w:ascii="Arial" w:hAnsi="Arial" w:cs="Arial"/>
          <w:color w:val="000000" w:themeColor="text1"/>
          <w:sz w:val="22"/>
          <w:szCs w:val="22"/>
          <w:lang w:val="es-PE"/>
        </w:rPr>
        <w:t>Tema:</w:t>
      </w:r>
      <w:r w:rsidRPr="00AD15DA">
        <w:rPr>
          <w:rFonts w:ascii="Arial" w:eastAsia="Calibri" w:hAnsi="Arial" w:cs="Arial"/>
          <w:b w:val="0"/>
          <w:bCs w:val="0"/>
          <w:color w:val="000000" w:themeColor="text1"/>
          <w:sz w:val="22"/>
          <w:szCs w:val="22"/>
          <w:lang w:val="es-PE"/>
        </w:rPr>
        <w:t xml:space="preserve"> </w:t>
      </w:r>
      <w:r w:rsidRPr="00AD15DA">
        <w:rPr>
          <w:rFonts w:ascii="Arial" w:hAnsi="Arial" w:cs="Arial"/>
          <w:b w:val="0"/>
          <w:bCs w:val="0"/>
          <w:color w:val="000000" w:themeColor="text1"/>
          <w:sz w:val="22"/>
          <w:szCs w:val="22"/>
          <w:lang w:val="es-PE"/>
        </w:rPr>
        <w:t>Tecnologías digitales y de IA: Aplicaciones e impacto en las exploraciones, modelamiento y estimación de recursos. Exploración y cartografía autónomas en las operaciones mineras y alrededores.</w:t>
      </w:r>
    </w:p>
    <w:p w14:paraId="28581421" w14:textId="77777777" w:rsidR="008E6FF1" w:rsidRPr="00AD15DA" w:rsidRDefault="008E6FF1" w:rsidP="008E6FF1">
      <w:pPr>
        <w:pStyle w:val="011Autores"/>
        <w:spacing w:line="360" w:lineRule="auto"/>
        <w:ind w:left="0"/>
        <w:jc w:val="both"/>
        <w:rPr>
          <w:rFonts w:ascii="Arial" w:hAnsi="Arial" w:cs="Arial"/>
          <w:b w:val="0"/>
          <w:bCs w:val="0"/>
          <w:color w:val="000000" w:themeColor="text1"/>
          <w:sz w:val="22"/>
          <w:szCs w:val="22"/>
          <w:lang w:val="es-PE"/>
        </w:rPr>
      </w:pPr>
      <w:bookmarkStart w:id="1" w:name="_Hlk196401259"/>
      <w:bookmarkEnd w:id="0"/>
      <w:r w:rsidRPr="00AD15DA">
        <w:rPr>
          <w:rFonts w:ascii="Arial" w:hAnsi="Arial" w:cs="Arial"/>
          <w:b w:val="0"/>
          <w:bCs w:val="0"/>
          <w:color w:val="000000" w:themeColor="text1"/>
          <w:sz w:val="22"/>
          <w:szCs w:val="22"/>
          <w:lang w:val="es-PE"/>
        </w:rPr>
        <w:t xml:space="preserve">Jose Gutierrez Ramirez </w:t>
      </w:r>
      <w:r w:rsidRPr="00AD15DA">
        <w:rPr>
          <w:rFonts w:ascii="Arial" w:hAnsi="Arial" w:cs="Arial"/>
          <w:b w:val="0"/>
          <w:bCs w:val="0"/>
          <w:color w:val="000000" w:themeColor="text1"/>
          <w:sz w:val="22"/>
          <w:szCs w:val="22"/>
          <w:vertAlign w:val="superscript"/>
          <w:lang w:val="es-PE"/>
        </w:rPr>
        <w:t>1</w:t>
      </w:r>
      <w:r w:rsidRPr="00AD15DA">
        <w:rPr>
          <w:rFonts w:ascii="Arial" w:hAnsi="Arial" w:cs="Arial"/>
          <w:b w:val="0"/>
          <w:bCs w:val="0"/>
          <w:color w:val="000000" w:themeColor="text1"/>
          <w:sz w:val="22"/>
          <w:szCs w:val="22"/>
          <w:lang w:val="es-PE"/>
        </w:rPr>
        <w:t>*, Compañía de Mina Buenaventura, director de Modelamiento, Las Begonias 415, Piso 19, San Isidro – Lima, Jose.Gutierrez@Buenaventura.pe, egutierrezgtc@gmail.com, 989046067</w:t>
      </w:r>
      <w:bookmarkEnd w:id="1"/>
    </w:p>
    <w:p w14:paraId="560909FB" w14:textId="77777777" w:rsidR="008E6FF1" w:rsidRPr="00AD15DA" w:rsidRDefault="008E6FF1" w:rsidP="008E6FF1">
      <w:pPr>
        <w:pStyle w:val="011Autores"/>
        <w:spacing w:line="360" w:lineRule="auto"/>
        <w:ind w:left="0"/>
        <w:jc w:val="both"/>
        <w:rPr>
          <w:rFonts w:ascii="Arial" w:hAnsi="Arial" w:cs="Arial"/>
          <w:b w:val="0"/>
          <w:bCs w:val="0"/>
          <w:color w:val="000000" w:themeColor="text1"/>
          <w:sz w:val="22"/>
          <w:szCs w:val="22"/>
          <w:lang w:val="es-PE"/>
        </w:rPr>
      </w:pPr>
      <w:bookmarkStart w:id="2" w:name="_Hlk196401295"/>
      <w:r w:rsidRPr="00AD15DA">
        <w:rPr>
          <w:rFonts w:ascii="Arial" w:hAnsi="Arial" w:cs="Arial"/>
          <w:b w:val="0"/>
          <w:bCs w:val="0"/>
          <w:color w:val="000000" w:themeColor="text1"/>
          <w:sz w:val="22"/>
          <w:szCs w:val="22"/>
          <w:lang w:val="es-PE"/>
        </w:rPr>
        <w:t xml:space="preserve">Eliott Hidalgo Muñoz </w:t>
      </w:r>
      <w:r w:rsidRPr="00AD15DA">
        <w:rPr>
          <w:rFonts w:ascii="Arial" w:hAnsi="Arial" w:cs="Arial"/>
          <w:b w:val="0"/>
          <w:bCs w:val="0"/>
          <w:color w:val="000000" w:themeColor="text1"/>
          <w:sz w:val="22"/>
          <w:szCs w:val="22"/>
          <w:vertAlign w:val="superscript"/>
          <w:lang w:val="es-PE"/>
        </w:rPr>
        <w:t>2</w:t>
      </w:r>
      <w:r w:rsidRPr="00AD15DA">
        <w:rPr>
          <w:rFonts w:ascii="Arial" w:hAnsi="Arial" w:cs="Arial"/>
          <w:b w:val="0"/>
          <w:bCs w:val="0"/>
          <w:color w:val="000000" w:themeColor="text1"/>
          <w:sz w:val="22"/>
          <w:szCs w:val="22"/>
          <w:lang w:val="es-PE"/>
        </w:rPr>
        <w:t>*, Compañía de Mina Buenaventura, jefe de Modelamiento, Las Begonias 415, Piso 19, San Isidro – Lima, Eliott.Hidalgo@Buenaventura.pe, Hidalgo0284@gmail.com, 913949220</w:t>
      </w:r>
    </w:p>
    <w:p w14:paraId="71D2D0B5" w14:textId="4AE85573" w:rsidR="008E6FF1" w:rsidRDefault="008E6FF1" w:rsidP="008E6FF1">
      <w:pPr>
        <w:pStyle w:val="011Autores"/>
        <w:spacing w:line="360" w:lineRule="auto"/>
        <w:ind w:left="0"/>
        <w:rPr>
          <w:rFonts w:ascii="Arial" w:hAnsi="Arial" w:cs="Arial"/>
          <w:b w:val="0"/>
          <w:bCs w:val="0"/>
          <w:color w:val="000000" w:themeColor="text1"/>
          <w:sz w:val="22"/>
          <w:szCs w:val="22"/>
          <w:lang w:val="es-PE"/>
        </w:rPr>
      </w:pPr>
      <w:bookmarkStart w:id="3" w:name="_Hlk196401309"/>
      <w:r w:rsidRPr="00AD15DA">
        <w:rPr>
          <w:rFonts w:ascii="Arial" w:hAnsi="Arial" w:cs="Arial"/>
          <w:b w:val="0"/>
          <w:bCs w:val="0"/>
          <w:color w:val="000000" w:themeColor="text1"/>
          <w:sz w:val="22"/>
          <w:szCs w:val="22"/>
          <w:lang w:val="es-PE"/>
        </w:rPr>
        <w:t xml:space="preserve">Octavio Vargas Machuca </w:t>
      </w:r>
      <w:r w:rsidRPr="00AD15DA">
        <w:rPr>
          <w:rFonts w:ascii="Arial" w:hAnsi="Arial" w:cs="Arial"/>
          <w:b w:val="0"/>
          <w:bCs w:val="0"/>
          <w:color w:val="000000" w:themeColor="text1"/>
          <w:sz w:val="22"/>
          <w:szCs w:val="22"/>
          <w:vertAlign w:val="superscript"/>
          <w:lang w:val="es-PE"/>
        </w:rPr>
        <w:t>3</w:t>
      </w:r>
      <w:r w:rsidRPr="00AD15DA">
        <w:rPr>
          <w:rFonts w:ascii="Arial" w:hAnsi="Arial" w:cs="Arial"/>
          <w:b w:val="0"/>
          <w:bCs w:val="0"/>
          <w:color w:val="000000" w:themeColor="text1"/>
          <w:sz w:val="22"/>
          <w:szCs w:val="22"/>
          <w:lang w:val="es-PE"/>
        </w:rPr>
        <w:t xml:space="preserve">*, Compañía de Mina Buenaventura, jefe de Modelamiento, Las Begonias 415, Piso 19, San Isidro – Lima, </w:t>
      </w:r>
      <w:r w:rsidR="00792573" w:rsidRPr="00AD15DA">
        <w:rPr>
          <w:rFonts w:ascii="Arial" w:hAnsi="Arial" w:cs="Arial"/>
          <w:b w:val="0"/>
          <w:bCs w:val="0"/>
          <w:color w:val="000000" w:themeColor="text1"/>
          <w:sz w:val="22"/>
          <w:szCs w:val="22"/>
          <w:lang w:val="es-PE"/>
        </w:rPr>
        <w:t>Octavio.vargasmachuca@buenaventura.pe</w:t>
      </w:r>
      <w:r w:rsidRPr="00AD15DA">
        <w:rPr>
          <w:rFonts w:ascii="Arial" w:hAnsi="Arial" w:cs="Arial"/>
          <w:b w:val="0"/>
          <w:bCs w:val="0"/>
          <w:color w:val="000000" w:themeColor="text1"/>
          <w:sz w:val="22"/>
          <w:szCs w:val="22"/>
          <w:lang w:val="es-PE"/>
        </w:rPr>
        <w:t xml:space="preserve">, </w:t>
      </w:r>
      <w:hyperlink r:id="rId7" w:history="1">
        <w:r w:rsidRPr="00AD15DA">
          <w:rPr>
            <w:rFonts w:ascii="Arial" w:hAnsi="Arial" w:cs="Arial"/>
            <w:b w:val="0"/>
            <w:bCs w:val="0"/>
            <w:color w:val="000000" w:themeColor="text1"/>
            <w:sz w:val="22"/>
            <w:szCs w:val="22"/>
            <w:lang w:val="es-PE"/>
          </w:rPr>
          <w:t>ovargasmb@gmail.com</w:t>
        </w:r>
      </w:hyperlink>
      <w:r w:rsidRPr="00AD15DA">
        <w:rPr>
          <w:rFonts w:ascii="Arial" w:hAnsi="Arial" w:cs="Arial"/>
          <w:b w:val="0"/>
          <w:bCs w:val="0"/>
          <w:color w:val="000000" w:themeColor="text1"/>
          <w:sz w:val="22"/>
          <w:szCs w:val="22"/>
          <w:lang w:val="es-PE"/>
        </w:rPr>
        <w:t xml:space="preserve"> , </w:t>
      </w:r>
      <w:bookmarkStart w:id="4" w:name="_Hlk196401359"/>
      <w:bookmarkEnd w:id="3"/>
      <w:r w:rsidR="00792573" w:rsidRPr="00AD15DA">
        <w:rPr>
          <w:rFonts w:ascii="Arial" w:hAnsi="Arial" w:cs="Arial"/>
          <w:b w:val="0"/>
          <w:bCs w:val="0"/>
          <w:color w:val="000000" w:themeColor="text1"/>
          <w:sz w:val="22"/>
          <w:szCs w:val="22"/>
          <w:lang w:val="es-PE"/>
        </w:rPr>
        <w:t>993234839</w:t>
      </w:r>
    </w:p>
    <w:p w14:paraId="5BFEA1B0" w14:textId="68AAA40B" w:rsidR="005E652B" w:rsidRPr="00AD15DA" w:rsidRDefault="005E652B" w:rsidP="005E652B">
      <w:pPr>
        <w:pStyle w:val="011Autores"/>
        <w:spacing w:line="360" w:lineRule="auto"/>
        <w:ind w:left="0"/>
        <w:rPr>
          <w:rFonts w:ascii="Arial" w:hAnsi="Arial" w:cs="Arial"/>
          <w:b w:val="0"/>
          <w:bCs w:val="0"/>
          <w:color w:val="404040" w:themeColor="text1" w:themeTint="BF"/>
          <w:sz w:val="22"/>
          <w:szCs w:val="22"/>
          <w:lang w:val="es-PE"/>
        </w:rPr>
      </w:pPr>
      <w:r w:rsidRPr="00AD15DA">
        <w:rPr>
          <w:rFonts w:ascii="Arial" w:hAnsi="Arial" w:cs="Arial"/>
          <w:color w:val="000000" w:themeColor="text1"/>
          <w:sz w:val="22"/>
          <w:szCs w:val="22"/>
          <w:lang w:val="es-PE"/>
        </w:rPr>
        <w:t>Palabras claves</w:t>
      </w:r>
      <w:r w:rsidRPr="00AD15DA">
        <w:rPr>
          <w:rFonts w:ascii="Arial" w:hAnsi="Arial" w:cs="Arial"/>
          <w:b w:val="0"/>
          <w:bCs w:val="0"/>
          <w:color w:val="000000" w:themeColor="text1"/>
          <w:sz w:val="22"/>
          <w:szCs w:val="22"/>
          <w:lang w:val="es-PE"/>
        </w:rPr>
        <w:t>:</w:t>
      </w:r>
      <w:r w:rsidRPr="00AD15DA">
        <w:rPr>
          <w:rFonts w:ascii="Arial" w:hAnsi="Arial" w:cs="Arial"/>
          <w:color w:val="000000" w:themeColor="text1"/>
          <w:sz w:val="22"/>
          <w:szCs w:val="22"/>
          <w:lang w:val="es-PE"/>
        </w:rPr>
        <w:t xml:space="preserve"> </w:t>
      </w:r>
      <w:r w:rsidRPr="00AD15DA">
        <w:rPr>
          <w:rFonts w:ascii="Arial" w:hAnsi="Arial" w:cs="Arial"/>
          <w:b w:val="0"/>
          <w:bCs w:val="0"/>
          <w:color w:val="000000" w:themeColor="text1"/>
          <w:sz w:val="22"/>
          <w:szCs w:val="22"/>
          <w:lang w:val="es-PE"/>
        </w:rPr>
        <w:t xml:space="preserve">Incertidumbre, </w:t>
      </w:r>
      <w:r w:rsidR="00037D4A">
        <w:rPr>
          <w:rFonts w:ascii="Arial" w:hAnsi="Arial" w:cs="Arial"/>
          <w:b w:val="0"/>
          <w:bCs w:val="0"/>
          <w:color w:val="000000" w:themeColor="text1"/>
          <w:sz w:val="22"/>
          <w:szCs w:val="22"/>
          <w:lang w:val="es-PE"/>
        </w:rPr>
        <w:t>plan de minado</w:t>
      </w:r>
      <w:r w:rsidRPr="00AD15DA">
        <w:rPr>
          <w:rFonts w:ascii="Arial" w:hAnsi="Arial" w:cs="Arial"/>
          <w:b w:val="0"/>
          <w:bCs w:val="0"/>
          <w:color w:val="000000" w:themeColor="text1"/>
          <w:sz w:val="22"/>
          <w:szCs w:val="22"/>
          <w:lang w:val="es-PE"/>
        </w:rPr>
        <w:t xml:space="preserve">, valor en riesgo, simulación gaussiana, </w:t>
      </w:r>
      <w:r w:rsidR="00037D4A">
        <w:rPr>
          <w:rFonts w:ascii="Arial" w:hAnsi="Arial" w:cs="Arial"/>
          <w:b w:val="0"/>
          <w:bCs w:val="0"/>
          <w:color w:val="000000" w:themeColor="text1"/>
          <w:sz w:val="22"/>
          <w:szCs w:val="22"/>
          <w:lang w:val="es-PE"/>
        </w:rPr>
        <w:t>modelo de recursos.</w:t>
      </w:r>
    </w:p>
    <w:p w14:paraId="3BC260D9" w14:textId="3DA0B495" w:rsidR="00C6558D" w:rsidRPr="00AD15DA" w:rsidRDefault="00C6558D" w:rsidP="008E6FF1">
      <w:pPr>
        <w:pStyle w:val="011Autores"/>
        <w:spacing w:line="360" w:lineRule="auto"/>
        <w:ind w:left="0"/>
        <w:rPr>
          <w:rFonts w:ascii="Arial" w:hAnsi="Arial" w:cs="Arial"/>
          <w:color w:val="000000" w:themeColor="text1"/>
          <w:sz w:val="22"/>
          <w:szCs w:val="22"/>
          <w:lang w:val="es-PE"/>
        </w:rPr>
      </w:pPr>
      <w:r w:rsidRPr="00AD15DA">
        <w:rPr>
          <w:rFonts w:ascii="Arial" w:hAnsi="Arial" w:cs="Arial"/>
          <w:color w:val="404040" w:themeColor="text1" w:themeTint="BF"/>
          <w:sz w:val="22"/>
          <w:szCs w:val="22"/>
          <w:lang w:val="es-PE"/>
        </w:rPr>
        <w:t>RESUMEN</w:t>
      </w:r>
    </w:p>
    <w:p w14:paraId="429DFBAD" w14:textId="16B8CA51" w:rsidR="00C6558D" w:rsidRPr="00AD15DA" w:rsidRDefault="00C6558D" w:rsidP="00C6558D">
      <w:pPr>
        <w:spacing w:line="360" w:lineRule="auto"/>
        <w:jc w:val="both"/>
        <w:rPr>
          <w:rFonts w:ascii="Arial" w:hAnsi="Arial" w:cs="Arial"/>
          <w:b/>
          <w:bCs/>
          <w:sz w:val="22"/>
          <w:lang w:val="es-PE"/>
        </w:rPr>
      </w:pPr>
      <w:bookmarkStart w:id="5" w:name="_Hlk196466306"/>
      <w:bookmarkEnd w:id="4"/>
      <w:r w:rsidRPr="00AD15DA">
        <w:rPr>
          <w:rFonts w:ascii="Arial" w:hAnsi="Arial" w:cs="Arial"/>
          <w:sz w:val="22"/>
          <w:lang w:val="es-PE"/>
        </w:rPr>
        <w:t xml:space="preserve">En la evaluación de un modelo de recursos, muchas veces no se considera la incertidumbre de las variables que lo componen (ley, densidad, precio), entre otras. Para abordar esta problemática, se incorpora la incertidumbre de estas variables mediante estrategias como la simulación secuencial gaussiana </w:t>
      </w:r>
      <w:r w:rsidR="00651403" w:rsidRPr="00AD15DA">
        <w:rPr>
          <w:rFonts w:ascii="Arial" w:hAnsi="Arial" w:cs="Arial"/>
          <w:sz w:val="22"/>
          <w:lang w:val="es-PE"/>
        </w:rPr>
        <w:t xml:space="preserve">(ley) </w:t>
      </w:r>
      <w:r w:rsidRPr="00AD15DA">
        <w:rPr>
          <w:rFonts w:ascii="Arial" w:hAnsi="Arial" w:cs="Arial"/>
          <w:sz w:val="22"/>
          <w:lang w:val="es-PE"/>
        </w:rPr>
        <w:t xml:space="preserve">u otras, y la aplicación de una herramienta denominada Valor en Riesgo (VaR) al 5% con un 95% de nivel de confianza. La importancia de esta herramienta innovadora radica en que genera un análisis más realista en la evaluación de un modelo y, de esta manera, tener un buen soporte para </w:t>
      </w:r>
      <w:r w:rsidR="001D2535" w:rsidRPr="00AD15DA">
        <w:rPr>
          <w:rFonts w:ascii="Arial" w:hAnsi="Arial" w:cs="Arial"/>
          <w:sz w:val="22"/>
          <w:lang w:val="es-PE"/>
        </w:rPr>
        <w:t xml:space="preserve">realizar </w:t>
      </w:r>
      <w:r w:rsidRPr="00AD15DA">
        <w:rPr>
          <w:rFonts w:ascii="Arial" w:hAnsi="Arial" w:cs="Arial"/>
          <w:sz w:val="22"/>
          <w:lang w:val="es-PE"/>
        </w:rPr>
        <w:t>una campaña de perforación en la evaluación de un plan de minado.</w:t>
      </w:r>
    </w:p>
    <w:p w14:paraId="41CD0280" w14:textId="444676B8" w:rsidR="00C6558D" w:rsidRDefault="00C6558D" w:rsidP="00C6558D">
      <w:pPr>
        <w:spacing w:line="360" w:lineRule="auto"/>
        <w:jc w:val="both"/>
        <w:rPr>
          <w:rFonts w:ascii="Arial" w:hAnsi="Arial" w:cs="Arial"/>
          <w:sz w:val="22"/>
          <w:lang w:val="es-PE"/>
        </w:rPr>
      </w:pPr>
      <w:r w:rsidRPr="00AD15DA">
        <w:rPr>
          <w:rFonts w:ascii="Arial" w:hAnsi="Arial" w:cs="Arial"/>
          <w:sz w:val="22"/>
          <w:lang w:val="es-PE"/>
        </w:rPr>
        <w:t>Los casos de estudio incluidos en este trabajo demuestran la utilidad del VaR (5%) en la cuantificación del riesgo asociado al VPN (valor presente neto), como por ejemplo la ley y el impacto del precio en diseños de recursos y reservas, con el objetivo de optimizar la rentabilidad. En un proyecto aurífero, se identificó un riesgo del 1</w:t>
      </w:r>
      <w:r w:rsidR="003313EF" w:rsidRPr="00AD15DA">
        <w:rPr>
          <w:rFonts w:ascii="Arial" w:hAnsi="Arial" w:cs="Arial"/>
          <w:sz w:val="22"/>
          <w:lang w:val="es-PE"/>
        </w:rPr>
        <w:t>5.21</w:t>
      </w:r>
      <w:r w:rsidRPr="00AD15DA">
        <w:rPr>
          <w:rFonts w:ascii="Arial" w:hAnsi="Arial" w:cs="Arial"/>
          <w:sz w:val="22"/>
          <w:lang w:val="es-PE"/>
        </w:rPr>
        <w:t xml:space="preserve">% en la producción debido a la incertidumbre de la ley. En un depósito VMS, el riesgo en un plan de recursos </w:t>
      </w:r>
      <w:r w:rsidR="003313EF" w:rsidRPr="00AD15DA">
        <w:rPr>
          <w:rFonts w:ascii="Arial" w:hAnsi="Arial" w:cs="Arial"/>
          <w:sz w:val="22"/>
          <w:lang w:val="es-PE"/>
        </w:rPr>
        <w:t>el trimestre 6</w:t>
      </w:r>
      <w:r w:rsidRPr="00AD15DA">
        <w:rPr>
          <w:rFonts w:ascii="Arial" w:hAnsi="Arial" w:cs="Arial"/>
          <w:sz w:val="22"/>
          <w:lang w:val="es-PE"/>
        </w:rPr>
        <w:t xml:space="preserve"> considerando</w:t>
      </w:r>
      <w:r w:rsidR="003313EF" w:rsidRPr="00AD15DA">
        <w:rPr>
          <w:rFonts w:ascii="Arial" w:hAnsi="Arial" w:cs="Arial"/>
          <w:sz w:val="22"/>
          <w:lang w:val="es-PE"/>
        </w:rPr>
        <w:t xml:space="preserve"> variable</w:t>
      </w:r>
      <w:r w:rsidRPr="00AD15DA">
        <w:rPr>
          <w:rFonts w:ascii="Arial" w:hAnsi="Arial" w:cs="Arial"/>
          <w:sz w:val="22"/>
          <w:lang w:val="es-PE"/>
        </w:rPr>
        <w:t xml:space="preserve"> el precio del oro fue alto (23.5%). En un depósito de plata CRD, el riesgo del plan de minado fue menor en los trimestres 1 y 7 (aproximadamente 6.39% y 5.63%, respectivamente). Estos resultados tienen un impacto directo en una operación </w:t>
      </w:r>
      <w:r w:rsidR="0055727A" w:rsidRPr="00AD15DA">
        <w:rPr>
          <w:rFonts w:ascii="Arial" w:hAnsi="Arial" w:cs="Arial"/>
          <w:sz w:val="22"/>
          <w:lang w:val="es-PE"/>
        </w:rPr>
        <w:t xml:space="preserve">minera y </w:t>
      </w:r>
      <w:r w:rsidR="0067668E" w:rsidRPr="00AD15DA">
        <w:rPr>
          <w:rFonts w:ascii="Arial" w:hAnsi="Arial" w:cs="Arial"/>
          <w:sz w:val="22"/>
          <w:lang w:val="es-PE"/>
        </w:rPr>
        <w:t xml:space="preserve">es una buena herramienta para la </w:t>
      </w:r>
      <w:r w:rsidRPr="00AD15DA">
        <w:rPr>
          <w:rFonts w:ascii="Arial" w:hAnsi="Arial" w:cs="Arial"/>
          <w:sz w:val="22"/>
          <w:lang w:val="es-PE"/>
        </w:rPr>
        <w:t>toma de decisiones.</w:t>
      </w:r>
    </w:p>
    <w:bookmarkEnd w:id="5"/>
    <w:p w14:paraId="1F06EE74" w14:textId="77777777" w:rsidR="009D263F" w:rsidRPr="00AD15DA" w:rsidRDefault="009D263F" w:rsidP="009D263F">
      <w:pPr>
        <w:spacing w:before="80" w:after="60" w:line="360" w:lineRule="auto"/>
        <w:jc w:val="both"/>
        <w:rPr>
          <w:rFonts w:ascii="Arial" w:eastAsia="Times New Roman" w:hAnsi="Arial" w:cs="Arial"/>
          <w:sz w:val="22"/>
          <w:lang w:val="es-PE" w:eastAsia="es-ES"/>
        </w:rPr>
      </w:pPr>
      <w:r w:rsidRPr="00AD15DA">
        <w:rPr>
          <w:rFonts w:ascii="Arial" w:eastAsia="Times New Roman" w:hAnsi="Arial" w:cs="Arial"/>
          <w:b/>
          <w:bCs/>
          <w:sz w:val="22"/>
          <w:lang w:val="es-PE" w:eastAsia="es-ES"/>
        </w:rPr>
        <w:t>Introducción:</w:t>
      </w:r>
      <w:r w:rsidRPr="00AD15DA">
        <w:rPr>
          <w:rFonts w:ascii="Arial" w:eastAsia="Times New Roman" w:hAnsi="Arial" w:cs="Arial"/>
          <w:sz w:val="22"/>
          <w:lang w:val="es-PE" w:eastAsia="es-ES"/>
        </w:rPr>
        <w:t xml:space="preserve">  </w:t>
      </w:r>
    </w:p>
    <w:p w14:paraId="40F68182" w14:textId="356B4BF5" w:rsidR="00D26370" w:rsidRPr="00AD15DA" w:rsidRDefault="00D26370" w:rsidP="009D263F">
      <w:pPr>
        <w:spacing w:line="360" w:lineRule="auto"/>
        <w:jc w:val="both"/>
        <w:rPr>
          <w:rFonts w:ascii="Arial" w:hAnsi="Arial" w:cs="Arial"/>
          <w:sz w:val="22"/>
          <w:lang w:val="es-PE"/>
        </w:rPr>
      </w:pPr>
      <w:r w:rsidRPr="00AD15DA">
        <w:rPr>
          <w:rFonts w:ascii="Arial" w:hAnsi="Arial" w:cs="Arial"/>
          <w:sz w:val="22"/>
          <w:lang w:val="es-PE"/>
        </w:rPr>
        <w:t>Con el objetivo de mejorar la precisión y la robustez de las evaluaciones de recursos y reservas minerales, este estudio explora la aplicación del valor en riesgo, o VaR (5%), la cuantificación de la incertidumbre geológica y económica. Se propone una metodología innovadora que integra la simulación secuencial gaussiana (SSG) y estrategias equiprobables (para la geometría de la mineralización) con el análisis de riesgo mediante el Valor en Riesgo, VaR (5%). Esta metodología fue probada en múltiples casos de estudio, los cuales se describen a continuación:</w:t>
      </w:r>
    </w:p>
    <w:p w14:paraId="7B1FDDFF" w14:textId="684E7C0A" w:rsidR="009D263F" w:rsidRPr="00AD15DA" w:rsidRDefault="009D263F" w:rsidP="009D263F">
      <w:pPr>
        <w:spacing w:before="80" w:after="60" w:line="360" w:lineRule="auto"/>
        <w:jc w:val="both"/>
        <w:rPr>
          <w:rFonts w:ascii="Arial" w:hAnsi="Arial" w:cs="Arial"/>
          <w:sz w:val="22"/>
          <w:lang w:val="es-PE"/>
        </w:rPr>
      </w:pPr>
      <w:r w:rsidRPr="00AD15DA">
        <w:rPr>
          <w:rFonts w:ascii="Arial" w:hAnsi="Arial" w:cs="Arial"/>
          <w:b/>
          <w:bCs/>
          <w:sz w:val="22"/>
          <w:lang w:val="es-PE"/>
        </w:rPr>
        <w:lastRenderedPageBreak/>
        <w:t>Caso I</w:t>
      </w:r>
      <w:r w:rsidRPr="00AD15DA">
        <w:rPr>
          <w:rFonts w:ascii="Arial" w:hAnsi="Arial" w:cs="Arial"/>
          <w:sz w:val="22"/>
          <w:lang w:val="es-PE"/>
        </w:rPr>
        <w:t>: Análisis de riesgos en una mina de oro (brechas) en función de la incertidumbre de la ley de Au. Caso evaluado con KO</w:t>
      </w:r>
      <w:r w:rsidR="003F4335" w:rsidRPr="00AD15DA">
        <w:rPr>
          <w:rFonts w:ascii="Arial" w:hAnsi="Arial" w:cs="Arial"/>
          <w:sz w:val="22"/>
          <w:lang w:val="es-PE"/>
        </w:rPr>
        <w:t xml:space="preserve"> (Kriging ordinario)</w:t>
      </w:r>
      <w:r w:rsidRPr="00AD15DA">
        <w:rPr>
          <w:rFonts w:ascii="Arial" w:hAnsi="Arial" w:cs="Arial"/>
          <w:sz w:val="22"/>
          <w:lang w:val="es-PE"/>
        </w:rPr>
        <w:t>, riesgo evaluado en 60 escenarios en un plan de producción de 5 años y cantidad de onzas producidas</w:t>
      </w:r>
      <w:r w:rsidR="00B33934" w:rsidRPr="00AD15DA">
        <w:rPr>
          <w:rFonts w:ascii="Arial" w:hAnsi="Arial" w:cs="Arial"/>
          <w:sz w:val="22"/>
          <w:lang w:val="es-PE"/>
        </w:rPr>
        <w:t xml:space="preserve"> de Au en un depósito de brechas</w:t>
      </w:r>
      <w:r w:rsidRPr="00AD15DA">
        <w:rPr>
          <w:rFonts w:ascii="Arial" w:hAnsi="Arial" w:cs="Arial"/>
          <w:sz w:val="22"/>
          <w:lang w:val="es-PE"/>
        </w:rPr>
        <w:t>.</w:t>
      </w:r>
    </w:p>
    <w:p w14:paraId="109466D1" w14:textId="23F06F89" w:rsidR="009D263F" w:rsidRPr="00AD15DA" w:rsidRDefault="009D263F" w:rsidP="009D263F">
      <w:pPr>
        <w:spacing w:before="80" w:after="60" w:line="360" w:lineRule="auto"/>
        <w:jc w:val="both"/>
        <w:rPr>
          <w:rFonts w:ascii="Arial" w:hAnsi="Arial" w:cs="Arial"/>
          <w:sz w:val="22"/>
          <w:lang w:val="es-PE"/>
        </w:rPr>
      </w:pPr>
      <w:r w:rsidRPr="00AD15DA">
        <w:rPr>
          <w:rFonts w:ascii="Arial" w:hAnsi="Arial" w:cs="Arial"/>
          <w:b/>
          <w:bCs/>
          <w:sz w:val="22"/>
          <w:lang w:val="es-PE"/>
        </w:rPr>
        <w:t>Caso II</w:t>
      </w:r>
      <w:r w:rsidRPr="00AD15DA">
        <w:rPr>
          <w:rFonts w:ascii="Arial" w:hAnsi="Arial" w:cs="Arial"/>
          <w:sz w:val="22"/>
          <w:lang w:val="es-PE"/>
        </w:rPr>
        <w:t>: Análisis de riesgo en una mina de oro (VMS) en función de la incertidumbre de la ley de oro, la geometría y el precio de Au. Caso evaluado con KO, riesgo evaluado en 72,000 escenarios en un plan de producción de 6 trimestres.</w:t>
      </w:r>
    </w:p>
    <w:p w14:paraId="2839180D" w14:textId="290A1AB8" w:rsidR="009D263F" w:rsidRPr="00AD15DA" w:rsidRDefault="009D263F" w:rsidP="009D263F">
      <w:pPr>
        <w:spacing w:before="80" w:after="60" w:line="360" w:lineRule="auto"/>
        <w:jc w:val="both"/>
        <w:rPr>
          <w:rFonts w:ascii="Arial" w:hAnsi="Arial" w:cs="Arial"/>
          <w:sz w:val="22"/>
          <w:lang w:val="es-PE"/>
        </w:rPr>
      </w:pPr>
      <w:r w:rsidRPr="00AD15DA">
        <w:rPr>
          <w:rFonts w:ascii="Arial" w:hAnsi="Arial" w:cs="Arial"/>
          <w:b/>
          <w:bCs/>
          <w:sz w:val="22"/>
          <w:lang w:val="es-PE"/>
        </w:rPr>
        <w:t>Caso III</w:t>
      </w:r>
      <w:r w:rsidRPr="00AD15DA">
        <w:rPr>
          <w:rFonts w:ascii="Arial" w:hAnsi="Arial" w:cs="Arial"/>
          <w:sz w:val="22"/>
          <w:lang w:val="es-PE"/>
        </w:rPr>
        <w:t>: Análisis de riesgo en una mina de plata (CRD) en función de la incertidumbre de la ley de Ag, la geometría, el diseño de reservas y la densidad. Caso evaluado con en 8,000 escenarios integrando las variables mencionadas anteriormente.</w:t>
      </w:r>
    </w:p>
    <w:p w14:paraId="47C01704" w14:textId="186DD60D" w:rsidR="009D263F" w:rsidRDefault="009D263F" w:rsidP="009D263F">
      <w:pPr>
        <w:spacing w:before="80" w:after="60"/>
        <w:jc w:val="both"/>
        <w:rPr>
          <w:rFonts w:ascii="Arial" w:eastAsia="Times New Roman" w:hAnsi="Arial" w:cs="Arial"/>
          <w:sz w:val="22"/>
          <w:lang w:val="es-PE"/>
        </w:rPr>
      </w:pPr>
      <w:r w:rsidRPr="00AD15DA">
        <w:rPr>
          <w:rFonts w:ascii="Arial" w:eastAsia="Times New Roman" w:hAnsi="Arial" w:cs="Arial"/>
          <w:b/>
          <w:bCs/>
          <w:sz w:val="22"/>
          <w:lang w:val="es-PE"/>
        </w:rPr>
        <w:t>Metodología:</w:t>
      </w:r>
      <w:r w:rsidRPr="00AD15DA">
        <w:rPr>
          <w:rFonts w:ascii="Arial" w:eastAsia="Times New Roman" w:hAnsi="Arial" w:cs="Arial"/>
          <w:sz w:val="22"/>
          <w:lang w:val="es-PE"/>
        </w:rPr>
        <w:t xml:space="preserve"> </w:t>
      </w:r>
    </w:p>
    <w:p w14:paraId="2F3FC9F3" w14:textId="5340FCE4" w:rsidR="009D263F" w:rsidRPr="00AD15DA" w:rsidRDefault="009D263F" w:rsidP="009D263F">
      <w:pPr>
        <w:spacing w:after="160" w:line="360" w:lineRule="auto"/>
        <w:rPr>
          <w:rFonts w:ascii="Arial" w:hAnsi="Arial" w:cs="Arial"/>
          <w:sz w:val="22"/>
          <w:lang w:val="es-PE"/>
        </w:rPr>
      </w:pPr>
      <w:r w:rsidRPr="00AD15DA">
        <w:rPr>
          <w:rFonts w:ascii="Arial" w:hAnsi="Arial" w:cs="Arial"/>
          <w:sz w:val="22"/>
          <w:lang w:val="es-PE"/>
        </w:rPr>
        <w:t>1.- Estimación de SSG (simulación secuencial gaussiana de la variable en análisis).</w:t>
      </w:r>
    </w:p>
    <w:p w14:paraId="3D332C6B" w14:textId="41BBE012" w:rsidR="009D263F" w:rsidRPr="00AD15DA" w:rsidRDefault="009D263F" w:rsidP="009D263F">
      <w:pPr>
        <w:spacing w:after="160" w:line="360" w:lineRule="auto"/>
        <w:rPr>
          <w:rFonts w:ascii="Arial" w:hAnsi="Arial" w:cs="Arial"/>
          <w:sz w:val="22"/>
          <w:lang w:val="es-PE"/>
        </w:rPr>
      </w:pPr>
      <w:r w:rsidRPr="00AD15DA">
        <w:rPr>
          <w:rFonts w:ascii="Arial" w:hAnsi="Arial" w:cs="Arial"/>
          <w:sz w:val="22"/>
          <w:lang w:val="es-PE"/>
        </w:rPr>
        <w:t>2.- Generar escenarios equiprobables para precios, geometría de la estructura u otros.</w:t>
      </w:r>
    </w:p>
    <w:p w14:paraId="6F3BE719" w14:textId="0BD10746" w:rsidR="009D263F" w:rsidRPr="00AD15DA" w:rsidRDefault="009D263F" w:rsidP="009D263F">
      <w:pPr>
        <w:spacing w:after="160" w:line="360" w:lineRule="auto"/>
        <w:rPr>
          <w:rFonts w:ascii="Arial" w:hAnsi="Arial" w:cs="Arial"/>
          <w:sz w:val="22"/>
          <w:lang w:val="es-PE"/>
        </w:rPr>
      </w:pPr>
      <w:r w:rsidRPr="00AD15DA">
        <w:rPr>
          <w:rFonts w:ascii="Arial" w:hAnsi="Arial" w:cs="Arial"/>
          <w:sz w:val="22"/>
          <w:lang w:val="es-PE"/>
        </w:rPr>
        <w:t>3.- Integrar las variables que generan incertidumbre.</w:t>
      </w:r>
    </w:p>
    <w:p w14:paraId="681DAF4D" w14:textId="32D5F132" w:rsidR="009D263F" w:rsidRPr="00AD15DA" w:rsidRDefault="009D263F" w:rsidP="009D263F">
      <w:pPr>
        <w:spacing w:after="160" w:line="360" w:lineRule="auto"/>
        <w:rPr>
          <w:rFonts w:ascii="Arial" w:hAnsi="Arial" w:cs="Arial"/>
          <w:sz w:val="22"/>
          <w:lang w:val="es-PE"/>
        </w:rPr>
      </w:pPr>
      <w:r w:rsidRPr="00AD15DA">
        <w:rPr>
          <w:rFonts w:ascii="Arial" w:hAnsi="Arial" w:cs="Arial"/>
          <w:sz w:val="22"/>
          <w:lang w:val="es-PE"/>
        </w:rPr>
        <w:t>4.- Evaluación del riesgo por metodología VaR (5%); este valor se obtiene de la diferencia entre el valor esperado</w:t>
      </w:r>
      <w:r w:rsidR="00D97403" w:rsidRPr="00AD15DA">
        <w:rPr>
          <w:rFonts w:ascii="Arial" w:hAnsi="Arial" w:cs="Arial"/>
          <w:sz w:val="22"/>
          <w:lang w:val="es-PE"/>
        </w:rPr>
        <w:t xml:space="preserve"> (E [variable])</w:t>
      </w:r>
      <w:r w:rsidRPr="00AD15DA">
        <w:rPr>
          <w:rFonts w:ascii="Arial" w:hAnsi="Arial" w:cs="Arial"/>
          <w:sz w:val="22"/>
          <w:lang w:val="es-PE"/>
        </w:rPr>
        <w:t xml:space="preserve"> que es la media de los escenarios simulados obtenidos</w:t>
      </w:r>
      <w:r w:rsidR="00D97403" w:rsidRPr="00AD15DA">
        <w:rPr>
          <w:rFonts w:ascii="Arial" w:hAnsi="Arial" w:cs="Arial"/>
          <w:sz w:val="22"/>
          <w:lang w:val="es-PE"/>
        </w:rPr>
        <w:t xml:space="preserve"> </w:t>
      </w:r>
      <w:r w:rsidRPr="00AD15DA">
        <w:rPr>
          <w:rFonts w:ascii="Arial" w:hAnsi="Arial" w:cs="Arial"/>
          <w:sz w:val="22"/>
          <w:lang w:val="es-PE"/>
        </w:rPr>
        <w:t>y el valor seguro ubicado en el percentil 5%.</w:t>
      </w:r>
    </w:p>
    <w:p w14:paraId="55DB1BAD" w14:textId="4771B7DA" w:rsidR="009D263F" w:rsidRPr="00AD15DA" w:rsidRDefault="009D263F" w:rsidP="009D263F">
      <w:pPr>
        <w:spacing w:after="160" w:line="360" w:lineRule="auto"/>
        <w:rPr>
          <w:rFonts w:ascii="Arial" w:hAnsi="Arial" w:cs="Arial"/>
          <w:sz w:val="22"/>
          <w:lang w:val="es-PE"/>
        </w:rPr>
      </w:pPr>
      <w:r w:rsidRPr="00AD15DA">
        <w:rPr>
          <w:rFonts w:ascii="Arial" w:hAnsi="Arial" w:cs="Arial"/>
          <w:sz w:val="22"/>
          <w:lang w:val="es-PE"/>
        </w:rPr>
        <w:t xml:space="preserve">5.- Evaluación del riesgo por metodología DVar (5%), que es la diferencia entre la media de los escenarios estimados con </w:t>
      </w:r>
      <w:r w:rsidR="007D6133" w:rsidRPr="00AD15DA">
        <w:rPr>
          <w:rFonts w:ascii="Arial" w:hAnsi="Arial" w:cs="Arial"/>
          <w:sz w:val="22"/>
          <w:lang w:val="es-PE"/>
        </w:rPr>
        <w:t>KO</w:t>
      </w:r>
      <w:r w:rsidRPr="00AD15DA">
        <w:rPr>
          <w:rFonts w:ascii="Arial" w:hAnsi="Arial" w:cs="Arial"/>
          <w:sz w:val="22"/>
          <w:lang w:val="es-PE"/>
        </w:rPr>
        <w:t xml:space="preserve"> (Kriging Ordinario) y el valor seguro, el cual se ubica en el percentil 5% de los escenarios obtenidos de las simulaciones.</w:t>
      </w:r>
    </w:p>
    <w:p w14:paraId="0B7B6865" w14:textId="06851C5D" w:rsidR="009D263F" w:rsidRPr="00B62B27" w:rsidRDefault="009D263F" w:rsidP="00B62B27">
      <w:pPr>
        <w:spacing w:after="160" w:line="360" w:lineRule="auto"/>
        <w:rPr>
          <w:rFonts w:ascii="Arial" w:hAnsi="Arial" w:cs="Arial"/>
          <w:sz w:val="22"/>
          <w:lang w:val="es-PE"/>
        </w:rPr>
      </w:pPr>
      <w:r w:rsidRPr="00AD15DA">
        <w:rPr>
          <w:rFonts w:ascii="Arial" w:hAnsi="Arial" w:cs="Arial"/>
          <w:sz w:val="22"/>
          <w:lang w:val="es-PE"/>
        </w:rPr>
        <w:t>6.- Cálculo del PVar (%) para cuantificar el riesgo</w:t>
      </w:r>
      <w:r w:rsidR="00B62B27">
        <w:rPr>
          <w:rFonts w:ascii="Arial" w:hAnsi="Arial" w:cs="Arial"/>
          <w:sz w:val="22"/>
          <w:lang w:val="es-PE"/>
        </w:rPr>
        <w:t xml:space="preserve">: </w:t>
      </w:r>
      <w:r w:rsidRPr="00AD15DA">
        <w:rPr>
          <w:rFonts w:ascii="Arial" w:hAnsi="Arial" w:cs="Arial"/>
          <w:sz w:val="22"/>
          <w:lang w:val="es-PE"/>
        </w:rPr>
        <w:t xml:space="preserve"> </w:t>
      </w:r>
      <m:oMath>
        <m:r>
          <w:rPr>
            <w:rFonts w:ascii="Cambria Math" w:hAnsi="Cambria Math" w:cs="Arial"/>
            <w:sz w:val="22"/>
          </w:rPr>
          <m:t>PVar</m:t>
        </m:r>
        <m:r>
          <w:rPr>
            <w:rFonts w:ascii="Cambria Math" w:hAnsi="Cambria Math" w:cs="Arial"/>
            <w:sz w:val="22"/>
            <w:lang w:val="pt-BR"/>
          </w:rPr>
          <m:t xml:space="preserve"> </m:t>
        </m:r>
        <m:d>
          <m:dPr>
            <m:ctrlPr>
              <w:rPr>
                <w:rFonts w:ascii="Cambria Math" w:hAnsi="Cambria Math" w:cs="Arial"/>
                <w:i/>
                <w:sz w:val="22"/>
              </w:rPr>
            </m:ctrlPr>
          </m:dPr>
          <m:e>
            <m:r>
              <w:rPr>
                <w:rFonts w:ascii="Cambria Math" w:hAnsi="Cambria Math" w:cs="Arial"/>
                <w:sz w:val="22"/>
                <w:lang w:val="pt-BR"/>
              </w:rPr>
              <m:t>%</m:t>
            </m:r>
          </m:e>
        </m:d>
        <m:r>
          <w:rPr>
            <w:rFonts w:ascii="Cambria Math" w:hAnsi="Cambria Math" w:cs="Arial"/>
            <w:sz w:val="22"/>
            <w:lang w:val="pt-BR"/>
          </w:rPr>
          <m:t xml:space="preserve">= </m:t>
        </m:r>
        <m:f>
          <m:fPr>
            <m:ctrlPr>
              <w:rPr>
                <w:rFonts w:ascii="Cambria Math" w:hAnsi="Cambria Math" w:cs="Arial"/>
                <w:i/>
                <w:sz w:val="22"/>
              </w:rPr>
            </m:ctrlPr>
          </m:fPr>
          <m:num>
            <m:r>
              <w:rPr>
                <w:rFonts w:ascii="Cambria Math" w:hAnsi="Cambria Math" w:cs="Arial"/>
                <w:sz w:val="22"/>
              </w:rPr>
              <m:t>Var</m:t>
            </m:r>
            <m:d>
              <m:dPr>
                <m:ctrlPr>
                  <w:rPr>
                    <w:rFonts w:ascii="Cambria Math" w:hAnsi="Cambria Math" w:cs="Arial"/>
                    <w:i/>
                    <w:sz w:val="22"/>
                  </w:rPr>
                </m:ctrlPr>
              </m:dPr>
              <m:e>
                <m:r>
                  <w:rPr>
                    <w:rFonts w:ascii="Cambria Math" w:hAnsi="Cambria Math" w:cs="Arial"/>
                    <w:sz w:val="22"/>
                    <w:lang w:val="pt-BR"/>
                  </w:rPr>
                  <m:t>5%</m:t>
                </m:r>
              </m:e>
            </m:d>
          </m:num>
          <m:den>
            <m:r>
              <w:rPr>
                <w:rFonts w:ascii="Cambria Math" w:hAnsi="Cambria Math" w:cs="Arial"/>
                <w:sz w:val="22"/>
              </w:rPr>
              <m:t>E</m:t>
            </m:r>
            <m:r>
              <w:rPr>
                <w:rFonts w:ascii="Cambria Math" w:hAnsi="Cambria Math" w:cs="Arial"/>
                <w:sz w:val="22"/>
                <w:lang w:val="pt-BR"/>
              </w:rPr>
              <m:t>[</m:t>
            </m:r>
            <m:r>
              <w:rPr>
                <w:rFonts w:ascii="Cambria Math" w:hAnsi="Cambria Math" w:cs="Arial"/>
                <w:sz w:val="22"/>
              </w:rPr>
              <m:t>variable</m:t>
            </m:r>
            <m:r>
              <w:rPr>
                <w:rFonts w:ascii="Cambria Math" w:hAnsi="Cambria Math" w:cs="Arial"/>
                <w:sz w:val="22"/>
                <w:lang w:val="pt-BR"/>
              </w:rPr>
              <m:t>]</m:t>
            </m:r>
          </m:den>
        </m:f>
      </m:oMath>
      <w:r w:rsidRPr="00AD15DA">
        <w:rPr>
          <w:rFonts w:ascii="Arial" w:hAnsi="Arial" w:cs="Arial"/>
          <w:sz w:val="22"/>
          <w:lang w:val="pt-BR"/>
        </w:rPr>
        <w:t xml:space="preserve">  ,  </w:t>
      </w:r>
      <m:oMath>
        <m:r>
          <w:rPr>
            <w:rFonts w:ascii="Cambria Math" w:hAnsi="Cambria Math" w:cs="Arial"/>
            <w:sz w:val="22"/>
          </w:rPr>
          <m:t>PVar</m:t>
        </m:r>
        <m:r>
          <w:rPr>
            <w:rFonts w:ascii="Cambria Math" w:hAnsi="Cambria Math" w:cs="Arial"/>
            <w:sz w:val="22"/>
            <w:lang w:val="pt-BR"/>
          </w:rPr>
          <m:t xml:space="preserve"> </m:t>
        </m:r>
        <m:d>
          <m:dPr>
            <m:ctrlPr>
              <w:rPr>
                <w:rFonts w:ascii="Cambria Math" w:hAnsi="Cambria Math" w:cs="Arial"/>
                <w:i/>
                <w:sz w:val="22"/>
              </w:rPr>
            </m:ctrlPr>
          </m:dPr>
          <m:e>
            <m:r>
              <w:rPr>
                <w:rFonts w:ascii="Cambria Math" w:hAnsi="Cambria Math" w:cs="Arial"/>
                <w:sz w:val="22"/>
                <w:lang w:val="pt-BR"/>
              </w:rPr>
              <m:t>%</m:t>
            </m:r>
          </m:e>
        </m:d>
        <m:r>
          <w:rPr>
            <w:rFonts w:ascii="Cambria Math" w:hAnsi="Cambria Math" w:cs="Arial"/>
            <w:sz w:val="22"/>
            <w:lang w:val="pt-BR"/>
          </w:rPr>
          <m:t xml:space="preserve">= </m:t>
        </m:r>
        <m:f>
          <m:fPr>
            <m:ctrlPr>
              <w:rPr>
                <w:rFonts w:ascii="Cambria Math" w:hAnsi="Cambria Math" w:cs="Arial"/>
                <w:i/>
                <w:sz w:val="22"/>
              </w:rPr>
            </m:ctrlPr>
          </m:fPr>
          <m:num>
            <m:r>
              <w:rPr>
                <w:rFonts w:ascii="Cambria Math" w:hAnsi="Cambria Math" w:cs="Arial"/>
                <w:sz w:val="22"/>
              </w:rPr>
              <m:t>DVar</m:t>
            </m:r>
            <m:d>
              <m:dPr>
                <m:ctrlPr>
                  <w:rPr>
                    <w:rFonts w:ascii="Cambria Math" w:hAnsi="Cambria Math" w:cs="Arial"/>
                    <w:i/>
                    <w:sz w:val="22"/>
                  </w:rPr>
                </m:ctrlPr>
              </m:dPr>
              <m:e>
                <m:r>
                  <w:rPr>
                    <w:rFonts w:ascii="Cambria Math" w:hAnsi="Cambria Math" w:cs="Arial"/>
                    <w:sz w:val="22"/>
                    <w:lang w:val="pt-BR"/>
                  </w:rPr>
                  <m:t>5%</m:t>
                </m:r>
              </m:e>
            </m:d>
          </m:num>
          <m:den>
            <m:r>
              <w:rPr>
                <w:rFonts w:ascii="Cambria Math" w:hAnsi="Cambria Math" w:cs="Arial"/>
                <w:sz w:val="22"/>
              </w:rPr>
              <m:t>KO</m:t>
            </m:r>
          </m:den>
        </m:f>
      </m:oMath>
      <w:r w:rsidRPr="00AD15DA">
        <w:rPr>
          <w:rFonts w:ascii="Arial" w:hAnsi="Arial" w:cs="Arial"/>
          <w:sz w:val="22"/>
          <w:lang w:val="pt-BR"/>
        </w:rPr>
        <w:t xml:space="preserve">  </w:t>
      </w:r>
    </w:p>
    <w:p w14:paraId="0A1A8629" w14:textId="60A9E1E3" w:rsidR="00DE55A2" w:rsidRPr="00AD15DA" w:rsidRDefault="009D263F" w:rsidP="009D263F">
      <w:pPr>
        <w:spacing w:before="80" w:after="60" w:line="360" w:lineRule="auto"/>
        <w:rPr>
          <w:rFonts w:ascii="Arial" w:hAnsi="Arial" w:cs="Arial"/>
          <w:sz w:val="22"/>
          <w:lang w:val="es-PE"/>
        </w:rPr>
      </w:pPr>
      <w:r w:rsidRPr="00AD15DA">
        <w:rPr>
          <w:rFonts w:ascii="Arial" w:hAnsi="Arial" w:cs="Arial"/>
          <w:sz w:val="22"/>
          <w:lang w:val="es-PE"/>
        </w:rPr>
        <w:t>7.- Aplicación de rangos para cuantificar el riesgo, propuestos por los autores</w:t>
      </w:r>
      <w:r w:rsidR="00DE55A2" w:rsidRPr="00AD15DA">
        <w:rPr>
          <w:rFonts w:ascii="Arial" w:hAnsi="Arial" w:cs="Arial"/>
          <w:sz w:val="22"/>
          <w:lang w:val="es-PE"/>
        </w:rPr>
        <w:t>:</w:t>
      </w:r>
      <w:r w:rsidRPr="00AD15DA">
        <w:rPr>
          <w:rFonts w:ascii="Arial" w:hAnsi="Arial" w:cs="Arial"/>
          <w:sz w:val="22"/>
          <w:lang w:val="es-PE"/>
        </w:rPr>
        <w:t xml:space="preserve">            </w:t>
      </w:r>
    </w:p>
    <w:p w14:paraId="5083680E" w14:textId="3E66CA1D" w:rsidR="009D263F" w:rsidRPr="00AD15DA" w:rsidRDefault="00E82F12" w:rsidP="00DE55A2">
      <w:pPr>
        <w:spacing w:before="80" w:after="60" w:line="360" w:lineRule="auto"/>
        <w:rPr>
          <w:rFonts w:ascii="Arial" w:hAnsi="Arial" w:cs="Arial"/>
          <w:sz w:val="22"/>
          <w:lang w:val="es-PE"/>
        </w:rPr>
      </w:pPr>
      <w:r w:rsidRPr="00AD15DA">
        <w:rPr>
          <w:rFonts w:ascii="Arial" w:hAnsi="Arial" w:cs="Arial"/>
          <w:noProof/>
          <w:sz w:val="22"/>
        </w:rPr>
        <w:drawing>
          <wp:anchor distT="0" distB="0" distL="114300" distR="114300" simplePos="0" relativeHeight="251659264" behindDoc="0" locked="0" layoutInCell="1" allowOverlap="1" wp14:anchorId="35FAD7BC" wp14:editId="1654F046">
            <wp:simplePos x="0" y="0"/>
            <wp:positionH relativeFrom="margin">
              <wp:posOffset>2190940</wp:posOffset>
            </wp:positionH>
            <wp:positionV relativeFrom="paragraph">
              <wp:posOffset>253357</wp:posOffset>
            </wp:positionV>
            <wp:extent cx="1169719" cy="626025"/>
            <wp:effectExtent l="0" t="0" r="0" b="3175"/>
            <wp:wrapNone/>
            <wp:docPr id="1322404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0551" cy="631822"/>
                    </a:xfrm>
                    <a:prstGeom prst="rect">
                      <a:avLst/>
                    </a:prstGeom>
                    <a:noFill/>
                    <a:ln>
                      <a:noFill/>
                    </a:ln>
                  </pic:spPr>
                </pic:pic>
              </a:graphicData>
            </a:graphic>
            <wp14:sizeRelH relativeFrom="page">
              <wp14:pctWidth>0</wp14:pctWidth>
            </wp14:sizeRelH>
            <wp14:sizeRelV relativeFrom="page">
              <wp14:pctHeight>0</wp14:pctHeight>
            </wp14:sizeRelV>
          </wp:anchor>
        </w:drawing>
      </w:r>
      <w:r w:rsidR="00DE55A2" w:rsidRPr="00AD15DA">
        <w:rPr>
          <w:rFonts w:ascii="Arial" w:hAnsi="Arial" w:cs="Arial"/>
          <w:b/>
          <w:bCs/>
          <w:sz w:val="22"/>
          <w:lang w:val="es-PE"/>
        </w:rPr>
        <w:t xml:space="preserve">                              </w:t>
      </w:r>
      <w:r w:rsidR="009D263F" w:rsidRPr="00AD15DA">
        <w:rPr>
          <w:rFonts w:ascii="Arial" w:hAnsi="Arial" w:cs="Arial"/>
          <w:b/>
          <w:bCs/>
          <w:sz w:val="22"/>
          <w:lang w:val="es-PE"/>
        </w:rPr>
        <w:t>Tabla 1</w:t>
      </w:r>
      <w:r w:rsidR="009D263F" w:rsidRPr="00AD15DA">
        <w:rPr>
          <w:rFonts w:ascii="Arial" w:hAnsi="Arial" w:cs="Arial"/>
          <w:sz w:val="22"/>
          <w:lang w:val="es-PE"/>
        </w:rPr>
        <w:t>.- Rangos de cuantificación del riesgo</w:t>
      </w:r>
      <w:r w:rsidR="009F76A1" w:rsidRPr="00AD15DA">
        <w:rPr>
          <w:rFonts w:ascii="Arial" w:hAnsi="Arial" w:cs="Arial"/>
          <w:sz w:val="22"/>
          <w:lang w:val="es-PE"/>
        </w:rPr>
        <w:t>.</w:t>
      </w:r>
    </w:p>
    <w:p w14:paraId="5C3BC989" w14:textId="7E66E5F9" w:rsidR="009D263F" w:rsidRPr="00AD15DA" w:rsidRDefault="009D263F" w:rsidP="009D263F">
      <w:pPr>
        <w:spacing w:before="80" w:after="60" w:line="360" w:lineRule="auto"/>
        <w:rPr>
          <w:rFonts w:ascii="Arial" w:hAnsi="Arial" w:cs="Arial"/>
          <w:b/>
          <w:bCs/>
          <w:sz w:val="22"/>
          <w:lang w:val="es-PE"/>
        </w:rPr>
      </w:pPr>
    </w:p>
    <w:p w14:paraId="01B7651E" w14:textId="0EA9691C" w:rsidR="00D12F4D" w:rsidRPr="00AD15DA" w:rsidRDefault="00D12F4D" w:rsidP="00D12F4D">
      <w:pPr>
        <w:spacing w:before="80" w:after="60" w:line="360" w:lineRule="auto"/>
        <w:rPr>
          <w:rFonts w:ascii="Arial" w:hAnsi="Arial" w:cs="Arial"/>
          <w:b/>
          <w:bCs/>
          <w:sz w:val="22"/>
          <w:lang w:val="es-PE"/>
        </w:rPr>
      </w:pPr>
    </w:p>
    <w:p w14:paraId="416DB675" w14:textId="1627909A" w:rsidR="00D12F4D" w:rsidRPr="00AD15DA" w:rsidRDefault="00D12F4D" w:rsidP="00D12F4D">
      <w:pPr>
        <w:spacing w:before="80" w:after="60" w:line="360" w:lineRule="auto"/>
        <w:rPr>
          <w:rFonts w:ascii="Arial" w:hAnsi="Arial" w:cs="Arial"/>
          <w:b/>
          <w:bCs/>
          <w:sz w:val="22"/>
          <w:lang w:val="es-PE"/>
        </w:rPr>
      </w:pPr>
      <w:r w:rsidRPr="00AD15DA">
        <w:rPr>
          <w:rFonts w:ascii="Arial" w:hAnsi="Arial" w:cs="Arial"/>
          <w:b/>
          <w:bCs/>
          <w:sz w:val="22"/>
          <w:lang w:val="es-PE"/>
        </w:rPr>
        <w:t>Resultados:</w:t>
      </w:r>
    </w:p>
    <w:p w14:paraId="7DEBE51D" w14:textId="14320A6D" w:rsidR="009D263F" w:rsidRDefault="005F2139" w:rsidP="009D263F">
      <w:pPr>
        <w:spacing w:before="80" w:after="60" w:line="360" w:lineRule="auto"/>
        <w:jc w:val="center"/>
        <w:rPr>
          <w:rFonts w:ascii="Arial" w:hAnsi="Arial" w:cs="Arial"/>
          <w:iCs/>
          <w:color w:val="000000" w:themeColor="text1"/>
          <w:sz w:val="22"/>
          <w:lang w:val="es-PE"/>
        </w:rPr>
      </w:pPr>
      <w:r>
        <w:rPr>
          <w:noProof/>
          <w14:ligatures w14:val="standardContextual"/>
        </w:rPr>
        <w:drawing>
          <wp:anchor distT="0" distB="0" distL="114300" distR="114300" simplePos="0" relativeHeight="251660288" behindDoc="1" locked="0" layoutInCell="1" allowOverlap="1" wp14:anchorId="41B3A9D7" wp14:editId="5D857801">
            <wp:simplePos x="0" y="0"/>
            <wp:positionH relativeFrom="margin">
              <wp:posOffset>1787179</wp:posOffset>
            </wp:positionH>
            <wp:positionV relativeFrom="paragraph">
              <wp:posOffset>196569</wp:posOffset>
            </wp:positionV>
            <wp:extent cx="3099370" cy="2511631"/>
            <wp:effectExtent l="0" t="0" r="6350" b="3175"/>
            <wp:wrapNone/>
            <wp:docPr id="140796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6099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2743" cy="2514364"/>
                    </a:xfrm>
                    <a:prstGeom prst="rect">
                      <a:avLst/>
                    </a:prstGeom>
                  </pic:spPr>
                </pic:pic>
              </a:graphicData>
            </a:graphic>
            <wp14:sizeRelH relativeFrom="page">
              <wp14:pctWidth>0</wp14:pctWidth>
            </wp14:sizeRelH>
            <wp14:sizeRelV relativeFrom="page">
              <wp14:pctHeight>0</wp14:pctHeight>
            </wp14:sizeRelV>
          </wp:anchor>
        </w:drawing>
      </w:r>
      <w:r w:rsidR="009D263F" w:rsidRPr="00AD15DA">
        <w:rPr>
          <w:rFonts w:ascii="Arial" w:hAnsi="Arial" w:cs="Arial"/>
          <w:b/>
          <w:bCs/>
          <w:sz w:val="22"/>
          <w:lang w:val="es-PE"/>
        </w:rPr>
        <w:t>Figura 1.-</w:t>
      </w:r>
      <w:r w:rsidR="009D263F" w:rsidRPr="00AD15DA">
        <w:rPr>
          <w:rFonts w:ascii="Arial" w:hAnsi="Arial" w:cs="Arial"/>
          <w:sz w:val="22"/>
          <w:lang w:val="es-PE"/>
        </w:rPr>
        <w:t xml:space="preserve"> </w:t>
      </w:r>
      <w:r w:rsidR="009D263F" w:rsidRPr="00AD15DA">
        <w:rPr>
          <w:rFonts w:ascii="Arial" w:hAnsi="Arial" w:cs="Arial"/>
          <w:iCs/>
          <w:color w:val="000000" w:themeColor="text1"/>
          <w:sz w:val="22"/>
          <w:lang w:val="es-PE"/>
        </w:rPr>
        <w:t>Metodología de valor en riesgo VaR (5%).</w:t>
      </w:r>
    </w:p>
    <w:p w14:paraId="02847AB2" w14:textId="7B97F874" w:rsidR="00713935" w:rsidRPr="00AD15DA" w:rsidRDefault="00713935" w:rsidP="009D263F">
      <w:pPr>
        <w:spacing w:before="80" w:after="60" w:line="360" w:lineRule="auto"/>
        <w:jc w:val="center"/>
        <w:rPr>
          <w:rFonts w:ascii="Arial" w:hAnsi="Arial" w:cs="Arial"/>
          <w:sz w:val="22"/>
          <w:lang w:val="es-PE"/>
        </w:rPr>
      </w:pPr>
    </w:p>
    <w:p w14:paraId="5DC18145" w14:textId="25A2AF83" w:rsidR="009D263F" w:rsidRPr="00AD15DA" w:rsidRDefault="009D263F" w:rsidP="009D263F">
      <w:pPr>
        <w:spacing w:before="80" w:after="60" w:line="360" w:lineRule="auto"/>
        <w:jc w:val="center"/>
        <w:rPr>
          <w:rFonts w:ascii="Arial" w:hAnsi="Arial" w:cs="Arial"/>
          <w:sz w:val="22"/>
          <w:lang w:val="es-PE"/>
        </w:rPr>
      </w:pPr>
    </w:p>
    <w:p w14:paraId="63891818" w14:textId="2BE6863B" w:rsidR="009D263F" w:rsidRPr="00AD15DA" w:rsidRDefault="009D263F" w:rsidP="009D263F">
      <w:pPr>
        <w:spacing w:before="80" w:after="60" w:line="360" w:lineRule="auto"/>
        <w:jc w:val="center"/>
        <w:rPr>
          <w:rFonts w:ascii="Arial" w:hAnsi="Arial" w:cs="Arial"/>
          <w:sz w:val="22"/>
          <w:lang w:val="es-PE"/>
        </w:rPr>
      </w:pPr>
    </w:p>
    <w:p w14:paraId="36D63098" w14:textId="17DD7029" w:rsidR="00464AE3" w:rsidRPr="00AD15DA" w:rsidRDefault="007A255A" w:rsidP="00AD15DA">
      <w:pPr>
        <w:pStyle w:val="Tabla"/>
      </w:pPr>
      <w:r w:rsidRPr="00AD15DA">
        <w:t xml:space="preserve">                                      </w:t>
      </w:r>
    </w:p>
    <w:p w14:paraId="2B6810E0" w14:textId="77777777" w:rsidR="0043270F" w:rsidRDefault="0043270F" w:rsidP="00D12F4D">
      <w:pPr>
        <w:spacing w:line="360" w:lineRule="auto"/>
        <w:jc w:val="both"/>
        <w:rPr>
          <w:rFonts w:ascii="Arial" w:hAnsi="Arial" w:cs="Arial"/>
          <w:sz w:val="22"/>
          <w:lang w:val="es-PE"/>
        </w:rPr>
      </w:pPr>
    </w:p>
    <w:p w14:paraId="3430C2FE" w14:textId="77777777" w:rsidR="0043270F" w:rsidRDefault="0043270F" w:rsidP="00D12F4D">
      <w:pPr>
        <w:spacing w:line="360" w:lineRule="auto"/>
        <w:jc w:val="both"/>
        <w:rPr>
          <w:rFonts w:ascii="Arial" w:hAnsi="Arial" w:cs="Arial"/>
          <w:sz w:val="22"/>
          <w:lang w:val="es-PE"/>
        </w:rPr>
      </w:pPr>
    </w:p>
    <w:p w14:paraId="39FA737B" w14:textId="77777777" w:rsidR="004530A4" w:rsidRDefault="004530A4" w:rsidP="00D12F4D">
      <w:pPr>
        <w:spacing w:line="360" w:lineRule="auto"/>
        <w:jc w:val="both"/>
        <w:rPr>
          <w:rFonts w:ascii="Arial" w:hAnsi="Arial" w:cs="Arial"/>
          <w:sz w:val="22"/>
          <w:lang w:val="es-PE"/>
        </w:rPr>
      </w:pPr>
    </w:p>
    <w:p w14:paraId="2790E3D1" w14:textId="1B4A29C1" w:rsidR="00115ACF" w:rsidRPr="00AD15DA" w:rsidRDefault="00115ACF" w:rsidP="00D12F4D">
      <w:pPr>
        <w:spacing w:line="360" w:lineRule="auto"/>
        <w:jc w:val="both"/>
        <w:rPr>
          <w:rFonts w:ascii="Arial" w:hAnsi="Arial" w:cs="Arial"/>
          <w:sz w:val="22"/>
          <w:lang w:val="es-PE"/>
        </w:rPr>
      </w:pPr>
      <w:r w:rsidRPr="00115ACF">
        <w:rPr>
          <w:rFonts w:ascii="Arial" w:hAnsi="Arial" w:cs="Arial"/>
          <w:sz w:val="22"/>
          <w:lang w:val="es-PE"/>
        </w:rPr>
        <w:lastRenderedPageBreak/>
        <w:t xml:space="preserve">Los resultados de la </w:t>
      </w:r>
      <w:r w:rsidRPr="00115ACF">
        <w:rPr>
          <w:rFonts w:ascii="Arial" w:hAnsi="Arial" w:cs="Arial"/>
          <w:b/>
          <w:bCs/>
          <w:sz w:val="22"/>
          <w:lang w:val="es-PE"/>
        </w:rPr>
        <w:t>Figura 1</w:t>
      </w:r>
      <w:r w:rsidRPr="00115ACF">
        <w:rPr>
          <w:rFonts w:ascii="Arial" w:hAnsi="Arial" w:cs="Arial"/>
          <w:sz w:val="22"/>
          <w:lang w:val="es-PE"/>
        </w:rPr>
        <w:t xml:space="preserve"> y la </w:t>
      </w:r>
      <w:r w:rsidRPr="00115ACF">
        <w:rPr>
          <w:rFonts w:ascii="Arial" w:hAnsi="Arial" w:cs="Arial"/>
          <w:b/>
          <w:bCs/>
          <w:sz w:val="22"/>
          <w:lang w:val="es-PE"/>
        </w:rPr>
        <w:t>Tabla 2</w:t>
      </w:r>
      <w:r w:rsidRPr="00115ACF">
        <w:rPr>
          <w:rFonts w:ascii="Arial" w:hAnsi="Arial" w:cs="Arial"/>
          <w:sz w:val="22"/>
          <w:lang w:val="es-PE"/>
        </w:rPr>
        <w:t xml:space="preserve"> muestran los 8000 escenarios simulados. El valor esperado es de 8.42 MUS$, el valor seguro es de 7.75 MUS$ y el VaR (5%), o valor en riesgo, asciende a 0.67 MUS$. Se obtiene un valor del PVaR del 8.01%; se clasificó como riesgo medio según los rangos</w:t>
      </w:r>
      <w:r w:rsidR="007E35C7">
        <w:rPr>
          <w:rFonts w:ascii="Arial" w:hAnsi="Arial" w:cs="Arial"/>
          <w:sz w:val="22"/>
          <w:lang w:val="es-PE"/>
        </w:rPr>
        <w:t xml:space="preserve"> de la </w:t>
      </w:r>
      <w:r w:rsidR="007E35C7">
        <w:rPr>
          <w:rFonts w:ascii="Arial" w:hAnsi="Arial" w:cs="Arial"/>
          <w:b/>
          <w:bCs/>
          <w:sz w:val="22"/>
          <w:lang w:val="es-PE"/>
        </w:rPr>
        <w:t>T</w:t>
      </w:r>
      <w:r w:rsidR="007E35C7" w:rsidRPr="007E35C7">
        <w:rPr>
          <w:rFonts w:ascii="Arial" w:hAnsi="Arial" w:cs="Arial"/>
          <w:b/>
          <w:bCs/>
          <w:sz w:val="22"/>
          <w:lang w:val="es-PE"/>
        </w:rPr>
        <w:t>abla1</w:t>
      </w:r>
      <w:r w:rsidRPr="00115ACF">
        <w:rPr>
          <w:rFonts w:ascii="Arial" w:hAnsi="Arial" w:cs="Arial"/>
          <w:sz w:val="22"/>
          <w:lang w:val="es-PE"/>
        </w:rPr>
        <w:t>.</w:t>
      </w:r>
    </w:p>
    <w:p w14:paraId="3A1610D1" w14:textId="583B33E6" w:rsidR="009D263F" w:rsidRPr="00AD15DA" w:rsidRDefault="009D263F" w:rsidP="00AB3C70">
      <w:pPr>
        <w:pStyle w:val="Tabla"/>
        <w:rPr>
          <w:bCs/>
        </w:rPr>
      </w:pPr>
      <w:r w:rsidRPr="00AD15DA">
        <w:rPr>
          <w:b/>
        </w:rPr>
        <w:t>Tabla 2</w:t>
      </w:r>
      <w:r w:rsidRPr="00AD15DA">
        <w:t>. Cuantificación del riesgo por metodología VaR (5%) del VPN.</w:t>
      </w:r>
    </w:p>
    <w:p w14:paraId="7B8FF1CC" w14:textId="77777777" w:rsidR="009D263F" w:rsidRPr="00AD15DA" w:rsidRDefault="009D263F" w:rsidP="009D263F">
      <w:pPr>
        <w:spacing w:before="80" w:after="60"/>
        <w:jc w:val="center"/>
        <w:rPr>
          <w:rFonts w:ascii="Arial" w:eastAsia="Times New Roman" w:hAnsi="Arial" w:cs="Arial"/>
          <w:sz w:val="22"/>
          <w:lang w:val="es-PE"/>
        </w:rPr>
      </w:pPr>
      <w:r w:rsidRPr="00AD15DA">
        <w:rPr>
          <w:rFonts w:ascii="Arial" w:hAnsi="Arial" w:cs="Arial"/>
          <w:noProof/>
          <w:sz w:val="22"/>
        </w:rPr>
        <w:drawing>
          <wp:inline distT="0" distB="0" distL="0" distR="0" wp14:anchorId="6C3CD895" wp14:editId="019B19FB">
            <wp:extent cx="4830793" cy="1476957"/>
            <wp:effectExtent l="0" t="0" r="0" b="9525"/>
            <wp:docPr id="1518860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7820" cy="1518852"/>
                    </a:xfrm>
                    <a:prstGeom prst="rect">
                      <a:avLst/>
                    </a:prstGeom>
                    <a:noFill/>
                    <a:ln>
                      <a:noFill/>
                    </a:ln>
                  </pic:spPr>
                </pic:pic>
              </a:graphicData>
            </a:graphic>
          </wp:inline>
        </w:drawing>
      </w:r>
    </w:p>
    <w:p w14:paraId="5BA8DF84" w14:textId="60D4859E" w:rsidR="00AB3C70" w:rsidRPr="00AD15DA" w:rsidRDefault="00AB3C70" w:rsidP="00AB3C70">
      <w:pPr>
        <w:pStyle w:val="Tabla"/>
      </w:pPr>
      <w:r w:rsidRPr="00AD15DA">
        <w:t xml:space="preserve">De la misma manera para la metodología DVaR considerando KO y el valor seguro ver </w:t>
      </w:r>
      <w:r w:rsidRPr="00AD15DA">
        <w:rPr>
          <w:b/>
          <w:bCs/>
        </w:rPr>
        <w:t>tabla3</w:t>
      </w:r>
      <w:r w:rsidRPr="00AD15DA">
        <w:t>.</w:t>
      </w:r>
    </w:p>
    <w:p w14:paraId="5C3C1113" w14:textId="2AA01DED" w:rsidR="009D263F" w:rsidRPr="00AD15DA" w:rsidRDefault="009D263F" w:rsidP="00AB3C70">
      <w:pPr>
        <w:pStyle w:val="Tabla"/>
        <w:rPr>
          <w:bCs/>
        </w:rPr>
      </w:pPr>
      <w:r w:rsidRPr="00AD15DA">
        <w:rPr>
          <w:b/>
        </w:rPr>
        <w:t>Tabla 3</w:t>
      </w:r>
      <w:r w:rsidRPr="00AD15DA">
        <w:t>. Cuantificación del riesgo por metodología DVaR (5%) del VPN.</w:t>
      </w:r>
    </w:p>
    <w:p w14:paraId="05AB9864" w14:textId="0BDD1B94" w:rsidR="00EF5EB7" w:rsidRPr="00AD15DA" w:rsidRDefault="009D263F" w:rsidP="007E026C">
      <w:pPr>
        <w:spacing w:before="80" w:after="60"/>
        <w:jc w:val="center"/>
        <w:rPr>
          <w:rFonts w:ascii="Arial" w:eastAsia="Times New Roman" w:hAnsi="Arial" w:cs="Arial"/>
          <w:sz w:val="22"/>
          <w:lang w:val="es-PE"/>
        </w:rPr>
      </w:pPr>
      <w:r w:rsidRPr="00AD15DA">
        <w:rPr>
          <w:rFonts w:ascii="Arial" w:hAnsi="Arial" w:cs="Arial"/>
          <w:noProof/>
          <w:sz w:val="22"/>
        </w:rPr>
        <w:drawing>
          <wp:inline distT="0" distB="0" distL="0" distR="0" wp14:anchorId="3F8025DB" wp14:editId="255139F5">
            <wp:extent cx="4813539" cy="1915455"/>
            <wp:effectExtent l="0" t="0" r="6350" b="8890"/>
            <wp:docPr id="378301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8021" cy="1957031"/>
                    </a:xfrm>
                    <a:prstGeom prst="rect">
                      <a:avLst/>
                    </a:prstGeom>
                    <a:noFill/>
                    <a:ln>
                      <a:noFill/>
                    </a:ln>
                  </pic:spPr>
                </pic:pic>
              </a:graphicData>
            </a:graphic>
          </wp:inline>
        </w:drawing>
      </w:r>
    </w:p>
    <w:p w14:paraId="4B2E0224" w14:textId="77777777" w:rsidR="00DA4974" w:rsidRDefault="00DA4974" w:rsidP="009D263F">
      <w:pPr>
        <w:spacing w:before="80" w:after="60"/>
        <w:jc w:val="both"/>
        <w:rPr>
          <w:rFonts w:ascii="Arial" w:eastAsia="Times New Roman" w:hAnsi="Arial" w:cs="Arial"/>
          <w:b/>
          <w:bCs/>
          <w:sz w:val="22"/>
          <w:lang w:val="es-PE"/>
        </w:rPr>
      </w:pPr>
    </w:p>
    <w:p w14:paraId="26633B88" w14:textId="1D22629E" w:rsidR="009D263F" w:rsidRPr="00AD15DA" w:rsidRDefault="009D263F" w:rsidP="009D263F">
      <w:pPr>
        <w:spacing w:before="80" w:after="60"/>
        <w:jc w:val="both"/>
        <w:rPr>
          <w:rFonts w:ascii="Arial" w:eastAsia="Times New Roman" w:hAnsi="Arial" w:cs="Arial"/>
          <w:sz w:val="22"/>
          <w:lang w:val="es-PE"/>
        </w:rPr>
      </w:pPr>
      <w:r w:rsidRPr="00AD15DA">
        <w:rPr>
          <w:rFonts w:ascii="Arial" w:eastAsia="Times New Roman" w:hAnsi="Arial" w:cs="Arial"/>
          <w:b/>
          <w:bCs/>
          <w:sz w:val="22"/>
          <w:lang w:val="es-PE"/>
        </w:rPr>
        <w:t>Conclusiones:</w:t>
      </w:r>
      <w:r w:rsidRPr="00AD15DA">
        <w:rPr>
          <w:rFonts w:ascii="Arial" w:eastAsia="Times New Roman" w:hAnsi="Arial" w:cs="Arial"/>
          <w:sz w:val="22"/>
          <w:lang w:val="es-PE"/>
        </w:rPr>
        <w:t xml:space="preserve"> </w:t>
      </w:r>
    </w:p>
    <w:p w14:paraId="45CBBF4F" w14:textId="77777777" w:rsidR="00DA4974" w:rsidRDefault="00DA4974" w:rsidP="00DA4974">
      <w:pPr>
        <w:spacing w:line="360" w:lineRule="auto"/>
        <w:jc w:val="both"/>
        <w:rPr>
          <w:rFonts w:ascii="Arial" w:hAnsi="Arial" w:cs="Arial"/>
          <w:sz w:val="22"/>
          <w:lang w:val="es-PE"/>
        </w:rPr>
      </w:pPr>
      <w:r>
        <w:rPr>
          <w:rFonts w:ascii="Arial" w:hAnsi="Arial" w:cs="Arial"/>
          <w:sz w:val="22"/>
          <w:lang w:val="es-PE"/>
        </w:rPr>
        <w:t>La metodología es innovadora y sencilla de implementar para la evaluación del riesgo en recursos y reservas considerando la incertidumbre geológica y económica.</w:t>
      </w:r>
    </w:p>
    <w:p w14:paraId="347712A4" w14:textId="77777777" w:rsidR="00DA4974" w:rsidRDefault="00DA4974" w:rsidP="00DA4974">
      <w:pPr>
        <w:spacing w:line="360" w:lineRule="auto"/>
        <w:jc w:val="both"/>
        <w:rPr>
          <w:rFonts w:ascii="Arial" w:hAnsi="Arial" w:cs="Arial"/>
          <w:sz w:val="22"/>
          <w:lang w:val="es-PE"/>
        </w:rPr>
      </w:pPr>
      <w:r>
        <w:rPr>
          <w:rFonts w:ascii="Arial" w:hAnsi="Arial" w:cs="Arial"/>
          <w:sz w:val="22"/>
          <w:lang w:val="es-PE"/>
        </w:rPr>
        <w:t xml:space="preserve">Es importante realizar este tipo de estrategia para la toma de decisiones y sustentar un programa de sondajes diamantinos en las zonas de mayor riesgo. </w:t>
      </w:r>
    </w:p>
    <w:p w14:paraId="5712E85B" w14:textId="77777777" w:rsidR="00DA4974" w:rsidRDefault="00DA4974" w:rsidP="00DA4974">
      <w:pPr>
        <w:spacing w:line="360" w:lineRule="auto"/>
        <w:jc w:val="both"/>
        <w:rPr>
          <w:rFonts w:ascii="Arial" w:hAnsi="Arial" w:cs="Arial"/>
          <w:sz w:val="22"/>
          <w:lang w:val="es-PE"/>
        </w:rPr>
      </w:pPr>
      <w:r>
        <w:rPr>
          <w:rFonts w:ascii="Arial" w:hAnsi="Arial" w:cs="Arial"/>
          <w:sz w:val="22"/>
          <w:lang w:val="es-PE"/>
        </w:rPr>
        <w:t>Esto está siendo aplicado en las unidades de Compañía de Mina buenaventura para sus proyectos y operaciones.</w:t>
      </w:r>
    </w:p>
    <w:p w14:paraId="4B1EE136" w14:textId="757CB29A" w:rsidR="009D263F" w:rsidRPr="00AD15DA" w:rsidRDefault="009D263F" w:rsidP="009D263F">
      <w:pPr>
        <w:spacing w:before="80" w:after="60" w:line="360" w:lineRule="auto"/>
        <w:jc w:val="both"/>
        <w:rPr>
          <w:rFonts w:ascii="Arial" w:eastAsia="Times New Roman" w:hAnsi="Arial" w:cs="Arial"/>
          <w:sz w:val="22"/>
          <w:lang w:val="es-PE"/>
        </w:rPr>
      </w:pPr>
      <w:r w:rsidRPr="00AD15DA">
        <w:rPr>
          <w:rFonts w:ascii="Arial" w:eastAsia="Times New Roman" w:hAnsi="Arial" w:cs="Arial"/>
          <w:sz w:val="22"/>
          <w:lang w:val="es-PE"/>
        </w:rPr>
        <w:t>Autor:</w:t>
      </w:r>
      <w:r w:rsidRPr="00AD15DA">
        <w:rPr>
          <w:rFonts w:ascii="Arial" w:eastAsia="Times New Roman" w:hAnsi="Arial" w:cs="Arial"/>
          <w:b/>
          <w:bCs/>
          <w:sz w:val="22"/>
          <w:lang w:val="es-PE"/>
        </w:rPr>
        <w:t xml:space="preserve"> Msc. Jose Enrique Gutierrez</w:t>
      </w:r>
    </w:p>
    <w:p w14:paraId="7AB2BC9D" w14:textId="77777777" w:rsidR="009D263F" w:rsidRPr="00AD15DA" w:rsidRDefault="009D263F" w:rsidP="009D263F">
      <w:pPr>
        <w:spacing w:line="360" w:lineRule="auto"/>
        <w:jc w:val="both"/>
        <w:rPr>
          <w:rFonts w:ascii="Arial" w:hAnsi="Arial" w:cs="Arial"/>
          <w:sz w:val="22"/>
          <w:lang w:val="es-PE"/>
        </w:rPr>
      </w:pPr>
      <w:r w:rsidRPr="00AD15DA">
        <w:rPr>
          <w:rFonts w:ascii="Arial" w:hAnsi="Arial" w:cs="Arial"/>
          <w:sz w:val="22"/>
          <w:lang w:val="es-PE"/>
        </w:rPr>
        <w:t>Msc en Ingeniería de Minas y en Ingeniería Civil, Ingeniero Geólogo (CIP N°110907), con una trayectoria de más de 20 años en la industria minera. Persona competente (AIG y AusIMM) experiencia en estimación de recursos de diversos commodities.</w:t>
      </w:r>
    </w:p>
    <w:p w14:paraId="376C33F5" w14:textId="2812BB08" w:rsidR="009D263F" w:rsidRPr="00433CED" w:rsidRDefault="009D263F" w:rsidP="00433CED">
      <w:pPr>
        <w:spacing w:before="80" w:after="60" w:line="360" w:lineRule="auto"/>
        <w:jc w:val="both"/>
        <w:rPr>
          <w:rFonts w:ascii="Arial" w:eastAsia="Times New Roman" w:hAnsi="Arial" w:cs="Arial"/>
          <w:sz w:val="22"/>
          <w:lang w:val="es-PE"/>
        </w:rPr>
      </w:pPr>
      <w:r w:rsidRPr="00433CED">
        <w:rPr>
          <w:rFonts w:ascii="Arial" w:eastAsia="Times New Roman" w:hAnsi="Arial" w:cs="Arial"/>
          <w:sz w:val="22"/>
          <w:lang w:val="es-PE"/>
        </w:rPr>
        <w:t xml:space="preserve">Coautor: </w:t>
      </w:r>
      <w:r w:rsidRPr="00433CED">
        <w:rPr>
          <w:rFonts w:ascii="Arial" w:eastAsia="Times New Roman" w:hAnsi="Arial" w:cs="Arial"/>
          <w:b/>
          <w:bCs/>
          <w:sz w:val="22"/>
          <w:lang w:val="es-PE"/>
        </w:rPr>
        <w:t>Msc. Eliott Hidalgo Muñoz</w:t>
      </w:r>
      <w:r w:rsidRPr="00433CED">
        <w:rPr>
          <w:rFonts w:ascii="Arial" w:eastAsia="Times New Roman" w:hAnsi="Arial" w:cs="Arial"/>
          <w:sz w:val="22"/>
          <w:lang w:val="es-PE"/>
        </w:rPr>
        <w:t xml:space="preserve"> </w:t>
      </w:r>
    </w:p>
    <w:p w14:paraId="6AE472FB" w14:textId="0C25425E" w:rsidR="009D263F" w:rsidRPr="00AD15DA" w:rsidRDefault="009D263F" w:rsidP="00433CED">
      <w:pPr>
        <w:spacing w:before="80" w:after="60" w:line="360" w:lineRule="auto"/>
        <w:jc w:val="both"/>
        <w:rPr>
          <w:rFonts w:ascii="Arial" w:eastAsia="Times New Roman" w:hAnsi="Arial" w:cs="Arial"/>
          <w:b/>
          <w:bCs/>
          <w:sz w:val="22"/>
          <w:lang w:val="es-PE"/>
        </w:rPr>
      </w:pPr>
      <w:r w:rsidRPr="00433CED">
        <w:rPr>
          <w:rFonts w:ascii="Arial" w:eastAsia="Times New Roman" w:hAnsi="Arial" w:cs="Arial"/>
          <w:sz w:val="22"/>
          <w:lang w:val="es-PE"/>
        </w:rPr>
        <w:t xml:space="preserve">Msc en Ingeniería de </w:t>
      </w:r>
      <w:r w:rsidR="00EC295E" w:rsidRPr="00433CED">
        <w:rPr>
          <w:rFonts w:ascii="Arial" w:eastAsia="Times New Roman" w:hAnsi="Arial" w:cs="Arial"/>
          <w:sz w:val="22"/>
          <w:lang w:val="es-PE"/>
        </w:rPr>
        <w:t>Minas,</w:t>
      </w:r>
      <w:r w:rsidRPr="00433CED">
        <w:rPr>
          <w:rFonts w:ascii="Arial" w:eastAsia="Times New Roman" w:hAnsi="Arial" w:cs="Arial"/>
          <w:sz w:val="22"/>
          <w:lang w:val="es-PE"/>
        </w:rPr>
        <w:t xml:space="preserve"> Ingeniero Geólogo (CIP N°1</w:t>
      </w:r>
      <w:r w:rsidR="00EC295E" w:rsidRPr="00433CED">
        <w:rPr>
          <w:rFonts w:ascii="Arial" w:eastAsia="Times New Roman" w:hAnsi="Arial" w:cs="Arial"/>
          <w:sz w:val="22"/>
          <w:lang w:val="es-PE"/>
        </w:rPr>
        <w:t>66521</w:t>
      </w:r>
      <w:r w:rsidRPr="00433CED">
        <w:rPr>
          <w:rFonts w:ascii="Arial" w:eastAsia="Times New Roman" w:hAnsi="Arial" w:cs="Arial"/>
          <w:sz w:val="22"/>
          <w:lang w:val="es-PE"/>
        </w:rPr>
        <w:t xml:space="preserve">), con una trayectoria de más de </w:t>
      </w:r>
      <w:r w:rsidR="00EC295E" w:rsidRPr="00433CED">
        <w:rPr>
          <w:rFonts w:ascii="Arial" w:eastAsia="Times New Roman" w:hAnsi="Arial" w:cs="Arial"/>
          <w:sz w:val="22"/>
          <w:lang w:val="es-PE"/>
        </w:rPr>
        <w:t>15</w:t>
      </w:r>
      <w:r w:rsidRPr="00AD15DA">
        <w:rPr>
          <w:rFonts w:ascii="Arial" w:hAnsi="Arial" w:cs="Arial"/>
          <w:sz w:val="22"/>
          <w:lang w:val="es-PE"/>
        </w:rPr>
        <w:t xml:space="preserve"> años en la industria minera</w:t>
      </w:r>
      <w:r w:rsidR="00EC295E" w:rsidRPr="00AD15DA">
        <w:rPr>
          <w:rFonts w:ascii="Arial" w:hAnsi="Arial" w:cs="Arial"/>
          <w:sz w:val="22"/>
          <w:lang w:val="es-PE"/>
        </w:rPr>
        <w:t>. Persona competente (AIG) experiencia en estimación de recursos de diversos commodities.</w:t>
      </w:r>
      <w:bookmarkEnd w:id="2"/>
    </w:p>
    <w:sectPr w:rsidR="009D263F" w:rsidRPr="00AD15DA" w:rsidSect="004530A4">
      <w:headerReference w:type="default" r:id="rId12"/>
      <w:pgSz w:w="11906" w:h="16838" w:code="9"/>
      <w:pgMar w:top="284" w:right="851" w:bottom="284" w:left="851"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06B76" w14:textId="77777777" w:rsidR="00713B88" w:rsidRDefault="00713B88" w:rsidP="00744185">
      <w:pPr>
        <w:spacing w:after="0" w:line="240" w:lineRule="auto"/>
      </w:pPr>
      <w:r>
        <w:separator/>
      </w:r>
    </w:p>
  </w:endnote>
  <w:endnote w:type="continuationSeparator" w:id="0">
    <w:p w14:paraId="7170FC17" w14:textId="77777777" w:rsidR="00713B88" w:rsidRDefault="00713B88" w:rsidP="00744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latino linotype">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085CF" w14:textId="77777777" w:rsidR="00713B88" w:rsidRDefault="00713B88" w:rsidP="00744185">
      <w:pPr>
        <w:spacing w:after="0" w:line="240" w:lineRule="auto"/>
      </w:pPr>
      <w:r>
        <w:separator/>
      </w:r>
    </w:p>
  </w:footnote>
  <w:footnote w:type="continuationSeparator" w:id="0">
    <w:p w14:paraId="418948F4" w14:textId="77777777" w:rsidR="00713B88" w:rsidRDefault="00713B88" w:rsidP="007441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15800" w14:textId="24639EEE" w:rsidR="008E6FF1" w:rsidRDefault="008E6FF1" w:rsidP="008E6FF1">
    <w:pPr>
      <w:pStyle w:val="Header"/>
      <w:tabs>
        <w:tab w:val="clear" w:pos="4252"/>
        <w:tab w:val="clear" w:pos="8504"/>
        <w:tab w:val="left" w:pos="1705"/>
      </w:tabs>
      <w:ind w:left="-567"/>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D4B"/>
    <w:multiLevelType w:val="hybridMultilevel"/>
    <w:tmpl w:val="F9060FF4"/>
    <w:lvl w:ilvl="0" w:tplc="87E02DFA">
      <w:start w:val="1"/>
      <w:numFmt w:val="decimal"/>
      <w:lvlText w:val="Tabla %1:"/>
      <w:lvlJc w:val="left"/>
      <w:pPr>
        <w:ind w:left="720" w:hanging="360"/>
      </w:pPr>
      <w:rPr>
        <w:rFonts w:ascii="Platino linotype" w:hAnsi="Platino linotype" w:hint="default"/>
        <w:b/>
        <w:i w:val="0"/>
        <w:caps w:val="0"/>
        <w:sz w:val="20"/>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384256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185"/>
    <w:rsid w:val="00037D4A"/>
    <w:rsid w:val="00047392"/>
    <w:rsid w:val="000932A9"/>
    <w:rsid w:val="00115ACF"/>
    <w:rsid w:val="001175B5"/>
    <w:rsid w:val="00130F7F"/>
    <w:rsid w:val="001D2535"/>
    <w:rsid w:val="002B53F7"/>
    <w:rsid w:val="00322720"/>
    <w:rsid w:val="003313EF"/>
    <w:rsid w:val="00393C6C"/>
    <w:rsid w:val="003C4637"/>
    <w:rsid w:val="003D5D90"/>
    <w:rsid w:val="003F4335"/>
    <w:rsid w:val="0043270F"/>
    <w:rsid w:val="00433CED"/>
    <w:rsid w:val="0043599E"/>
    <w:rsid w:val="004530A4"/>
    <w:rsid w:val="00464AE3"/>
    <w:rsid w:val="004C660C"/>
    <w:rsid w:val="00505E59"/>
    <w:rsid w:val="0055727A"/>
    <w:rsid w:val="005B096E"/>
    <w:rsid w:val="005D37DA"/>
    <w:rsid w:val="005E1A20"/>
    <w:rsid w:val="005E652B"/>
    <w:rsid w:val="005F2139"/>
    <w:rsid w:val="006157A3"/>
    <w:rsid w:val="00620ABB"/>
    <w:rsid w:val="00651403"/>
    <w:rsid w:val="0067668E"/>
    <w:rsid w:val="00677A8B"/>
    <w:rsid w:val="00713935"/>
    <w:rsid w:val="00713B88"/>
    <w:rsid w:val="007338E9"/>
    <w:rsid w:val="00744185"/>
    <w:rsid w:val="0075797F"/>
    <w:rsid w:val="00792573"/>
    <w:rsid w:val="007A255A"/>
    <w:rsid w:val="007D6133"/>
    <w:rsid w:val="007E026C"/>
    <w:rsid w:val="007E35C7"/>
    <w:rsid w:val="00837C17"/>
    <w:rsid w:val="008813C0"/>
    <w:rsid w:val="008C3D80"/>
    <w:rsid w:val="008E6FF1"/>
    <w:rsid w:val="00924680"/>
    <w:rsid w:val="00957F4A"/>
    <w:rsid w:val="009B4689"/>
    <w:rsid w:val="009D263F"/>
    <w:rsid w:val="009F76A1"/>
    <w:rsid w:val="00A05DA8"/>
    <w:rsid w:val="00A27A96"/>
    <w:rsid w:val="00A746DF"/>
    <w:rsid w:val="00A76E29"/>
    <w:rsid w:val="00AB3C70"/>
    <w:rsid w:val="00AD15DA"/>
    <w:rsid w:val="00B034DF"/>
    <w:rsid w:val="00B04B33"/>
    <w:rsid w:val="00B33934"/>
    <w:rsid w:val="00B57C13"/>
    <w:rsid w:val="00B62B27"/>
    <w:rsid w:val="00B72259"/>
    <w:rsid w:val="00BB3706"/>
    <w:rsid w:val="00C330D7"/>
    <w:rsid w:val="00C47A4B"/>
    <w:rsid w:val="00C579A8"/>
    <w:rsid w:val="00C6558D"/>
    <w:rsid w:val="00C71640"/>
    <w:rsid w:val="00C95DE9"/>
    <w:rsid w:val="00CB170A"/>
    <w:rsid w:val="00CF4449"/>
    <w:rsid w:val="00D12F4D"/>
    <w:rsid w:val="00D20405"/>
    <w:rsid w:val="00D26370"/>
    <w:rsid w:val="00D308A5"/>
    <w:rsid w:val="00D922FE"/>
    <w:rsid w:val="00D97403"/>
    <w:rsid w:val="00DA4974"/>
    <w:rsid w:val="00DD0020"/>
    <w:rsid w:val="00DE0BFF"/>
    <w:rsid w:val="00DE13F8"/>
    <w:rsid w:val="00DE55A2"/>
    <w:rsid w:val="00E332A4"/>
    <w:rsid w:val="00E82F12"/>
    <w:rsid w:val="00EA0C2D"/>
    <w:rsid w:val="00EA64F0"/>
    <w:rsid w:val="00EB5ADD"/>
    <w:rsid w:val="00EC295E"/>
    <w:rsid w:val="00EF5EB7"/>
    <w:rsid w:val="00FC24D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7853"/>
  <w15:chartTrackingRefBased/>
  <w15:docId w15:val="{952AE8C4-4D48-4EBD-AFBD-8F205E16B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185"/>
    <w:pPr>
      <w:spacing w:after="200" w:line="276" w:lineRule="auto"/>
    </w:pPr>
    <w:rPr>
      <w:rFonts w:ascii="Palatino Linotype" w:eastAsia="Calibri" w:hAnsi="Palatino Linotype" w:cs="Times New Roman"/>
      <w:kern w:val="0"/>
      <w:sz w:val="20"/>
      <w:szCs w:val="22"/>
      <w:lang w:val="en-AU"/>
      <w14:ligatures w14:val="none"/>
    </w:rPr>
  </w:style>
  <w:style w:type="paragraph" w:styleId="Heading1">
    <w:name w:val="heading 1"/>
    <w:basedOn w:val="Normal"/>
    <w:next w:val="Normal"/>
    <w:link w:val="Heading1Char"/>
    <w:uiPriority w:val="9"/>
    <w:qFormat/>
    <w:rsid w:val="00744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185"/>
    <w:rPr>
      <w:rFonts w:eastAsiaTheme="majorEastAsia" w:cstheme="majorBidi"/>
      <w:color w:val="272727" w:themeColor="text1" w:themeTint="D8"/>
    </w:rPr>
  </w:style>
  <w:style w:type="paragraph" w:styleId="Title">
    <w:name w:val="Title"/>
    <w:basedOn w:val="Normal"/>
    <w:next w:val="Normal"/>
    <w:link w:val="TitleChar"/>
    <w:uiPriority w:val="10"/>
    <w:qFormat/>
    <w:rsid w:val="00744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185"/>
    <w:pPr>
      <w:spacing w:before="160"/>
      <w:jc w:val="center"/>
    </w:pPr>
    <w:rPr>
      <w:i/>
      <w:iCs/>
      <w:color w:val="404040" w:themeColor="text1" w:themeTint="BF"/>
    </w:rPr>
  </w:style>
  <w:style w:type="character" w:customStyle="1" w:styleId="QuoteChar">
    <w:name w:val="Quote Char"/>
    <w:basedOn w:val="DefaultParagraphFont"/>
    <w:link w:val="Quote"/>
    <w:uiPriority w:val="29"/>
    <w:rsid w:val="00744185"/>
    <w:rPr>
      <w:i/>
      <w:iCs/>
      <w:color w:val="404040" w:themeColor="text1" w:themeTint="BF"/>
    </w:rPr>
  </w:style>
  <w:style w:type="paragraph" w:styleId="ListParagraph">
    <w:name w:val="List Paragraph"/>
    <w:basedOn w:val="Normal"/>
    <w:uiPriority w:val="34"/>
    <w:qFormat/>
    <w:rsid w:val="00744185"/>
    <w:pPr>
      <w:ind w:left="720"/>
      <w:contextualSpacing/>
    </w:pPr>
  </w:style>
  <w:style w:type="character" w:styleId="IntenseEmphasis">
    <w:name w:val="Intense Emphasis"/>
    <w:basedOn w:val="DefaultParagraphFont"/>
    <w:uiPriority w:val="21"/>
    <w:qFormat/>
    <w:rsid w:val="00744185"/>
    <w:rPr>
      <w:i/>
      <w:iCs/>
      <w:color w:val="0F4761" w:themeColor="accent1" w:themeShade="BF"/>
    </w:rPr>
  </w:style>
  <w:style w:type="paragraph" w:styleId="IntenseQuote">
    <w:name w:val="Intense Quote"/>
    <w:basedOn w:val="Normal"/>
    <w:next w:val="Normal"/>
    <w:link w:val="IntenseQuoteChar"/>
    <w:uiPriority w:val="30"/>
    <w:qFormat/>
    <w:rsid w:val="00744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185"/>
    <w:rPr>
      <w:i/>
      <w:iCs/>
      <w:color w:val="0F4761" w:themeColor="accent1" w:themeShade="BF"/>
    </w:rPr>
  </w:style>
  <w:style w:type="character" w:styleId="IntenseReference">
    <w:name w:val="Intense Reference"/>
    <w:basedOn w:val="DefaultParagraphFont"/>
    <w:uiPriority w:val="32"/>
    <w:qFormat/>
    <w:rsid w:val="00744185"/>
    <w:rPr>
      <w:b/>
      <w:bCs/>
      <w:smallCaps/>
      <w:color w:val="0F4761" w:themeColor="accent1" w:themeShade="BF"/>
      <w:spacing w:val="5"/>
    </w:rPr>
  </w:style>
  <w:style w:type="paragraph" w:styleId="Header">
    <w:name w:val="header"/>
    <w:basedOn w:val="Normal"/>
    <w:link w:val="HeaderChar"/>
    <w:uiPriority w:val="99"/>
    <w:unhideWhenUsed/>
    <w:rsid w:val="00744185"/>
    <w:pPr>
      <w:tabs>
        <w:tab w:val="center" w:pos="4252"/>
        <w:tab w:val="right" w:pos="8504"/>
      </w:tabs>
      <w:spacing w:after="0" w:line="240" w:lineRule="auto"/>
    </w:pPr>
  </w:style>
  <w:style w:type="character" w:customStyle="1" w:styleId="HeaderChar">
    <w:name w:val="Header Char"/>
    <w:basedOn w:val="DefaultParagraphFont"/>
    <w:link w:val="Header"/>
    <w:uiPriority w:val="99"/>
    <w:rsid w:val="00744185"/>
  </w:style>
  <w:style w:type="paragraph" w:styleId="Footer">
    <w:name w:val="footer"/>
    <w:basedOn w:val="Normal"/>
    <w:link w:val="FooterChar"/>
    <w:uiPriority w:val="99"/>
    <w:unhideWhenUsed/>
    <w:rsid w:val="00744185"/>
    <w:pPr>
      <w:tabs>
        <w:tab w:val="center" w:pos="4252"/>
        <w:tab w:val="right" w:pos="8504"/>
      </w:tabs>
      <w:spacing w:after="0" w:line="240" w:lineRule="auto"/>
    </w:pPr>
  </w:style>
  <w:style w:type="character" w:customStyle="1" w:styleId="FooterChar">
    <w:name w:val="Footer Char"/>
    <w:basedOn w:val="DefaultParagraphFont"/>
    <w:link w:val="Footer"/>
    <w:uiPriority w:val="99"/>
    <w:rsid w:val="00744185"/>
  </w:style>
  <w:style w:type="paragraph" w:customStyle="1" w:styleId="011Autores">
    <w:name w:val="01.1 Autores"/>
    <w:basedOn w:val="Normal"/>
    <w:rsid w:val="00744185"/>
    <w:pPr>
      <w:spacing w:before="160" w:after="0" w:line="240" w:lineRule="auto"/>
      <w:ind w:left="709"/>
    </w:pPr>
    <w:rPr>
      <w:rFonts w:eastAsia="Times New Roman"/>
      <w:b/>
      <w:bCs/>
      <w:szCs w:val="20"/>
      <w:lang w:val="en-GB"/>
    </w:rPr>
  </w:style>
  <w:style w:type="paragraph" w:customStyle="1" w:styleId="Tabla">
    <w:name w:val="Tabla"/>
    <w:basedOn w:val="Normal"/>
    <w:link w:val="TablaCar"/>
    <w:autoRedefine/>
    <w:qFormat/>
    <w:rsid w:val="00AB3C70"/>
    <w:pPr>
      <w:tabs>
        <w:tab w:val="left" w:pos="1134"/>
      </w:tabs>
      <w:spacing w:before="240" w:after="240" w:line="240" w:lineRule="auto"/>
    </w:pPr>
    <w:rPr>
      <w:rFonts w:ascii="Arial" w:eastAsia="Times New Roman" w:hAnsi="Arial" w:cs="Arial"/>
      <w:sz w:val="22"/>
      <w:lang w:val="es-PE"/>
    </w:rPr>
  </w:style>
  <w:style w:type="character" w:customStyle="1" w:styleId="TablaCar">
    <w:name w:val="Tabla Car"/>
    <w:basedOn w:val="DefaultParagraphFont"/>
    <w:link w:val="Tabla"/>
    <w:rsid w:val="00AB3C70"/>
    <w:rPr>
      <w:rFonts w:ascii="Arial" w:eastAsia="Times New Roman"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vargasmb@gmail.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997</Words>
  <Characters>5486</Characters>
  <Application>Microsoft Office Word</Application>
  <DocSecurity>0</DocSecurity>
  <Lines>45</Lines>
  <Paragraphs>12</Paragraphs>
  <ScaleCrop>false</ScaleCrop>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Eliott Hidalgo</dc:creator>
  <cp:keywords/>
  <dc:description/>
  <cp:lastModifiedBy>Eliott Hidalgo</cp:lastModifiedBy>
  <cp:revision>243</cp:revision>
  <cp:lastPrinted>2025-04-25T14:33:00Z</cp:lastPrinted>
  <dcterms:created xsi:type="dcterms:W3CDTF">2025-04-24T20:40:00Z</dcterms:created>
  <dcterms:modified xsi:type="dcterms:W3CDTF">2025-04-25T14:53:00Z</dcterms:modified>
</cp:coreProperties>
</file>